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28EB9" w14:textId="2807BF96" w:rsidR="00724A21" w:rsidRPr="00A54039" w:rsidRDefault="00724A21" w:rsidP="004E3C54">
      <w:pPr>
        <w:rPr>
          <w:lang w:val="pl-PL"/>
        </w:rPr>
      </w:pPr>
      <w:r w:rsidRPr="00A54039">
        <w:rPr>
          <w:lang w:val="pl-PL"/>
        </w:rPr>
        <w:t>M</w:t>
      </w:r>
      <w:r w:rsidR="00A54039" w:rsidRPr="00A54039">
        <w:rPr>
          <w:lang w:val="pl-PL"/>
        </w:rPr>
        <w:t xml:space="preserve">ichał </w:t>
      </w:r>
      <w:r w:rsidRPr="00A54039">
        <w:rPr>
          <w:lang w:val="pl-PL"/>
        </w:rPr>
        <w:t>K</w:t>
      </w:r>
      <w:r w:rsidR="00A54039" w:rsidRPr="00A54039">
        <w:rPr>
          <w:lang w:val="pl-PL"/>
        </w:rPr>
        <w:t>rzyżanowski</w:t>
      </w:r>
      <w:r w:rsidRPr="00A54039">
        <w:rPr>
          <w:lang w:val="pl-PL"/>
        </w:rPr>
        <w:t>, Ł</w:t>
      </w:r>
      <w:r w:rsidR="00A54039" w:rsidRPr="00A54039">
        <w:rPr>
          <w:lang w:val="pl-PL"/>
        </w:rPr>
        <w:t xml:space="preserve">ukasz </w:t>
      </w:r>
      <w:r w:rsidRPr="00A54039">
        <w:rPr>
          <w:lang w:val="pl-PL"/>
        </w:rPr>
        <w:t>A</w:t>
      </w:r>
      <w:r w:rsidR="00A54039" w:rsidRPr="00A54039">
        <w:rPr>
          <w:lang w:val="pl-PL"/>
        </w:rPr>
        <w:t>damkiewicz</w:t>
      </w:r>
      <w:r w:rsidRPr="00A54039">
        <w:rPr>
          <w:lang w:val="pl-PL"/>
        </w:rPr>
        <w:t>, K</w:t>
      </w:r>
      <w:r w:rsidR="00A54039" w:rsidRPr="00A54039">
        <w:rPr>
          <w:lang w:val="pl-PL"/>
        </w:rPr>
        <w:t>rzysztof Skotak</w:t>
      </w:r>
    </w:p>
    <w:p w14:paraId="730807A3" w14:textId="6601C800" w:rsidR="007C05C8" w:rsidRPr="004E3C54" w:rsidRDefault="004E3C54" w:rsidP="00724A21">
      <w:pPr>
        <w:pStyle w:val="Nagwek1"/>
        <w:rPr>
          <w:lang w:val="pl-PL"/>
        </w:rPr>
      </w:pPr>
      <w:r>
        <w:rPr>
          <w:lang w:val="pl-PL"/>
        </w:rPr>
        <w:t>Indeks godzinowy stopnia zanieczyszczenia powietrza b</w:t>
      </w:r>
      <w:r w:rsidR="007C05C8" w:rsidRPr="007C05C8">
        <w:rPr>
          <w:lang w:val="pl-PL"/>
        </w:rPr>
        <w:t>enzen</w:t>
      </w:r>
      <w:r>
        <w:rPr>
          <w:lang w:val="pl-PL"/>
        </w:rPr>
        <w:t>em: metoda wyznaczania kategorii indeksu</w:t>
      </w:r>
      <w:r w:rsidR="007C05C8" w:rsidRPr="007C05C8">
        <w:rPr>
          <w:lang w:val="pl-PL"/>
        </w:rPr>
        <w:t xml:space="preserve"> </w:t>
      </w:r>
    </w:p>
    <w:p w14:paraId="0276DCCE" w14:textId="77777777" w:rsidR="00724A21" w:rsidRDefault="00724A21" w:rsidP="004E3C54">
      <w:pPr>
        <w:rPr>
          <w:lang w:val="pl-PL"/>
        </w:rPr>
      </w:pPr>
    </w:p>
    <w:p w14:paraId="0B40E83F" w14:textId="797CA8AC" w:rsidR="004E3C54" w:rsidRDefault="004E3C54" w:rsidP="004E3C54">
      <w:pPr>
        <w:rPr>
          <w:lang w:val="pl-PL"/>
        </w:rPr>
      </w:pPr>
      <w:r w:rsidRPr="004E3C54">
        <w:rPr>
          <w:lang w:val="pl-PL"/>
        </w:rPr>
        <w:t>Benzen</w:t>
      </w:r>
      <w:r>
        <w:rPr>
          <w:lang w:val="pl-PL"/>
        </w:rPr>
        <w:t xml:space="preserve"> jest substancją rakotwórczą, </w:t>
      </w:r>
      <w:proofErr w:type="spellStart"/>
      <w:r>
        <w:rPr>
          <w:lang w:val="pl-PL"/>
        </w:rPr>
        <w:t>hemo</w:t>
      </w:r>
      <w:proofErr w:type="spellEnd"/>
      <w:r>
        <w:rPr>
          <w:lang w:val="pl-PL"/>
        </w:rPr>
        <w:t xml:space="preserve">- i </w:t>
      </w:r>
      <w:proofErr w:type="spellStart"/>
      <w:r>
        <w:rPr>
          <w:lang w:val="pl-PL"/>
        </w:rPr>
        <w:t>genotoksyczną</w:t>
      </w:r>
      <w:proofErr w:type="spellEnd"/>
      <w:r>
        <w:rPr>
          <w:lang w:val="pl-PL"/>
        </w:rPr>
        <w:t>. Ryzyko zdrowotne wynika z długotrwałego narażenia na benzen</w:t>
      </w:r>
      <w:r w:rsidR="00897D4B">
        <w:rPr>
          <w:lang w:val="pl-PL"/>
        </w:rPr>
        <w:t xml:space="preserve">. Nie ma „bezpiecznego” </w:t>
      </w:r>
      <w:r w:rsidRPr="004E3C54">
        <w:rPr>
          <w:lang w:val="pl-PL"/>
        </w:rPr>
        <w:t xml:space="preserve"> </w:t>
      </w:r>
      <w:r w:rsidR="00897D4B">
        <w:rPr>
          <w:lang w:val="pl-PL"/>
        </w:rPr>
        <w:t>stopnia narażenia a ryzyko rośnie proporcjonalnie do średniego stężenia benzenu we wdychanym powietrzu. Ryzyko wystąpienia białaczki związane z narażeniem na 1 µg/m³ benzenu w powietrzu w ciągu całego życia wynosi 6*10</w:t>
      </w:r>
      <w:r w:rsidR="00897D4B">
        <w:rPr>
          <w:vertAlign w:val="superscript"/>
          <w:lang w:val="pl-PL"/>
        </w:rPr>
        <w:t>-6</w:t>
      </w:r>
      <w:r w:rsidR="00897D4B">
        <w:rPr>
          <w:lang w:val="pl-PL"/>
        </w:rPr>
        <w:t xml:space="preserve"> (6 na milion)</w:t>
      </w:r>
      <w:r w:rsidR="00E50A44">
        <w:rPr>
          <w:rStyle w:val="Odwoanieprzypisudolnego"/>
          <w:lang w:val="pl-PL"/>
        </w:rPr>
        <w:footnoteReference w:id="1"/>
      </w:r>
      <w:r w:rsidR="00897D4B">
        <w:rPr>
          <w:lang w:val="pl-PL"/>
        </w:rPr>
        <w:t xml:space="preserve">. </w:t>
      </w:r>
    </w:p>
    <w:p w14:paraId="10C71D59" w14:textId="38DAB233" w:rsidR="00897D4B" w:rsidRDefault="00897D4B" w:rsidP="004E3C54">
      <w:pPr>
        <w:rPr>
          <w:lang w:val="pl-PL"/>
        </w:rPr>
      </w:pPr>
      <w:r>
        <w:rPr>
          <w:lang w:val="pl-PL"/>
        </w:rPr>
        <w:t>Chociaż pojedyncze krótkie okresy zwiększonego narażenia nie mają dużego znaczenia zdrowotnego, przyczyniają się do powiększania długookresowej średniej narażenia. Informacja o tych krótkich</w:t>
      </w:r>
      <w:r w:rsidR="000F2C84">
        <w:rPr>
          <w:lang w:val="pl-PL"/>
        </w:rPr>
        <w:t>, zwłaszcza powtarzających się,</w:t>
      </w:r>
      <w:r>
        <w:rPr>
          <w:lang w:val="pl-PL"/>
        </w:rPr>
        <w:t xml:space="preserve"> okresach może więc być przydatna </w:t>
      </w:r>
      <w:r w:rsidR="000F2C84">
        <w:rPr>
          <w:lang w:val="pl-PL"/>
        </w:rPr>
        <w:t>dla minimalizowania ich liczby i, w konsekwencji, ograniczania narażenia długookresowego i związanego z nim ryzyka dla zdrowia.</w:t>
      </w:r>
    </w:p>
    <w:p w14:paraId="0885F90F" w14:textId="436A7A27" w:rsidR="00CD53FA" w:rsidRDefault="000F2C84" w:rsidP="004E3C54">
      <w:pPr>
        <w:rPr>
          <w:lang w:val="pl-PL"/>
        </w:rPr>
      </w:pPr>
      <w:r>
        <w:rPr>
          <w:lang w:val="pl-PL"/>
        </w:rPr>
        <w:t>Indeks jakości powietrza jest oparty na godzinowych pomiarach stężeń poszczególnych zanieczyszczeń</w:t>
      </w:r>
      <w:r w:rsidR="00475E35">
        <w:rPr>
          <w:lang w:val="pl-PL"/>
        </w:rPr>
        <w:t xml:space="preserve">, klasyfikowanych do jednej z 6-ciu kategorii (od </w:t>
      </w:r>
      <w:r>
        <w:rPr>
          <w:lang w:val="pl-PL"/>
        </w:rPr>
        <w:t>0 do 5)</w:t>
      </w:r>
      <w:r w:rsidR="00475E35">
        <w:rPr>
          <w:lang w:val="pl-PL"/>
        </w:rPr>
        <w:t>. Metoda wyznaczenia granic kategorii indeksu jest opisana poniżej. Głównym celem tej kategoryzacji jest zachowanie proporcjonalności kategorii stężenia godzinowego z narażeniem</w:t>
      </w:r>
      <w:r w:rsidR="00CD53FA">
        <w:rPr>
          <w:lang w:val="pl-PL"/>
        </w:rPr>
        <w:t xml:space="preserve"> długookresowym i związanym z nim </w:t>
      </w:r>
      <w:r w:rsidR="00475E35">
        <w:rPr>
          <w:lang w:val="pl-PL"/>
        </w:rPr>
        <w:t>ryzykiem</w:t>
      </w:r>
      <w:r w:rsidR="00CD53FA">
        <w:rPr>
          <w:lang w:val="pl-PL"/>
        </w:rPr>
        <w:t xml:space="preserve"> zdrowotnym. </w:t>
      </w:r>
    </w:p>
    <w:p w14:paraId="540BD265" w14:textId="0CA05AA1" w:rsidR="00840DA2" w:rsidRDefault="00CD53FA" w:rsidP="004E3C54">
      <w:pPr>
        <w:rPr>
          <w:lang w:val="pl-PL"/>
        </w:rPr>
      </w:pPr>
      <w:r>
        <w:rPr>
          <w:lang w:val="pl-PL"/>
        </w:rPr>
        <w:t xml:space="preserve">Godzinowe stężenia benzenu mierzone w stacjach monitoringu powietrza charakteryzują się dużą zmiennością, a ich rozkład wartości jest silnie skośny. </w:t>
      </w:r>
      <w:r w:rsidR="00840DA2">
        <w:rPr>
          <w:lang w:val="pl-PL"/>
        </w:rPr>
        <w:t>Na podstawie danych godzinowych z 27 stacji monitorujących benzen</w:t>
      </w:r>
      <w:r w:rsidR="006B7AC3">
        <w:rPr>
          <w:lang w:val="pl-PL"/>
        </w:rPr>
        <w:t xml:space="preserve"> </w:t>
      </w:r>
      <w:r w:rsidR="00840DA2">
        <w:rPr>
          <w:lang w:val="pl-PL"/>
        </w:rPr>
        <w:t xml:space="preserve">w Polsce we wszystkich latach okresu 2011-19, wyznaczono zależność 95-go </w:t>
      </w:r>
      <w:proofErr w:type="spellStart"/>
      <w:r w:rsidR="00840DA2">
        <w:rPr>
          <w:lang w:val="pl-PL"/>
        </w:rPr>
        <w:t>centyla</w:t>
      </w:r>
      <w:proofErr w:type="spellEnd"/>
      <w:r w:rsidR="00840DA2">
        <w:rPr>
          <w:lang w:val="pl-PL"/>
        </w:rPr>
        <w:t xml:space="preserve"> stężenia godzinowego (P95) od średniej arytmetycznej stężenia w okresie 9 lat (</w:t>
      </w:r>
      <w:proofErr w:type="spellStart"/>
      <w:r w:rsidR="00840DA2">
        <w:rPr>
          <w:lang w:val="pl-PL"/>
        </w:rPr>
        <w:t>Sa</w:t>
      </w:r>
      <w:proofErr w:type="spellEnd"/>
      <w:r w:rsidR="00840DA2">
        <w:rPr>
          <w:lang w:val="pl-PL"/>
        </w:rPr>
        <w:t xml:space="preserve">) (ryc. 1). </w:t>
      </w:r>
    </w:p>
    <w:p w14:paraId="53DA7DCC" w14:textId="5A002493" w:rsidR="00840DA2" w:rsidRPr="00A54039" w:rsidRDefault="00840DA2" w:rsidP="00044D9D">
      <w:pPr>
        <w:jc w:val="center"/>
        <w:rPr>
          <w:b/>
          <w:bCs/>
          <w:lang w:val="pl-PL"/>
        </w:rPr>
      </w:pPr>
      <w:r w:rsidRPr="00A54039">
        <w:rPr>
          <w:b/>
          <w:bCs/>
          <w:lang w:val="pl-PL"/>
        </w:rPr>
        <w:t xml:space="preserve">Ryc. 1. Zależność P95 godzinowych stężeń benzenu od </w:t>
      </w:r>
      <w:r w:rsidR="00044D9D" w:rsidRPr="00A54039">
        <w:rPr>
          <w:b/>
          <w:bCs/>
          <w:lang w:val="pl-PL"/>
        </w:rPr>
        <w:t xml:space="preserve">średniej arytmetycznej </w:t>
      </w:r>
      <w:r w:rsidRPr="00A54039">
        <w:rPr>
          <w:b/>
          <w:bCs/>
          <w:lang w:val="pl-PL"/>
        </w:rPr>
        <w:t xml:space="preserve">na podstawie pomiarów </w:t>
      </w:r>
      <w:r w:rsidR="00044D9D" w:rsidRPr="00A54039">
        <w:rPr>
          <w:b/>
          <w:bCs/>
          <w:lang w:val="pl-PL"/>
        </w:rPr>
        <w:t>w 27 stacjach monitoringu powietrza w Polsce, 2011-2019</w:t>
      </w:r>
    </w:p>
    <w:p w14:paraId="66DD0428" w14:textId="0CD2FD2B" w:rsidR="00CD53FA" w:rsidRPr="005C6EDF" w:rsidRDefault="005C6EDF" w:rsidP="00044D9D">
      <w:pPr>
        <w:jc w:val="center"/>
        <w:rPr>
          <w:lang w:val="pl-PL"/>
        </w:rPr>
      </w:pPr>
      <w:r>
        <w:rPr>
          <w:noProof/>
        </w:rPr>
        <w:drawing>
          <wp:inline distT="0" distB="0" distL="0" distR="0" wp14:anchorId="1547081B" wp14:editId="610EB119">
            <wp:extent cx="4486275" cy="2659857"/>
            <wp:effectExtent l="0" t="0" r="9525" b="762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81E0F2A5-B292-4E44-ABB2-137E2ED3E6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070FE781" w14:textId="0830F48B" w:rsidR="00044D9D" w:rsidRDefault="00044D9D" w:rsidP="004E3C54">
      <w:pPr>
        <w:rPr>
          <w:lang w:val="pl-PL"/>
        </w:rPr>
      </w:pPr>
    </w:p>
    <w:p w14:paraId="59222035" w14:textId="3CC82059" w:rsidR="00044D9D" w:rsidRDefault="00044D9D" w:rsidP="004E3C54">
      <w:pPr>
        <w:rPr>
          <w:lang w:val="pl-PL"/>
        </w:rPr>
      </w:pPr>
      <w:r>
        <w:rPr>
          <w:lang w:val="pl-PL"/>
        </w:rPr>
        <w:t>Funkcja liniowa dobrze opisuje zależność (współczynnik determinacji R²=0,9473), umożliwiając obliczenie P95 odpowiadających różnym wartościom długookresowego średniego stężenia benzenu oraz ryzyka narażenia dla zdrowia. Przyjmując w miarę równomierny wzrost ryzyka białaczki wraz ze wzrostem kategorii indeksu, wyliczone wartości graniczne dla stężeń godzinowych podane są w tabeli 1.</w:t>
      </w:r>
    </w:p>
    <w:p w14:paraId="648DCED2" w14:textId="18AA562F" w:rsidR="00044D9D" w:rsidRPr="00495EFB" w:rsidRDefault="00AC53EF" w:rsidP="004E3C54">
      <w:pPr>
        <w:rPr>
          <w:b/>
          <w:bCs/>
          <w:lang w:val="pl-PL"/>
        </w:rPr>
      </w:pPr>
      <w:r w:rsidRPr="00495EFB">
        <w:rPr>
          <w:b/>
          <w:bCs/>
          <w:lang w:val="pl-PL"/>
        </w:rPr>
        <w:t xml:space="preserve">Tabela 1. </w:t>
      </w:r>
      <w:r w:rsidR="004A716F" w:rsidRPr="00495EFB">
        <w:rPr>
          <w:b/>
          <w:bCs/>
          <w:lang w:val="pl-PL"/>
        </w:rPr>
        <w:t>W</w:t>
      </w:r>
      <w:r w:rsidRPr="00495EFB">
        <w:rPr>
          <w:b/>
          <w:bCs/>
          <w:lang w:val="pl-PL"/>
        </w:rPr>
        <w:t xml:space="preserve">artości godzinowe stężeń benzenu definiujące </w:t>
      </w:r>
      <w:r w:rsidR="004A716F" w:rsidRPr="00495EFB">
        <w:rPr>
          <w:b/>
          <w:bCs/>
          <w:lang w:val="pl-PL"/>
        </w:rPr>
        <w:t>kategorie</w:t>
      </w:r>
      <w:r w:rsidRPr="00495EFB">
        <w:rPr>
          <w:b/>
          <w:bCs/>
          <w:lang w:val="pl-PL"/>
        </w:rPr>
        <w:t xml:space="preserve"> indeksu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1520"/>
        <w:gridCol w:w="1720"/>
        <w:gridCol w:w="2709"/>
        <w:gridCol w:w="2556"/>
      </w:tblGrid>
      <w:tr w:rsidR="004A716F" w:rsidRPr="00044D9D" w14:paraId="5B2A0B20" w14:textId="77777777" w:rsidTr="00B32F5F">
        <w:trPr>
          <w:trHeight w:val="295"/>
        </w:trPr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DCFDE" w14:textId="03AD6D89" w:rsidR="004A716F" w:rsidRPr="00A54039" w:rsidRDefault="004A716F" w:rsidP="0004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Wartość</w:t>
            </w:r>
            <w:proofErr w:type="spellEnd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indeksu</w:t>
            </w:r>
            <w:proofErr w:type="spellEnd"/>
          </w:p>
        </w:tc>
        <w:tc>
          <w:tcPr>
            <w:tcW w:w="6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25CAC" w14:textId="4B6BC1BF" w:rsidR="004A716F" w:rsidRPr="00A54039" w:rsidRDefault="004A716F" w:rsidP="0004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Górne</w:t>
            </w:r>
            <w:proofErr w:type="spellEnd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granice</w:t>
            </w:r>
            <w:proofErr w:type="spellEnd"/>
          </w:p>
        </w:tc>
      </w:tr>
      <w:tr w:rsidR="004A716F" w:rsidRPr="00044D9D" w14:paraId="4693C56B" w14:textId="77777777" w:rsidTr="004A716F">
        <w:trPr>
          <w:trHeight w:val="295"/>
        </w:trPr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E7E7" w14:textId="565B3281" w:rsidR="004A716F" w:rsidRPr="00A54039" w:rsidRDefault="004A716F" w:rsidP="0004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706" w14:textId="67A9846B" w:rsidR="004A716F" w:rsidRPr="00A54039" w:rsidRDefault="004A716F" w:rsidP="0004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Ryzyko</w:t>
            </w:r>
            <w:proofErr w:type="spellEnd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/ 100 </w:t>
            </w: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tys</w:t>
            </w:r>
            <w:proofErr w:type="spellEnd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BFA2" w14:textId="139454BE" w:rsidR="004A716F" w:rsidRPr="00A54039" w:rsidRDefault="004A716F" w:rsidP="0004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en-GB"/>
              </w:rPr>
            </w:pP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en-GB"/>
              </w:rPr>
              <w:t>Srednie</w:t>
            </w:r>
            <w:proofErr w:type="spellEnd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val="pl-PL" w:eastAsia="en-GB"/>
              </w:rPr>
              <w:t xml:space="preserve"> narażenie (µg/m³)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6426" w14:textId="18C216D9" w:rsidR="004A716F" w:rsidRPr="00A54039" w:rsidRDefault="004A716F" w:rsidP="00044D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Stężenie</w:t>
            </w:r>
            <w:proofErr w:type="spellEnd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godzinowe</w:t>
            </w:r>
            <w:proofErr w:type="spellEnd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(µg/m³)</w:t>
            </w:r>
          </w:p>
        </w:tc>
      </w:tr>
      <w:tr w:rsidR="00C060AD" w:rsidRPr="00044D9D" w14:paraId="37D5B381" w14:textId="77777777" w:rsidTr="002D491C">
        <w:trPr>
          <w:trHeight w:val="295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noWrap/>
            <w:hideMark/>
          </w:tcPr>
          <w:p w14:paraId="2E097BE1" w14:textId="59D05A0C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D3F98">
              <w:t>0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30B1" w14:textId="6A7D2870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 0,5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DADB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0,833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2D441" w14:textId="0A49F4A8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2,43</w:t>
            </w:r>
          </w:p>
        </w:tc>
      </w:tr>
      <w:tr w:rsidR="00C060AD" w:rsidRPr="00044D9D" w14:paraId="5157F45D" w14:textId="77777777" w:rsidTr="002D491C">
        <w:trPr>
          <w:trHeight w:val="295"/>
        </w:trPr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6E0B4"/>
            <w:noWrap/>
            <w:hideMark/>
          </w:tcPr>
          <w:p w14:paraId="1C54394D" w14:textId="1B0797B3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D3F98">
              <w:t>1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05DA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75F5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1,667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F1D8" w14:textId="523B8914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5,95</w:t>
            </w:r>
          </w:p>
        </w:tc>
      </w:tr>
      <w:tr w:rsidR="00C060AD" w:rsidRPr="00044D9D" w14:paraId="58F40AAB" w14:textId="77777777" w:rsidTr="002D491C">
        <w:trPr>
          <w:trHeight w:val="295"/>
        </w:trPr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noWrap/>
            <w:hideMark/>
          </w:tcPr>
          <w:p w14:paraId="36467F29" w14:textId="54854FE0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D3F98">
              <w:t>2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0689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1,5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89EA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2,500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AF2C" w14:textId="51069902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9,47</w:t>
            </w:r>
          </w:p>
        </w:tc>
      </w:tr>
      <w:tr w:rsidR="00C060AD" w:rsidRPr="00044D9D" w14:paraId="5461C30C" w14:textId="77777777" w:rsidTr="002D491C">
        <w:trPr>
          <w:trHeight w:val="295"/>
        </w:trPr>
        <w:tc>
          <w:tcPr>
            <w:tcW w:w="1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D966"/>
            <w:noWrap/>
            <w:hideMark/>
          </w:tcPr>
          <w:p w14:paraId="254A1A3D" w14:textId="1B9D89F1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D3F98">
              <w:t>3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6104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9B8A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3,333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C2BE" w14:textId="0528CC4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12,99</w:t>
            </w:r>
          </w:p>
        </w:tc>
      </w:tr>
      <w:tr w:rsidR="00C060AD" w:rsidRPr="00044D9D" w14:paraId="1D3AACDC" w14:textId="77777777" w:rsidTr="002D491C">
        <w:trPr>
          <w:trHeight w:val="295"/>
        </w:trPr>
        <w:tc>
          <w:tcPr>
            <w:tcW w:w="15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0000"/>
            <w:noWrap/>
            <w:hideMark/>
          </w:tcPr>
          <w:p w14:paraId="45847CE6" w14:textId="728DAF35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DD3F98">
              <w:t>4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5FB8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D95A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5,000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44C9" w14:textId="09317E83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20,02</w:t>
            </w:r>
          </w:p>
        </w:tc>
      </w:tr>
      <w:tr w:rsidR="00C060AD" w:rsidRPr="00044D9D" w14:paraId="4B6DF691" w14:textId="77777777" w:rsidTr="002D491C">
        <w:trPr>
          <w:trHeight w:val="295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hideMark/>
          </w:tcPr>
          <w:p w14:paraId="6F064597" w14:textId="27ACA860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DD3F98">
              <w:t>5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B19B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&gt;3,0</w:t>
            </w:r>
          </w:p>
        </w:tc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7BFA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&gt;5,000</w:t>
            </w:r>
          </w:p>
        </w:tc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D22E" w14:textId="77777777" w:rsidR="00C060AD" w:rsidRPr="00A54039" w:rsidRDefault="00C060AD" w:rsidP="00C060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&gt;20,02</w:t>
            </w:r>
          </w:p>
        </w:tc>
      </w:tr>
    </w:tbl>
    <w:p w14:paraId="67BE0963" w14:textId="7EC026E2" w:rsidR="00044D9D" w:rsidRDefault="00044D9D" w:rsidP="004E3C54">
      <w:pPr>
        <w:rPr>
          <w:lang w:val="pl-PL"/>
        </w:rPr>
      </w:pPr>
    </w:p>
    <w:p w14:paraId="2CA0ADE1" w14:textId="019A8791" w:rsidR="00AC53EF" w:rsidRDefault="00AC53EF" w:rsidP="004E3C54">
      <w:pPr>
        <w:rPr>
          <w:lang w:val="pl-PL"/>
        </w:rPr>
      </w:pPr>
      <w:r>
        <w:rPr>
          <w:lang w:val="pl-PL"/>
        </w:rPr>
        <w:t xml:space="preserve">Ponieważ indeks wyznaczony jest na podstawie 95go </w:t>
      </w:r>
      <w:proofErr w:type="spellStart"/>
      <w:r>
        <w:rPr>
          <w:lang w:val="pl-PL"/>
        </w:rPr>
        <w:t>centyla</w:t>
      </w:r>
      <w:proofErr w:type="spellEnd"/>
      <w:r>
        <w:rPr>
          <w:lang w:val="pl-PL"/>
        </w:rPr>
        <w:t>, można go interpretować w następu</w:t>
      </w:r>
      <w:r w:rsidR="004A716F">
        <w:rPr>
          <w:lang w:val="pl-PL"/>
        </w:rPr>
        <w:t>j</w:t>
      </w:r>
      <w:r>
        <w:rPr>
          <w:lang w:val="pl-PL"/>
        </w:rPr>
        <w:t>ący sposób:</w:t>
      </w:r>
      <w:r w:rsidR="004A716F">
        <w:rPr>
          <w:lang w:val="pl-PL"/>
        </w:rPr>
        <w:t xml:space="preserve"> utrzymywanie się najwyższych</w:t>
      </w:r>
      <w:r>
        <w:rPr>
          <w:lang w:val="pl-PL"/>
        </w:rPr>
        <w:t xml:space="preserve"> </w:t>
      </w:r>
      <w:r w:rsidR="009B50F5">
        <w:rPr>
          <w:lang w:val="pl-PL"/>
        </w:rPr>
        <w:t>wartości godzinow</w:t>
      </w:r>
      <w:r w:rsidR="004A716F">
        <w:rPr>
          <w:lang w:val="pl-PL"/>
        </w:rPr>
        <w:t>ych</w:t>
      </w:r>
      <w:r w:rsidR="009B50F5">
        <w:rPr>
          <w:lang w:val="pl-PL"/>
        </w:rPr>
        <w:t xml:space="preserve"> odpowiadając</w:t>
      </w:r>
      <w:r w:rsidR="00F07DDD">
        <w:rPr>
          <w:lang w:val="pl-PL"/>
        </w:rPr>
        <w:t>ych</w:t>
      </w:r>
      <w:r w:rsidR="009B50F5">
        <w:rPr>
          <w:lang w:val="pl-PL"/>
        </w:rPr>
        <w:t xml:space="preserve"> kategorii </w:t>
      </w:r>
      <w:r w:rsidR="009B50F5" w:rsidRPr="009B50F5">
        <w:rPr>
          <w:i/>
          <w:iCs/>
          <w:lang w:val="pl-PL"/>
        </w:rPr>
        <w:t>i</w:t>
      </w:r>
      <w:r w:rsidR="009B50F5">
        <w:rPr>
          <w:lang w:val="pl-PL"/>
        </w:rPr>
        <w:t xml:space="preserve"> indeksu (</w:t>
      </w:r>
      <w:r w:rsidR="009B50F5" w:rsidRPr="009B50F5">
        <w:rPr>
          <w:i/>
          <w:iCs/>
          <w:lang w:val="pl-PL"/>
        </w:rPr>
        <w:t>i</w:t>
      </w:r>
      <w:r w:rsidR="009B50F5">
        <w:rPr>
          <w:lang w:val="pl-PL"/>
        </w:rPr>
        <w:t xml:space="preserve"> = 0-5) przez 5% (długiego) czasu obserwacji wiąże się z ryzykiem białaczki mniejszym niż wskazane w odpowiednim wierszu tabeli 1</w:t>
      </w:r>
      <w:r w:rsidR="00F07DDD">
        <w:rPr>
          <w:lang w:val="pl-PL"/>
        </w:rPr>
        <w:t xml:space="preserve"> (lecz większym niż wskazane w wierszu </w:t>
      </w:r>
      <w:r w:rsidR="00F07DDD" w:rsidRPr="00F07DDD">
        <w:rPr>
          <w:i/>
          <w:iCs/>
          <w:lang w:val="pl-PL"/>
        </w:rPr>
        <w:t>i</w:t>
      </w:r>
      <w:r w:rsidR="00F07DDD">
        <w:rPr>
          <w:i/>
          <w:iCs/>
          <w:lang w:val="pl-PL"/>
        </w:rPr>
        <w:t xml:space="preserve"> </w:t>
      </w:r>
      <w:r w:rsidR="00F07DDD">
        <w:rPr>
          <w:lang w:val="pl-PL"/>
        </w:rPr>
        <w:t>-1)</w:t>
      </w:r>
      <w:r w:rsidR="009B50F5">
        <w:rPr>
          <w:lang w:val="pl-PL"/>
        </w:rPr>
        <w:t xml:space="preserve">. Np. jeśli 5% najwyższych godzinowych stężeń benzenu należy do kategorii 2, </w:t>
      </w:r>
      <w:r w:rsidR="004A716F">
        <w:rPr>
          <w:lang w:val="pl-PL"/>
        </w:rPr>
        <w:t xml:space="preserve">to ryzyko białaczki jest </w:t>
      </w:r>
      <w:r w:rsidR="00F07DDD">
        <w:rPr>
          <w:lang w:val="pl-PL"/>
        </w:rPr>
        <w:t xml:space="preserve">między </w:t>
      </w:r>
      <w:r w:rsidR="004A716F">
        <w:rPr>
          <w:lang w:val="pl-PL"/>
        </w:rPr>
        <w:t>1,0</w:t>
      </w:r>
      <w:r w:rsidR="00F07DDD">
        <w:rPr>
          <w:lang w:val="pl-PL"/>
        </w:rPr>
        <w:t xml:space="preserve"> a </w:t>
      </w:r>
      <w:r w:rsidR="004A716F">
        <w:rPr>
          <w:lang w:val="pl-PL"/>
        </w:rPr>
        <w:t xml:space="preserve">1,5 /100 tys. </w:t>
      </w:r>
    </w:p>
    <w:p w14:paraId="204F7E2D" w14:textId="77AFA71F" w:rsidR="00F07DDD" w:rsidRDefault="00F07DDD" w:rsidP="004E3C54">
      <w:pPr>
        <w:rPr>
          <w:lang w:val="pl-PL"/>
        </w:rPr>
      </w:pPr>
      <w:r>
        <w:rPr>
          <w:lang w:val="pl-PL"/>
        </w:rPr>
        <w:t>Wyniki klasyfikacji wyników pomiarów</w:t>
      </w:r>
      <w:r w:rsidR="0085678B">
        <w:rPr>
          <w:lang w:val="pl-PL"/>
        </w:rPr>
        <w:t xml:space="preserve"> z </w:t>
      </w:r>
      <w:r w:rsidR="00495EFB">
        <w:rPr>
          <w:lang w:val="pl-PL"/>
        </w:rPr>
        <w:t>27</w:t>
      </w:r>
      <w:r w:rsidR="006B7AC3">
        <w:rPr>
          <w:lang w:val="pl-PL"/>
        </w:rPr>
        <w:t xml:space="preserve"> </w:t>
      </w:r>
      <w:r w:rsidR="0085678B">
        <w:rPr>
          <w:lang w:val="pl-PL"/>
        </w:rPr>
        <w:t>stacji</w:t>
      </w:r>
      <w:r>
        <w:rPr>
          <w:lang w:val="pl-PL"/>
        </w:rPr>
        <w:t xml:space="preserve"> </w:t>
      </w:r>
      <w:r w:rsidR="006B7AC3" w:rsidRPr="00495EFB">
        <w:rPr>
          <w:lang w:val="pl-PL"/>
        </w:rPr>
        <w:t xml:space="preserve"> monitorujących </w:t>
      </w:r>
      <w:r w:rsidR="00575012">
        <w:rPr>
          <w:lang w:val="pl-PL"/>
        </w:rPr>
        <w:t>stężenia benzenu</w:t>
      </w:r>
      <w:r w:rsidR="006B7AC3" w:rsidRPr="00495EFB">
        <w:rPr>
          <w:lang w:val="pl-PL"/>
        </w:rPr>
        <w:t xml:space="preserve"> </w:t>
      </w:r>
      <w:r w:rsidR="00575012">
        <w:rPr>
          <w:lang w:val="pl-PL"/>
        </w:rPr>
        <w:t>w</w:t>
      </w:r>
      <w:r w:rsidR="006B7AC3" w:rsidRPr="00495EFB">
        <w:rPr>
          <w:lang w:val="pl-PL"/>
        </w:rPr>
        <w:t xml:space="preserve"> okres</w:t>
      </w:r>
      <w:r w:rsidR="00575012">
        <w:rPr>
          <w:lang w:val="pl-PL"/>
        </w:rPr>
        <w:t>ie</w:t>
      </w:r>
      <w:r w:rsidR="006B7AC3" w:rsidRPr="00495EFB">
        <w:rPr>
          <w:lang w:val="pl-PL"/>
        </w:rPr>
        <w:t xml:space="preserve"> 2011-2019 </w:t>
      </w:r>
      <w:r w:rsidR="00495EFB">
        <w:rPr>
          <w:lang w:val="pl-PL"/>
        </w:rPr>
        <w:t>w sposób ciągły i wykorzystanych do wyznaczenia progów indeksu</w:t>
      </w:r>
      <w:r w:rsidR="0085678B">
        <w:rPr>
          <w:lang w:val="pl-PL"/>
        </w:rPr>
        <w:t xml:space="preserve"> przedstawione są w tabeli 2.</w:t>
      </w:r>
    </w:p>
    <w:p w14:paraId="4EC7BC26" w14:textId="62EF9A16" w:rsidR="00495EFB" w:rsidRPr="00495EFB" w:rsidRDefault="0085678B" w:rsidP="00495EFB">
      <w:pPr>
        <w:rPr>
          <w:lang w:val="pl-PL"/>
        </w:rPr>
      </w:pPr>
      <w:r w:rsidRPr="00495EFB">
        <w:rPr>
          <w:b/>
          <w:bCs/>
          <w:lang w:val="pl-PL"/>
        </w:rPr>
        <w:t xml:space="preserve">Tabela 2. Odsetek i liczba godzin / rok wg. </w:t>
      </w:r>
      <w:r w:rsidR="003C231E" w:rsidRPr="00495EFB">
        <w:rPr>
          <w:b/>
          <w:bCs/>
          <w:lang w:val="pl-PL"/>
        </w:rPr>
        <w:t>w</w:t>
      </w:r>
      <w:r w:rsidRPr="00495EFB">
        <w:rPr>
          <w:b/>
          <w:bCs/>
          <w:lang w:val="pl-PL"/>
        </w:rPr>
        <w:t xml:space="preserve">artości indeksu </w:t>
      </w:r>
      <w:r w:rsidR="003C231E" w:rsidRPr="00495EFB">
        <w:rPr>
          <w:b/>
          <w:bCs/>
          <w:lang w:val="pl-PL"/>
        </w:rPr>
        <w:t>w stacjach o różnych długookresowych średnich stężeniach benzenu.</w:t>
      </w:r>
      <w:r w:rsidR="00495EFB">
        <w:rPr>
          <w:b/>
          <w:bCs/>
          <w:lang w:val="pl-PL"/>
        </w:rPr>
        <w:t xml:space="preserve"> </w:t>
      </w:r>
      <w:r w:rsidR="00495EFB" w:rsidRPr="00495EFB">
        <w:rPr>
          <w:b/>
          <w:bCs/>
          <w:lang w:val="pl-PL"/>
        </w:rPr>
        <w:t>Dane z 27 stacji z pomiarami ciągłymi w okresie 2011-2019</w:t>
      </w:r>
    </w:p>
    <w:tbl>
      <w:tblPr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8"/>
        <w:gridCol w:w="1431"/>
        <w:gridCol w:w="1430"/>
        <w:gridCol w:w="1430"/>
        <w:gridCol w:w="981"/>
        <w:gridCol w:w="1224"/>
        <w:gridCol w:w="1083"/>
      </w:tblGrid>
      <w:tr w:rsidR="0085678B" w:rsidRPr="0085678B" w14:paraId="26025455" w14:textId="77777777" w:rsidTr="005C6EDF">
        <w:trPr>
          <w:trHeight w:val="295"/>
        </w:trPr>
        <w:tc>
          <w:tcPr>
            <w:tcW w:w="1298" w:type="dxa"/>
            <w:vMerge w:val="restart"/>
            <w:shd w:val="clear" w:color="auto" w:fill="auto"/>
            <w:noWrap/>
            <w:vAlign w:val="bottom"/>
            <w:hideMark/>
          </w:tcPr>
          <w:p w14:paraId="6B341647" w14:textId="3CA7C695" w:rsidR="0085678B" w:rsidRPr="0085678B" w:rsidRDefault="0085678B" w:rsidP="008567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Wartość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indeksu</w:t>
            </w:r>
            <w:proofErr w:type="spellEnd"/>
          </w:p>
        </w:tc>
        <w:tc>
          <w:tcPr>
            <w:tcW w:w="4291" w:type="dxa"/>
            <w:gridSpan w:val="3"/>
            <w:shd w:val="clear" w:color="auto" w:fill="auto"/>
            <w:noWrap/>
            <w:vAlign w:val="bottom"/>
          </w:tcPr>
          <w:p w14:paraId="218B2E1B" w14:textId="1999387C" w:rsidR="0085678B" w:rsidRPr="0085678B" w:rsidRDefault="0085678B" w:rsidP="008567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Średnie</w:t>
            </w:r>
            <w:proofErr w:type="spellEnd"/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stężenie</w:t>
            </w:r>
            <w:proofErr w:type="spellEnd"/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(µg/m³)</w:t>
            </w:r>
          </w:p>
        </w:tc>
        <w:tc>
          <w:tcPr>
            <w:tcW w:w="3288" w:type="dxa"/>
            <w:gridSpan w:val="3"/>
            <w:shd w:val="clear" w:color="auto" w:fill="auto"/>
            <w:noWrap/>
            <w:vAlign w:val="bottom"/>
          </w:tcPr>
          <w:p w14:paraId="4D0A7A4A" w14:textId="4518436C" w:rsidR="0085678B" w:rsidRPr="0085678B" w:rsidRDefault="0085678B" w:rsidP="008567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Średnie</w:t>
            </w:r>
            <w:proofErr w:type="spellEnd"/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stężenie</w:t>
            </w:r>
            <w:proofErr w:type="spellEnd"/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(µg/m³)</w:t>
            </w:r>
          </w:p>
        </w:tc>
      </w:tr>
      <w:tr w:rsidR="00495EFB" w:rsidRPr="0085678B" w14:paraId="2A24BD10" w14:textId="77777777" w:rsidTr="005C6EDF">
        <w:trPr>
          <w:trHeight w:val="295"/>
        </w:trPr>
        <w:tc>
          <w:tcPr>
            <w:tcW w:w="1298" w:type="dxa"/>
            <w:vMerge/>
            <w:shd w:val="clear" w:color="auto" w:fill="auto"/>
            <w:noWrap/>
            <w:vAlign w:val="bottom"/>
            <w:hideMark/>
          </w:tcPr>
          <w:p w14:paraId="426A067D" w14:textId="5A9745EB" w:rsidR="0085678B" w:rsidRPr="0085678B" w:rsidRDefault="0085678B" w:rsidP="008567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8B1AA80" w14:textId="3D3A803E" w:rsidR="0085678B" w:rsidRPr="0085678B" w:rsidRDefault="0085678B" w:rsidP="008567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&lt; 0,83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12E6CACB" w14:textId="08568EDD" w:rsidR="0085678B" w:rsidRPr="0085678B" w:rsidRDefault="0085678B" w:rsidP="008567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0,83- 2,50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3AFE7C81" w14:textId="7BB35A92" w:rsidR="0085678B" w:rsidRPr="0085678B" w:rsidRDefault="0085678B" w:rsidP="008567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&gt; 2,50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FFB2187" w14:textId="2AA68C46" w:rsidR="0085678B" w:rsidRPr="0085678B" w:rsidRDefault="0085678B" w:rsidP="008567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&lt; 0,83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0420883" w14:textId="52602F5F" w:rsidR="0085678B" w:rsidRPr="0085678B" w:rsidRDefault="0085678B" w:rsidP="008567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0,83- 2,50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04D8CF1" w14:textId="4F063676" w:rsidR="0085678B" w:rsidRPr="0085678B" w:rsidRDefault="0085678B" w:rsidP="0085678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&gt; 2,50</w:t>
            </w:r>
          </w:p>
        </w:tc>
      </w:tr>
      <w:tr w:rsidR="00495EFB" w:rsidRPr="0085678B" w14:paraId="7B6A58C0" w14:textId="77777777" w:rsidTr="005C6EDF">
        <w:trPr>
          <w:trHeight w:val="295"/>
        </w:trPr>
        <w:tc>
          <w:tcPr>
            <w:tcW w:w="1298" w:type="dxa"/>
            <w:vMerge/>
            <w:shd w:val="clear" w:color="auto" w:fill="auto"/>
            <w:noWrap/>
            <w:vAlign w:val="bottom"/>
            <w:hideMark/>
          </w:tcPr>
          <w:p w14:paraId="5E75DB8A" w14:textId="2A3DF71B" w:rsidR="003C231E" w:rsidRPr="0085678B" w:rsidRDefault="003C231E" w:rsidP="003C2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71F955FC" w14:textId="2152E61D" w:rsidR="003C231E" w:rsidRPr="0085678B" w:rsidRDefault="003C231E" w:rsidP="003C2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%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godzin</w:t>
            </w:r>
            <w:proofErr w:type="spellEnd"/>
          </w:p>
        </w:tc>
        <w:tc>
          <w:tcPr>
            <w:tcW w:w="1430" w:type="dxa"/>
            <w:shd w:val="clear" w:color="auto" w:fill="auto"/>
            <w:noWrap/>
            <w:hideMark/>
          </w:tcPr>
          <w:p w14:paraId="05648DD3" w14:textId="77F2DDAA" w:rsidR="003C231E" w:rsidRPr="0085678B" w:rsidRDefault="003C231E" w:rsidP="003C2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%</w:t>
            </w:r>
            <w:r w:rsidRPr="004F076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F076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godzin</w:t>
            </w:r>
            <w:proofErr w:type="spellEnd"/>
          </w:p>
        </w:tc>
        <w:tc>
          <w:tcPr>
            <w:tcW w:w="1430" w:type="dxa"/>
            <w:shd w:val="clear" w:color="auto" w:fill="auto"/>
            <w:noWrap/>
            <w:hideMark/>
          </w:tcPr>
          <w:p w14:paraId="7DA19311" w14:textId="0A003FE1" w:rsidR="003C231E" w:rsidRPr="0085678B" w:rsidRDefault="003C231E" w:rsidP="003C2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%</w:t>
            </w:r>
            <w:r w:rsidRPr="004F076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4F0766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godzin</w:t>
            </w:r>
            <w:proofErr w:type="spellEnd"/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A93F4F4" w14:textId="582383E9" w:rsidR="003C231E" w:rsidRPr="0085678B" w:rsidRDefault="003C231E" w:rsidP="003C2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/</w:t>
            </w:r>
            <w:proofErr w:type="spellStart"/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rok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hideMark/>
          </w:tcPr>
          <w:p w14:paraId="5928FF31" w14:textId="4609D152" w:rsidR="003C231E" w:rsidRPr="0085678B" w:rsidRDefault="003C231E" w:rsidP="003C2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192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</w:t>
            </w:r>
            <w:proofErr w:type="spellEnd"/>
            <w:r w:rsidRPr="0053192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/</w:t>
            </w:r>
            <w:proofErr w:type="spellStart"/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rok</w:t>
            </w:r>
            <w:proofErr w:type="spellEnd"/>
          </w:p>
        </w:tc>
        <w:tc>
          <w:tcPr>
            <w:tcW w:w="1083" w:type="dxa"/>
            <w:shd w:val="clear" w:color="auto" w:fill="auto"/>
            <w:noWrap/>
            <w:hideMark/>
          </w:tcPr>
          <w:p w14:paraId="14D2F0BE" w14:textId="58613A58" w:rsidR="003C231E" w:rsidRPr="0085678B" w:rsidRDefault="003C231E" w:rsidP="003C231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53192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</w:t>
            </w:r>
            <w:proofErr w:type="spellEnd"/>
            <w:r w:rsidRPr="0053192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/</w:t>
            </w:r>
            <w:proofErr w:type="spellStart"/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rok</w:t>
            </w:r>
            <w:proofErr w:type="spellEnd"/>
          </w:p>
        </w:tc>
      </w:tr>
      <w:tr w:rsidR="00C060AD" w:rsidRPr="0085678B" w14:paraId="3F7E19B5" w14:textId="77777777" w:rsidTr="0042318A">
        <w:trPr>
          <w:trHeight w:val="295"/>
        </w:trPr>
        <w:tc>
          <w:tcPr>
            <w:tcW w:w="1298" w:type="dxa"/>
            <w:shd w:val="clear" w:color="auto" w:fill="57B108"/>
            <w:noWrap/>
            <w:hideMark/>
          </w:tcPr>
          <w:p w14:paraId="39DBB2A4" w14:textId="46426FDF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53A31">
              <w:t>0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8D368E5" w14:textId="7325C7B6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94,37%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516BE7A4" w14:textId="0B6B791F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81,09%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33A25F3D" w14:textId="3512523C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62,38%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72C66C5" w14:textId="1AE99593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8267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D6F9BEF" w14:textId="0E1BF0B6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7104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DBE1024" w14:textId="60EE3475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5465</w:t>
            </w:r>
          </w:p>
        </w:tc>
      </w:tr>
      <w:tr w:rsidR="00C060AD" w:rsidRPr="0085678B" w14:paraId="7B9E9A5A" w14:textId="77777777" w:rsidTr="0042318A">
        <w:trPr>
          <w:trHeight w:val="295"/>
        </w:trPr>
        <w:tc>
          <w:tcPr>
            <w:tcW w:w="1298" w:type="dxa"/>
            <w:shd w:val="clear" w:color="auto" w:fill="B0DD10"/>
            <w:noWrap/>
            <w:hideMark/>
          </w:tcPr>
          <w:p w14:paraId="63AD0C6B" w14:textId="5DCC1369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53A31">
              <w:t>1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0CBC4FA7" w14:textId="2D5F4B24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5,10%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2F4879E2" w14:textId="3BD2675D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15,65%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0A78A022" w14:textId="11D438F9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22,21%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50A3E156" w14:textId="159A684D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447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0887CB" w14:textId="5F9FFC28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1371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744E51A2" w14:textId="17996E7D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1946</w:t>
            </w:r>
          </w:p>
        </w:tc>
      </w:tr>
      <w:tr w:rsidR="00C060AD" w:rsidRPr="0085678B" w14:paraId="2EE8E562" w14:textId="77777777" w:rsidTr="0042318A">
        <w:trPr>
          <w:trHeight w:val="295"/>
        </w:trPr>
        <w:tc>
          <w:tcPr>
            <w:tcW w:w="1298" w:type="dxa"/>
            <w:shd w:val="clear" w:color="auto" w:fill="FFD911"/>
            <w:noWrap/>
            <w:hideMark/>
          </w:tcPr>
          <w:p w14:paraId="0E945B1F" w14:textId="33F6A78A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53A31">
              <w:t>2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5E4433C8" w14:textId="743070B9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0,38%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7983773D" w14:textId="016155B5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2,33%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43825B77" w14:textId="0E21B4D5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7,00%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7AFBCB41" w14:textId="3E230C13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28B17374" w14:textId="6192F8D3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204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AA6DFEA" w14:textId="5E60968F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613</w:t>
            </w:r>
          </w:p>
        </w:tc>
      </w:tr>
      <w:tr w:rsidR="00C060AD" w:rsidRPr="0085678B" w14:paraId="4A51E09A" w14:textId="77777777" w:rsidTr="0042318A">
        <w:trPr>
          <w:trHeight w:val="295"/>
        </w:trPr>
        <w:tc>
          <w:tcPr>
            <w:tcW w:w="1298" w:type="dxa"/>
            <w:shd w:val="clear" w:color="auto" w:fill="E58100"/>
            <w:noWrap/>
            <w:hideMark/>
          </w:tcPr>
          <w:p w14:paraId="37B49E1E" w14:textId="6FD146F4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953A31">
              <w:t>3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2B6C80BA" w14:textId="3A7CD8F8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0,09%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7C9326AD" w14:textId="629C86F2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0,58%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343FA326" w14:textId="29F1DE7D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2,51%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0862BCA7" w14:textId="3EF11C74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4EEC0FF5" w14:textId="42DD6D13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51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12D1A2C" w14:textId="43AE5110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220</w:t>
            </w:r>
          </w:p>
        </w:tc>
      </w:tr>
      <w:tr w:rsidR="00C060AD" w:rsidRPr="0085678B" w14:paraId="34FF067C" w14:textId="77777777" w:rsidTr="0042318A">
        <w:trPr>
          <w:trHeight w:val="295"/>
        </w:trPr>
        <w:tc>
          <w:tcPr>
            <w:tcW w:w="1298" w:type="dxa"/>
            <w:shd w:val="clear" w:color="auto" w:fill="E50000"/>
            <w:noWrap/>
            <w:hideMark/>
          </w:tcPr>
          <w:p w14:paraId="42224CE3" w14:textId="5BC64AA6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953A31">
              <w:t>4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4B107136" w14:textId="1168A084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0,04%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50D3EF05" w14:textId="75E2A94A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0,28%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6D857AD0" w14:textId="138564B6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2,50%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34C58243" w14:textId="7F755216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8231231" w14:textId="52DB0A21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24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47DB114" w14:textId="382082CF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219</w:t>
            </w:r>
          </w:p>
        </w:tc>
      </w:tr>
      <w:tr w:rsidR="00C060AD" w:rsidRPr="0085678B" w14:paraId="735E3B76" w14:textId="77777777" w:rsidTr="0042318A">
        <w:trPr>
          <w:trHeight w:val="295"/>
        </w:trPr>
        <w:tc>
          <w:tcPr>
            <w:tcW w:w="1298" w:type="dxa"/>
            <w:shd w:val="clear" w:color="auto" w:fill="990000"/>
            <w:noWrap/>
            <w:hideMark/>
          </w:tcPr>
          <w:p w14:paraId="36A8A20F" w14:textId="3B86DFAC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C060AD">
              <w:t>5</w:t>
            </w: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7015A36D" w14:textId="52470B7A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0,02%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092B7F3E" w14:textId="0A901DB7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0,07%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64BD1DB3" w14:textId="55D0B984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3,38%</w:t>
            </w:r>
          </w:p>
        </w:tc>
        <w:tc>
          <w:tcPr>
            <w:tcW w:w="981" w:type="dxa"/>
            <w:shd w:val="clear" w:color="auto" w:fill="auto"/>
            <w:noWrap/>
            <w:vAlign w:val="bottom"/>
            <w:hideMark/>
          </w:tcPr>
          <w:p w14:paraId="4629545D" w14:textId="4369D418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3A9642AF" w14:textId="4DFA8013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18917AE" w14:textId="1E102D33" w:rsidR="00C060AD" w:rsidRPr="0085678B" w:rsidRDefault="00C060AD" w:rsidP="00C060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5678B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296</w:t>
            </w:r>
          </w:p>
        </w:tc>
      </w:tr>
    </w:tbl>
    <w:p w14:paraId="2C44CCB6" w14:textId="77777777" w:rsidR="00E136E8" w:rsidRDefault="00E136E8" w:rsidP="0060391F">
      <w:pPr>
        <w:rPr>
          <w:lang w:val="pl-PL"/>
        </w:rPr>
      </w:pPr>
    </w:p>
    <w:p w14:paraId="62CDCD7D" w14:textId="6E18DC69" w:rsidR="0060391F" w:rsidRDefault="003C231E" w:rsidP="0060391F">
      <w:pPr>
        <w:rPr>
          <w:lang w:val="pl-PL"/>
        </w:rPr>
      </w:pPr>
      <w:r>
        <w:rPr>
          <w:lang w:val="pl-PL"/>
        </w:rPr>
        <w:t xml:space="preserve">Odsetek i liczba godzin klasyfikowanych do wyższych kategorii indeksu rośnie znacząco wraz ze wzrostem długookresowej średniej stężenia benzenu. </w:t>
      </w:r>
      <w:r w:rsidR="00CC76CC">
        <w:rPr>
          <w:lang w:val="pl-PL"/>
        </w:rPr>
        <w:t>Jedynie 0,15% i 0,93% godzin (odpowiednio: 12 i 81 godz</w:t>
      </w:r>
      <w:r w:rsidR="00E50A44">
        <w:rPr>
          <w:lang w:val="pl-PL"/>
        </w:rPr>
        <w:t>.</w:t>
      </w:r>
      <w:r w:rsidR="00CC76CC">
        <w:rPr>
          <w:lang w:val="pl-PL"/>
        </w:rPr>
        <w:t xml:space="preserve">/rok) zaklasyfikowano do kategorii 3-5 indeksu w stacjach ze średnim stężeniem poniżej 0,83 i 2.5 µg/m³, podczas gdy </w:t>
      </w:r>
      <w:r w:rsidR="00E50A44">
        <w:rPr>
          <w:lang w:val="pl-PL"/>
        </w:rPr>
        <w:t xml:space="preserve">ponad </w:t>
      </w:r>
      <w:r w:rsidR="00BD12D4">
        <w:rPr>
          <w:lang w:val="pl-PL"/>
        </w:rPr>
        <w:t>8</w:t>
      </w:r>
      <w:r w:rsidR="00CC76CC">
        <w:rPr>
          <w:lang w:val="pl-PL"/>
        </w:rPr>
        <w:t>% godzin (73</w:t>
      </w:r>
      <w:r w:rsidR="00BD12D4">
        <w:rPr>
          <w:lang w:val="pl-PL"/>
        </w:rPr>
        <w:t>5</w:t>
      </w:r>
      <w:r w:rsidR="00CC76CC">
        <w:rPr>
          <w:lang w:val="pl-PL"/>
        </w:rPr>
        <w:t xml:space="preserve"> godz</w:t>
      </w:r>
      <w:r w:rsidR="00E50A44">
        <w:rPr>
          <w:lang w:val="pl-PL"/>
        </w:rPr>
        <w:t>.</w:t>
      </w:r>
      <w:r w:rsidR="00CC76CC">
        <w:rPr>
          <w:lang w:val="pl-PL"/>
        </w:rPr>
        <w:t>/rok) zaklasyfikowano do kategorii 3-5 w stacjach ze średnim stężeniem ponad 2,5 µg/m³. Wartości indeksu</w:t>
      </w:r>
      <w:r w:rsidR="0060391F">
        <w:rPr>
          <w:lang w:val="pl-PL"/>
        </w:rPr>
        <w:t>.</w:t>
      </w:r>
    </w:p>
    <w:p w14:paraId="6DBAB812" w14:textId="708594A3" w:rsidR="00E136E8" w:rsidRDefault="00E136E8" w:rsidP="0060391F">
      <w:pPr>
        <w:rPr>
          <w:lang w:val="pl-PL"/>
        </w:rPr>
      </w:pPr>
      <w:r>
        <w:rPr>
          <w:lang w:val="pl-PL"/>
        </w:rPr>
        <w:lastRenderedPageBreak/>
        <w:t>W podobny sposób sklasyfikowano wyniki pomiarów godzinowych w 63 stacjach zbierających dane z przerwami, lub nawet okazjonalnie, w okresie 2011-2019. Wyniki tej klasyfikacji przedstawiono w tabeli 3.</w:t>
      </w:r>
    </w:p>
    <w:p w14:paraId="206B81B4" w14:textId="23E26AC8" w:rsidR="00E136E8" w:rsidRPr="00495EFB" w:rsidRDefault="00E136E8" w:rsidP="00E136E8">
      <w:pPr>
        <w:rPr>
          <w:lang w:val="pl-PL"/>
        </w:rPr>
      </w:pPr>
      <w:r w:rsidRPr="00495EFB">
        <w:rPr>
          <w:b/>
          <w:bCs/>
          <w:lang w:val="pl-PL"/>
        </w:rPr>
        <w:t xml:space="preserve">Tabela </w:t>
      </w:r>
      <w:r>
        <w:rPr>
          <w:b/>
          <w:bCs/>
          <w:lang w:val="pl-PL"/>
        </w:rPr>
        <w:t>3</w:t>
      </w:r>
      <w:r w:rsidRPr="00495EFB">
        <w:rPr>
          <w:b/>
          <w:bCs/>
          <w:lang w:val="pl-PL"/>
        </w:rPr>
        <w:t>. Odsetek i liczba godzin / rok wg. wartości indeksu w stacjach o różnych długookresowych średnich stężeniach benzenu.</w:t>
      </w:r>
      <w:r>
        <w:rPr>
          <w:b/>
          <w:bCs/>
          <w:lang w:val="pl-PL"/>
        </w:rPr>
        <w:t xml:space="preserve"> </w:t>
      </w:r>
      <w:r w:rsidRPr="00495EFB">
        <w:rPr>
          <w:b/>
          <w:bCs/>
          <w:lang w:val="pl-PL"/>
        </w:rPr>
        <w:t xml:space="preserve">Dane z </w:t>
      </w:r>
      <w:r>
        <w:rPr>
          <w:b/>
          <w:bCs/>
          <w:lang w:val="pl-PL"/>
        </w:rPr>
        <w:t>63</w:t>
      </w:r>
      <w:r w:rsidRPr="00495EFB">
        <w:rPr>
          <w:b/>
          <w:bCs/>
          <w:lang w:val="pl-PL"/>
        </w:rPr>
        <w:t xml:space="preserve"> stacji z pomiarami </w:t>
      </w:r>
      <w:r>
        <w:rPr>
          <w:b/>
          <w:bCs/>
          <w:lang w:val="pl-PL"/>
        </w:rPr>
        <w:t>niecią</w:t>
      </w:r>
      <w:r w:rsidRPr="00495EFB">
        <w:rPr>
          <w:b/>
          <w:bCs/>
          <w:lang w:val="pl-PL"/>
        </w:rPr>
        <w:t>głymi w okresie 2011-2019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431"/>
        <w:gridCol w:w="1430"/>
        <w:gridCol w:w="1430"/>
        <w:gridCol w:w="1118"/>
        <w:gridCol w:w="1224"/>
        <w:gridCol w:w="1084"/>
      </w:tblGrid>
      <w:tr w:rsidR="00E136E8" w:rsidRPr="0085678B" w14:paraId="1281F611" w14:textId="77777777" w:rsidTr="00214054">
        <w:trPr>
          <w:trHeight w:val="295"/>
        </w:trPr>
        <w:tc>
          <w:tcPr>
            <w:tcW w:w="1299" w:type="dxa"/>
            <w:vMerge w:val="restart"/>
            <w:shd w:val="clear" w:color="auto" w:fill="auto"/>
            <w:noWrap/>
            <w:vAlign w:val="bottom"/>
            <w:hideMark/>
          </w:tcPr>
          <w:p w14:paraId="69C5D7EC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Wartość</w:t>
            </w:r>
            <w:proofErr w:type="spellEnd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indeksu</w:t>
            </w:r>
            <w:proofErr w:type="spellEnd"/>
          </w:p>
        </w:tc>
        <w:tc>
          <w:tcPr>
            <w:tcW w:w="4291" w:type="dxa"/>
            <w:gridSpan w:val="3"/>
            <w:shd w:val="clear" w:color="auto" w:fill="auto"/>
            <w:noWrap/>
            <w:vAlign w:val="bottom"/>
          </w:tcPr>
          <w:p w14:paraId="65F95BA3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Średnie</w:t>
            </w:r>
            <w:proofErr w:type="spellEnd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stężenie</w:t>
            </w:r>
            <w:proofErr w:type="spellEnd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(µg/m³)</w:t>
            </w:r>
          </w:p>
        </w:tc>
        <w:tc>
          <w:tcPr>
            <w:tcW w:w="3426" w:type="dxa"/>
            <w:gridSpan w:val="3"/>
            <w:shd w:val="clear" w:color="auto" w:fill="auto"/>
            <w:noWrap/>
            <w:vAlign w:val="bottom"/>
          </w:tcPr>
          <w:p w14:paraId="2A3D736D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Średnie</w:t>
            </w:r>
            <w:proofErr w:type="spellEnd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stężenie</w:t>
            </w:r>
            <w:proofErr w:type="spellEnd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 (µg/m³)</w:t>
            </w:r>
          </w:p>
        </w:tc>
      </w:tr>
      <w:tr w:rsidR="00E136E8" w:rsidRPr="0085678B" w14:paraId="6B1E0DB5" w14:textId="77777777" w:rsidTr="00214054">
        <w:trPr>
          <w:trHeight w:val="295"/>
        </w:trPr>
        <w:tc>
          <w:tcPr>
            <w:tcW w:w="1299" w:type="dxa"/>
            <w:vMerge/>
            <w:shd w:val="clear" w:color="auto" w:fill="auto"/>
            <w:noWrap/>
            <w:vAlign w:val="bottom"/>
            <w:hideMark/>
          </w:tcPr>
          <w:p w14:paraId="1EC99902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36FFA95C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&lt; 0,83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0910FAC7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0,83- 2,50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14:paraId="6B715B4A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&gt; 2,50</w:t>
            </w:r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6C80C28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&lt; 0,83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387587C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0,83- 2,50</w:t>
            </w:r>
          </w:p>
        </w:tc>
        <w:tc>
          <w:tcPr>
            <w:tcW w:w="1084" w:type="dxa"/>
            <w:shd w:val="clear" w:color="auto" w:fill="auto"/>
            <w:noWrap/>
            <w:vAlign w:val="bottom"/>
            <w:hideMark/>
          </w:tcPr>
          <w:p w14:paraId="2A5A73ED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&gt; 2,50</w:t>
            </w:r>
          </w:p>
        </w:tc>
      </w:tr>
      <w:tr w:rsidR="00E136E8" w:rsidRPr="0085678B" w14:paraId="6A827CF0" w14:textId="77777777" w:rsidTr="00214054">
        <w:trPr>
          <w:trHeight w:val="295"/>
        </w:trPr>
        <w:tc>
          <w:tcPr>
            <w:tcW w:w="1299" w:type="dxa"/>
            <w:vMerge/>
            <w:shd w:val="clear" w:color="auto" w:fill="auto"/>
            <w:noWrap/>
            <w:vAlign w:val="bottom"/>
            <w:hideMark/>
          </w:tcPr>
          <w:p w14:paraId="7B00C4F2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31" w:type="dxa"/>
            <w:shd w:val="clear" w:color="auto" w:fill="auto"/>
            <w:noWrap/>
            <w:vAlign w:val="bottom"/>
            <w:hideMark/>
          </w:tcPr>
          <w:p w14:paraId="67908334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% </w:t>
            </w: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godzin</w:t>
            </w:r>
            <w:proofErr w:type="spellEnd"/>
          </w:p>
        </w:tc>
        <w:tc>
          <w:tcPr>
            <w:tcW w:w="1430" w:type="dxa"/>
            <w:shd w:val="clear" w:color="auto" w:fill="auto"/>
            <w:noWrap/>
            <w:hideMark/>
          </w:tcPr>
          <w:p w14:paraId="2E065582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% </w:t>
            </w: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godzin</w:t>
            </w:r>
            <w:proofErr w:type="spellEnd"/>
          </w:p>
        </w:tc>
        <w:tc>
          <w:tcPr>
            <w:tcW w:w="1430" w:type="dxa"/>
            <w:shd w:val="clear" w:color="auto" w:fill="auto"/>
            <w:noWrap/>
            <w:hideMark/>
          </w:tcPr>
          <w:p w14:paraId="440B1A1E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 xml:space="preserve">% </w:t>
            </w: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godzin</w:t>
            </w:r>
            <w:proofErr w:type="spellEnd"/>
          </w:p>
        </w:tc>
        <w:tc>
          <w:tcPr>
            <w:tcW w:w="1118" w:type="dxa"/>
            <w:shd w:val="clear" w:color="auto" w:fill="auto"/>
            <w:noWrap/>
            <w:vAlign w:val="bottom"/>
            <w:hideMark/>
          </w:tcPr>
          <w:p w14:paraId="78F5CC15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</w:t>
            </w:r>
            <w:proofErr w:type="spellEnd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 /</w:t>
            </w: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rok</w:t>
            </w:r>
            <w:proofErr w:type="spellEnd"/>
          </w:p>
        </w:tc>
        <w:tc>
          <w:tcPr>
            <w:tcW w:w="1224" w:type="dxa"/>
            <w:shd w:val="clear" w:color="auto" w:fill="auto"/>
            <w:noWrap/>
            <w:hideMark/>
          </w:tcPr>
          <w:p w14:paraId="08A34402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</w:t>
            </w:r>
            <w:proofErr w:type="spellEnd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 /</w:t>
            </w: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rok</w:t>
            </w:r>
            <w:proofErr w:type="spellEnd"/>
          </w:p>
        </w:tc>
        <w:tc>
          <w:tcPr>
            <w:tcW w:w="1084" w:type="dxa"/>
            <w:shd w:val="clear" w:color="auto" w:fill="auto"/>
            <w:noWrap/>
            <w:hideMark/>
          </w:tcPr>
          <w:p w14:paraId="7A74B64C" w14:textId="77777777" w:rsidR="00E136E8" w:rsidRPr="00A54039" w:rsidRDefault="00E136E8" w:rsidP="007E3E5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godz</w:t>
            </w:r>
            <w:proofErr w:type="spellEnd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. /</w:t>
            </w:r>
            <w:proofErr w:type="spellStart"/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rok</w:t>
            </w:r>
            <w:proofErr w:type="spellEnd"/>
          </w:p>
        </w:tc>
      </w:tr>
      <w:tr w:rsidR="00E136E8" w:rsidRPr="0085678B" w14:paraId="3F7EE939" w14:textId="77777777" w:rsidTr="008D2319">
        <w:trPr>
          <w:trHeight w:val="295"/>
        </w:trPr>
        <w:tc>
          <w:tcPr>
            <w:tcW w:w="1299" w:type="dxa"/>
            <w:shd w:val="clear" w:color="auto" w:fill="57B108"/>
            <w:noWrap/>
            <w:vAlign w:val="bottom"/>
            <w:hideMark/>
          </w:tcPr>
          <w:p w14:paraId="2B0002CB" w14:textId="77777777" w:rsidR="00E136E8" w:rsidRPr="00A54039" w:rsidRDefault="00E136E8" w:rsidP="008D231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8D231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431" w:type="dxa"/>
            <w:shd w:val="clear" w:color="auto" w:fill="auto"/>
            <w:noWrap/>
          </w:tcPr>
          <w:p w14:paraId="3A77E609" w14:textId="06E132B7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97,03</w:t>
            </w:r>
          </w:p>
        </w:tc>
        <w:tc>
          <w:tcPr>
            <w:tcW w:w="1430" w:type="dxa"/>
            <w:shd w:val="clear" w:color="auto" w:fill="auto"/>
            <w:noWrap/>
          </w:tcPr>
          <w:p w14:paraId="24C0BB44" w14:textId="750CB597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82,83</w:t>
            </w:r>
          </w:p>
        </w:tc>
        <w:tc>
          <w:tcPr>
            <w:tcW w:w="1430" w:type="dxa"/>
            <w:shd w:val="clear" w:color="auto" w:fill="auto"/>
            <w:noWrap/>
          </w:tcPr>
          <w:p w14:paraId="10DCEAEF" w14:textId="78895833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48,45</w:t>
            </w:r>
          </w:p>
        </w:tc>
        <w:tc>
          <w:tcPr>
            <w:tcW w:w="1117" w:type="dxa"/>
            <w:shd w:val="clear" w:color="auto" w:fill="auto"/>
            <w:noWrap/>
          </w:tcPr>
          <w:p w14:paraId="062D9464" w14:textId="540B9906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8500</w:t>
            </w:r>
          </w:p>
        </w:tc>
        <w:tc>
          <w:tcPr>
            <w:tcW w:w="1224" w:type="dxa"/>
            <w:shd w:val="clear" w:color="auto" w:fill="auto"/>
            <w:noWrap/>
          </w:tcPr>
          <w:p w14:paraId="1DA27155" w14:textId="5BFA6A4C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7256</w:t>
            </w:r>
          </w:p>
        </w:tc>
        <w:tc>
          <w:tcPr>
            <w:tcW w:w="1083" w:type="dxa"/>
            <w:shd w:val="clear" w:color="auto" w:fill="auto"/>
            <w:noWrap/>
          </w:tcPr>
          <w:p w14:paraId="7BE29BC6" w14:textId="30CCCDC3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4244</w:t>
            </w:r>
          </w:p>
        </w:tc>
      </w:tr>
      <w:tr w:rsidR="00E136E8" w:rsidRPr="0085678B" w14:paraId="5326E0B5" w14:textId="77777777" w:rsidTr="008D2319">
        <w:trPr>
          <w:trHeight w:val="295"/>
        </w:trPr>
        <w:tc>
          <w:tcPr>
            <w:tcW w:w="1299" w:type="dxa"/>
            <w:shd w:val="clear" w:color="auto" w:fill="B0DD10"/>
            <w:noWrap/>
            <w:vAlign w:val="bottom"/>
            <w:hideMark/>
          </w:tcPr>
          <w:p w14:paraId="02C617F0" w14:textId="77777777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31" w:type="dxa"/>
            <w:shd w:val="clear" w:color="auto" w:fill="auto"/>
            <w:noWrap/>
          </w:tcPr>
          <w:p w14:paraId="0490F8B4" w14:textId="086352F4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2,58</w:t>
            </w:r>
          </w:p>
        </w:tc>
        <w:tc>
          <w:tcPr>
            <w:tcW w:w="1430" w:type="dxa"/>
            <w:shd w:val="clear" w:color="auto" w:fill="auto"/>
            <w:noWrap/>
          </w:tcPr>
          <w:p w14:paraId="48A1D2CE" w14:textId="039F63B6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13,52</w:t>
            </w:r>
          </w:p>
        </w:tc>
        <w:tc>
          <w:tcPr>
            <w:tcW w:w="1430" w:type="dxa"/>
            <w:shd w:val="clear" w:color="auto" w:fill="auto"/>
            <w:noWrap/>
          </w:tcPr>
          <w:p w14:paraId="03210943" w14:textId="48099217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34,18</w:t>
            </w:r>
          </w:p>
        </w:tc>
        <w:tc>
          <w:tcPr>
            <w:tcW w:w="1118" w:type="dxa"/>
            <w:shd w:val="clear" w:color="auto" w:fill="auto"/>
            <w:noWrap/>
          </w:tcPr>
          <w:p w14:paraId="256D1121" w14:textId="3A649010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226</w:t>
            </w:r>
          </w:p>
        </w:tc>
        <w:tc>
          <w:tcPr>
            <w:tcW w:w="1224" w:type="dxa"/>
            <w:shd w:val="clear" w:color="auto" w:fill="auto"/>
            <w:noWrap/>
          </w:tcPr>
          <w:p w14:paraId="6436E4E6" w14:textId="3EF7919A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1185</w:t>
            </w:r>
          </w:p>
        </w:tc>
        <w:tc>
          <w:tcPr>
            <w:tcW w:w="1084" w:type="dxa"/>
            <w:shd w:val="clear" w:color="auto" w:fill="auto"/>
            <w:noWrap/>
          </w:tcPr>
          <w:p w14:paraId="28F82818" w14:textId="3A9987FA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2994</w:t>
            </w:r>
          </w:p>
        </w:tc>
      </w:tr>
      <w:tr w:rsidR="00E136E8" w:rsidRPr="0085678B" w14:paraId="347C671C" w14:textId="77777777" w:rsidTr="008D2319">
        <w:trPr>
          <w:trHeight w:val="295"/>
        </w:trPr>
        <w:tc>
          <w:tcPr>
            <w:tcW w:w="1299" w:type="dxa"/>
            <w:shd w:val="clear" w:color="auto" w:fill="FFD911"/>
            <w:noWrap/>
            <w:vAlign w:val="bottom"/>
            <w:hideMark/>
          </w:tcPr>
          <w:p w14:paraId="15875E3E" w14:textId="77777777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31" w:type="dxa"/>
            <w:shd w:val="clear" w:color="auto" w:fill="auto"/>
            <w:noWrap/>
          </w:tcPr>
          <w:p w14:paraId="053725E0" w14:textId="6571FE28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0,31</w:t>
            </w:r>
          </w:p>
        </w:tc>
        <w:tc>
          <w:tcPr>
            <w:tcW w:w="1430" w:type="dxa"/>
            <w:shd w:val="clear" w:color="auto" w:fill="auto"/>
            <w:noWrap/>
          </w:tcPr>
          <w:p w14:paraId="2FB4C271" w14:textId="14C0E85B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2,53</w:t>
            </w:r>
          </w:p>
        </w:tc>
        <w:tc>
          <w:tcPr>
            <w:tcW w:w="1430" w:type="dxa"/>
            <w:shd w:val="clear" w:color="auto" w:fill="auto"/>
            <w:noWrap/>
          </w:tcPr>
          <w:p w14:paraId="44942824" w14:textId="3236560C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9,10</w:t>
            </w:r>
          </w:p>
        </w:tc>
        <w:tc>
          <w:tcPr>
            <w:tcW w:w="1118" w:type="dxa"/>
            <w:shd w:val="clear" w:color="auto" w:fill="auto"/>
            <w:noWrap/>
          </w:tcPr>
          <w:p w14:paraId="02D4C4AC" w14:textId="5AEF622D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24" w:type="dxa"/>
            <w:shd w:val="clear" w:color="auto" w:fill="auto"/>
            <w:noWrap/>
          </w:tcPr>
          <w:p w14:paraId="3789BAEC" w14:textId="2C964392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221</w:t>
            </w:r>
          </w:p>
        </w:tc>
        <w:tc>
          <w:tcPr>
            <w:tcW w:w="1084" w:type="dxa"/>
            <w:shd w:val="clear" w:color="auto" w:fill="auto"/>
            <w:noWrap/>
          </w:tcPr>
          <w:p w14:paraId="39D4D1AB" w14:textId="1BAB0F1C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797</w:t>
            </w:r>
          </w:p>
        </w:tc>
      </w:tr>
      <w:tr w:rsidR="00E136E8" w:rsidRPr="0085678B" w14:paraId="1EF99AD4" w14:textId="77777777" w:rsidTr="008D2319">
        <w:trPr>
          <w:trHeight w:val="295"/>
        </w:trPr>
        <w:tc>
          <w:tcPr>
            <w:tcW w:w="1299" w:type="dxa"/>
            <w:shd w:val="clear" w:color="auto" w:fill="E58100"/>
            <w:noWrap/>
            <w:vAlign w:val="bottom"/>
            <w:hideMark/>
          </w:tcPr>
          <w:p w14:paraId="238C7CC8" w14:textId="77777777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31" w:type="dxa"/>
            <w:shd w:val="clear" w:color="auto" w:fill="auto"/>
            <w:noWrap/>
          </w:tcPr>
          <w:p w14:paraId="5F9BD5CD" w14:textId="6130221D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0,05</w:t>
            </w:r>
          </w:p>
        </w:tc>
        <w:tc>
          <w:tcPr>
            <w:tcW w:w="1430" w:type="dxa"/>
            <w:shd w:val="clear" w:color="auto" w:fill="auto"/>
            <w:noWrap/>
          </w:tcPr>
          <w:p w14:paraId="78660ECF" w14:textId="479E971E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0,71</w:t>
            </w:r>
          </w:p>
        </w:tc>
        <w:tc>
          <w:tcPr>
            <w:tcW w:w="1430" w:type="dxa"/>
            <w:shd w:val="clear" w:color="auto" w:fill="auto"/>
            <w:noWrap/>
          </w:tcPr>
          <w:p w14:paraId="7E530645" w14:textId="698FCE18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3,95</w:t>
            </w:r>
          </w:p>
        </w:tc>
        <w:tc>
          <w:tcPr>
            <w:tcW w:w="1118" w:type="dxa"/>
            <w:shd w:val="clear" w:color="auto" w:fill="auto"/>
            <w:noWrap/>
          </w:tcPr>
          <w:p w14:paraId="522474A2" w14:textId="5A904DBC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224" w:type="dxa"/>
            <w:shd w:val="clear" w:color="auto" w:fill="auto"/>
            <w:noWrap/>
          </w:tcPr>
          <w:p w14:paraId="5B9B5686" w14:textId="6D0312C4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1084" w:type="dxa"/>
            <w:shd w:val="clear" w:color="auto" w:fill="auto"/>
            <w:noWrap/>
          </w:tcPr>
          <w:p w14:paraId="71532D31" w14:textId="29F3D181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346</w:t>
            </w:r>
          </w:p>
        </w:tc>
      </w:tr>
      <w:tr w:rsidR="00E136E8" w:rsidRPr="0085678B" w14:paraId="4CB150B6" w14:textId="77777777" w:rsidTr="008D2319">
        <w:trPr>
          <w:trHeight w:val="295"/>
        </w:trPr>
        <w:tc>
          <w:tcPr>
            <w:tcW w:w="1299" w:type="dxa"/>
            <w:shd w:val="clear" w:color="auto" w:fill="E50000"/>
            <w:noWrap/>
            <w:vAlign w:val="bottom"/>
            <w:hideMark/>
          </w:tcPr>
          <w:p w14:paraId="68B56B63" w14:textId="77777777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1431" w:type="dxa"/>
            <w:shd w:val="clear" w:color="auto" w:fill="auto"/>
            <w:noWrap/>
          </w:tcPr>
          <w:p w14:paraId="12E5B3E5" w14:textId="0E99ADB8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0,02</w:t>
            </w:r>
          </w:p>
        </w:tc>
        <w:tc>
          <w:tcPr>
            <w:tcW w:w="1430" w:type="dxa"/>
            <w:shd w:val="clear" w:color="auto" w:fill="auto"/>
            <w:noWrap/>
          </w:tcPr>
          <w:p w14:paraId="1133267F" w14:textId="2A182C3F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0,32</w:t>
            </w:r>
          </w:p>
        </w:tc>
        <w:tc>
          <w:tcPr>
            <w:tcW w:w="1430" w:type="dxa"/>
            <w:shd w:val="clear" w:color="auto" w:fill="auto"/>
            <w:noWrap/>
          </w:tcPr>
          <w:p w14:paraId="7258827E" w14:textId="4CE2505A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3,23</w:t>
            </w:r>
          </w:p>
        </w:tc>
        <w:tc>
          <w:tcPr>
            <w:tcW w:w="1118" w:type="dxa"/>
            <w:shd w:val="clear" w:color="auto" w:fill="auto"/>
            <w:noWrap/>
          </w:tcPr>
          <w:p w14:paraId="489309FE" w14:textId="61F255E5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224" w:type="dxa"/>
            <w:shd w:val="clear" w:color="auto" w:fill="auto"/>
            <w:noWrap/>
          </w:tcPr>
          <w:p w14:paraId="4BF3369B" w14:textId="28D60B22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084" w:type="dxa"/>
            <w:shd w:val="clear" w:color="auto" w:fill="auto"/>
            <w:noWrap/>
          </w:tcPr>
          <w:p w14:paraId="4C82B046" w14:textId="3675E222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283</w:t>
            </w:r>
          </w:p>
        </w:tc>
      </w:tr>
      <w:tr w:rsidR="00E136E8" w:rsidRPr="0085678B" w14:paraId="60AD398C" w14:textId="77777777" w:rsidTr="008D2319">
        <w:trPr>
          <w:trHeight w:val="295"/>
        </w:trPr>
        <w:tc>
          <w:tcPr>
            <w:tcW w:w="1299" w:type="dxa"/>
            <w:shd w:val="clear" w:color="auto" w:fill="990000"/>
            <w:noWrap/>
            <w:vAlign w:val="bottom"/>
            <w:hideMark/>
          </w:tcPr>
          <w:p w14:paraId="49722371" w14:textId="77777777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31" w:type="dxa"/>
            <w:shd w:val="clear" w:color="auto" w:fill="auto"/>
            <w:noWrap/>
          </w:tcPr>
          <w:p w14:paraId="3AC69146" w14:textId="38AA36FF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0,01</w:t>
            </w:r>
          </w:p>
        </w:tc>
        <w:tc>
          <w:tcPr>
            <w:tcW w:w="1430" w:type="dxa"/>
            <w:shd w:val="clear" w:color="auto" w:fill="auto"/>
            <w:noWrap/>
          </w:tcPr>
          <w:p w14:paraId="6EC0017E" w14:textId="7C663843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0,08</w:t>
            </w:r>
          </w:p>
        </w:tc>
        <w:tc>
          <w:tcPr>
            <w:tcW w:w="1430" w:type="dxa"/>
            <w:shd w:val="clear" w:color="auto" w:fill="auto"/>
            <w:noWrap/>
          </w:tcPr>
          <w:p w14:paraId="57064186" w14:textId="21315A2C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1,10</w:t>
            </w:r>
          </w:p>
        </w:tc>
        <w:tc>
          <w:tcPr>
            <w:tcW w:w="1118" w:type="dxa"/>
            <w:shd w:val="clear" w:color="auto" w:fill="auto"/>
            <w:noWrap/>
          </w:tcPr>
          <w:p w14:paraId="260C8A2C" w14:textId="2CFFD59C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24" w:type="dxa"/>
            <w:shd w:val="clear" w:color="auto" w:fill="auto"/>
            <w:noWrap/>
          </w:tcPr>
          <w:p w14:paraId="4A1D8151" w14:textId="6DB2930B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084" w:type="dxa"/>
            <w:shd w:val="clear" w:color="auto" w:fill="auto"/>
            <w:noWrap/>
          </w:tcPr>
          <w:p w14:paraId="68F6D744" w14:textId="76BFF0DF" w:rsidR="00E136E8" w:rsidRPr="00A54039" w:rsidRDefault="00E136E8" w:rsidP="00E136E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cstheme="minorHAnsi"/>
                <w:sz w:val="20"/>
                <w:szCs w:val="20"/>
              </w:rPr>
              <w:t>97</w:t>
            </w:r>
          </w:p>
        </w:tc>
      </w:tr>
    </w:tbl>
    <w:p w14:paraId="0C8ABA7B" w14:textId="26E20C4A" w:rsidR="00E136E8" w:rsidRDefault="00E136E8" w:rsidP="0060391F">
      <w:pPr>
        <w:rPr>
          <w:lang w:val="pl-PL"/>
        </w:rPr>
      </w:pPr>
    </w:p>
    <w:p w14:paraId="7825F37A" w14:textId="1349BF06" w:rsidR="00E136E8" w:rsidRDefault="00E136E8" w:rsidP="0060391F">
      <w:pPr>
        <w:rPr>
          <w:lang w:val="pl-PL"/>
        </w:rPr>
      </w:pPr>
      <w:r>
        <w:rPr>
          <w:lang w:val="pl-PL"/>
        </w:rPr>
        <w:t xml:space="preserve">Wyniki na podstawie danych ze innych stacji niż te użyte do definiowania progów potwierdzają dostateczną czułość klasyfikacji. </w:t>
      </w:r>
    </w:p>
    <w:p w14:paraId="15EF30CA" w14:textId="25247588" w:rsidR="0060391F" w:rsidRDefault="0060391F" w:rsidP="0060391F">
      <w:pPr>
        <w:rPr>
          <w:lang w:val="pl-PL"/>
        </w:rPr>
      </w:pPr>
      <w:r>
        <w:rPr>
          <w:lang w:val="pl-PL"/>
        </w:rPr>
        <w:t xml:space="preserve">Należy jednak zwrócić uwagę, że ocena długookresowego stężenia i związanego z nim ryzyka dla zdrowia na podstawie pojedynczych obserwacji krótkookresowych może być błędna, zwłaszcza w miejscach z podwyższonym poziomem zanieczyszczenia. Wskazują na to wyniki przedstawione w tabeli </w:t>
      </w:r>
      <w:r w:rsidR="00A54039">
        <w:rPr>
          <w:lang w:val="pl-PL"/>
        </w:rPr>
        <w:t>4 (dla danych z 27 stacji z pomiarami ciągłymi) i tabel</w:t>
      </w:r>
      <w:r w:rsidR="00BD12D4">
        <w:rPr>
          <w:lang w:val="pl-PL"/>
        </w:rPr>
        <w:t>i</w:t>
      </w:r>
      <w:r w:rsidR="00A54039">
        <w:rPr>
          <w:lang w:val="pl-PL"/>
        </w:rPr>
        <w:t xml:space="preserve"> 5 (dla danych z 63 stacji z pomiarami nieciągłymi)</w:t>
      </w:r>
      <w:r>
        <w:rPr>
          <w:lang w:val="pl-PL"/>
        </w:rPr>
        <w:t>.</w:t>
      </w:r>
    </w:p>
    <w:p w14:paraId="78D74777" w14:textId="33238EBC" w:rsidR="0060391F" w:rsidRPr="00A54039" w:rsidRDefault="0060391F" w:rsidP="0060391F">
      <w:pPr>
        <w:rPr>
          <w:b/>
          <w:bCs/>
          <w:lang w:val="pl-PL"/>
        </w:rPr>
      </w:pPr>
      <w:r w:rsidRPr="00A54039">
        <w:rPr>
          <w:b/>
          <w:bCs/>
          <w:lang w:val="pl-PL"/>
        </w:rPr>
        <w:t xml:space="preserve">Tabela 3. </w:t>
      </w:r>
      <w:r w:rsidR="00724A21" w:rsidRPr="00A54039">
        <w:rPr>
          <w:b/>
          <w:bCs/>
          <w:lang w:val="pl-PL"/>
        </w:rPr>
        <w:t>Odsetek klasyfikacji indeksu do kategorii zgodnych i niezgodnych z ryzykiem oszacowanym na podstawie długookresowej średniej stężeń</w:t>
      </w:r>
      <w:r w:rsidR="00A54039">
        <w:rPr>
          <w:b/>
          <w:bCs/>
          <w:lang w:val="pl-PL"/>
        </w:rPr>
        <w:t xml:space="preserve">. </w:t>
      </w:r>
      <w:r w:rsidR="00A54039" w:rsidRPr="00495EFB">
        <w:rPr>
          <w:b/>
          <w:bCs/>
          <w:lang w:val="pl-PL"/>
        </w:rPr>
        <w:t>Dane z 27 stacji z pomiarami ciągłymi w okresie 2011-2019</w:t>
      </w:r>
      <w:r w:rsidR="00A54039">
        <w:rPr>
          <w:b/>
          <w:bCs/>
          <w:lang w:val="pl-PL"/>
        </w:rPr>
        <w:t xml:space="preserve"> </w:t>
      </w:r>
    </w:p>
    <w:tbl>
      <w:tblPr>
        <w:tblW w:w="6091" w:type="dxa"/>
        <w:jc w:val="center"/>
        <w:tblLook w:val="04A0" w:firstRow="1" w:lastRow="0" w:firstColumn="1" w:lastColumn="0" w:noHBand="0" w:noVBand="1"/>
      </w:tblPr>
      <w:tblGrid>
        <w:gridCol w:w="3114"/>
        <w:gridCol w:w="850"/>
        <w:gridCol w:w="1134"/>
        <w:gridCol w:w="993"/>
      </w:tblGrid>
      <w:tr w:rsidR="0060391F" w:rsidRPr="0060391F" w14:paraId="7C1A1136" w14:textId="77777777" w:rsidTr="00A54039">
        <w:trPr>
          <w:trHeight w:val="295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8E72" w14:textId="77777777" w:rsidR="0060391F" w:rsidRPr="0060391F" w:rsidRDefault="0060391F" w:rsidP="0060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% </w:t>
            </w:r>
            <w:proofErr w:type="spellStart"/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godzin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B31C" w14:textId="77777777" w:rsidR="0060391F" w:rsidRPr="0060391F" w:rsidRDefault="0060391F" w:rsidP="0060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Średnie</w:t>
            </w:r>
            <w:proofErr w:type="spellEnd"/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stężenie</w:t>
            </w:r>
            <w:proofErr w:type="spellEnd"/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(µg/m³)</w:t>
            </w:r>
          </w:p>
        </w:tc>
      </w:tr>
      <w:tr w:rsidR="0060391F" w:rsidRPr="0060391F" w14:paraId="5387DD2C" w14:textId="77777777" w:rsidTr="00A54039">
        <w:trPr>
          <w:trHeight w:val="295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32EDE" w14:textId="77777777" w:rsidR="0060391F" w:rsidRPr="0060391F" w:rsidRDefault="0060391F" w:rsidP="0060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C400" w14:textId="77777777" w:rsidR="0060391F" w:rsidRPr="0060391F" w:rsidRDefault="0060391F" w:rsidP="0060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 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2D89" w14:textId="77777777" w:rsidR="0060391F" w:rsidRPr="0060391F" w:rsidRDefault="0060391F" w:rsidP="0060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0,83- 2,50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CAC39" w14:textId="77777777" w:rsidR="0060391F" w:rsidRPr="0060391F" w:rsidRDefault="0060391F" w:rsidP="0060391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&gt; 2,50</w:t>
            </w:r>
          </w:p>
        </w:tc>
      </w:tr>
      <w:tr w:rsidR="0060391F" w:rsidRPr="0060391F" w14:paraId="6C3BE3D2" w14:textId="77777777" w:rsidTr="00A54039">
        <w:trPr>
          <w:trHeight w:val="295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D25A" w14:textId="7B732816" w:rsidR="0060391F" w:rsidRPr="0060391F" w:rsidRDefault="00724A21" w:rsidP="0060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24A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</w:t>
            </w:r>
            <w:r w:rsidR="0060391F"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elnych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99B8" w14:textId="64A4D3DB" w:rsidR="0060391F" w:rsidRPr="0060391F" w:rsidRDefault="0060391F" w:rsidP="00724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E536" w14:textId="68C3B0FE" w:rsidR="0060391F" w:rsidRPr="0060391F" w:rsidRDefault="0060391F" w:rsidP="00724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1964" w14:textId="77777777" w:rsidR="0060391F" w:rsidRPr="0060391F" w:rsidRDefault="0060391F" w:rsidP="00724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8%</w:t>
            </w:r>
          </w:p>
        </w:tc>
      </w:tr>
      <w:tr w:rsidR="0060391F" w:rsidRPr="0060391F" w14:paraId="1C9CA2FC" w14:textId="77777777" w:rsidTr="00A54039">
        <w:trPr>
          <w:trHeight w:val="295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EEF7" w14:textId="6580E417" w:rsidR="0060391F" w:rsidRPr="0060391F" w:rsidRDefault="00724A21" w:rsidP="0060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24A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</w:t>
            </w:r>
            <w:r w:rsidR="0060391F"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rzeszac</w:t>
            </w:r>
            <w:r w:rsidRPr="00724A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owu</w:t>
            </w:r>
            <w:r w:rsidR="0060391F"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</w:t>
            </w:r>
            <w:r w:rsidR="0060391F" w:rsidRPr="00724A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ą</w:t>
            </w:r>
            <w:r w:rsidR="0060391F"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cych</w:t>
            </w:r>
            <w:proofErr w:type="spellEnd"/>
            <w:r w:rsidR="0060391F"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60391F"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ryzyko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675A" w14:textId="366A013A" w:rsidR="0060391F" w:rsidRPr="0060391F" w:rsidRDefault="0060391F" w:rsidP="00724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B791" w14:textId="77777777" w:rsidR="0060391F" w:rsidRPr="0060391F" w:rsidRDefault="0060391F" w:rsidP="00724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27A5" w14:textId="77777777" w:rsidR="0060391F" w:rsidRPr="0060391F" w:rsidRDefault="0060391F" w:rsidP="00724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</w:tr>
      <w:tr w:rsidR="0060391F" w:rsidRPr="0060391F" w14:paraId="7E535DBD" w14:textId="77777777" w:rsidTr="00A54039">
        <w:trPr>
          <w:trHeight w:val="295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604F" w14:textId="1110EF86" w:rsidR="0060391F" w:rsidRPr="0060391F" w:rsidRDefault="00724A21" w:rsidP="006039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724A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</w:t>
            </w:r>
            <w:r w:rsidR="0060391F"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iedoszacow</w:t>
            </w:r>
            <w:r w:rsidRPr="00724A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</w:t>
            </w:r>
            <w:r w:rsidR="0060391F"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</w:t>
            </w:r>
            <w:r w:rsidRPr="00724A2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ą</w:t>
            </w:r>
            <w:r w:rsidR="0060391F"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cych</w:t>
            </w:r>
            <w:proofErr w:type="spellEnd"/>
            <w:r w:rsidR="0060391F"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="0060391F"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ryzyk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8A77" w14:textId="77777777" w:rsidR="0060391F" w:rsidRPr="0060391F" w:rsidRDefault="0060391F" w:rsidP="00724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FA48" w14:textId="1BBDD8B4" w:rsidR="0060391F" w:rsidRPr="0060391F" w:rsidRDefault="0060391F" w:rsidP="00724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6A27" w14:textId="77777777" w:rsidR="0060391F" w:rsidRPr="0060391F" w:rsidRDefault="0060391F" w:rsidP="00724A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0391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92%</w:t>
            </w:r>
          </w:p>
        </w:tc>
      </w:tr>
    </w:tbl>
    <w:p w14:paraId="220320B8" w14:textId="7627A307" w:rsidR="0060391F" w:rsidRDefault="0060391F" w:rsidP="0060391F">
      <w:pPr>
        <w:rPr>
          <w:lang w:val="pl-PL"/>
        </w:rPr>
      </w:pPr>
    </w:p>
    <w:p w14:paraId="58827C3D" w14:textId="1835C250" w:rsidR="00A54039" w:rsidRPr="00A54039" w:rsidRDefault="00A54039" w:rsidP="00A54039">
      <w:pPr>
        <w:rPr>
          <w:b/>
          <w:bCs/>
          <w:lang w:val="pl-PL"/>
        </w:rPr>
      </w:pPr>
      <w:r w:rsidRPr="00A54039">
        <w:rPr>
          <w:b/>
          <w:bCs/>
          <w:lang w:val="pl-PL"/>
        </w:rPr>
        <w:t>Tabela 3. Odsetek klasyfikacji indeksu do kategorii zgodnych i niezgodnych z ryzykiem oszacowanym na podstawie długookresowej średniej stężeń</w:t>
      </w:r>
      <w:r>
        <w:rPr>
          <w:b/>
          <w:bCs/>
          <w:lang w:val="pl-PL"/>
        </w:rPr>
        <w:t xml:space="preserve">. </w:t>
      </w:r>
      <w:r w:rsidRPr="00495EFB">
        <w:rPr>
          <w:b/>
          <w:bCs/>
          <w:lang w:val="pl-PL"/>
        </w:rPr>
        <w:t xml:space="preserve">Dane z </w:t>
      </w:r>
      <w:r>
        <w:rPr>
          <w:b/>
          <w:bCs/>
          <w:lang w:val="pl-PL"/>
        </w:rPr>
        <w:t xml:space="preserve">63 </w:t>
      </w:r>
      <w:r w:rsidRPr="00495EFB">
        <w:rPr>
          <w:b/>
          <w:bCs/>
          <w:lang w:val="pl-PL"/>
        </w:rPr>
        <w:t xml:space="preserve">stacji z pomiarami </w:t>
      </w:r>
      <w:r>
        <w:rPr>
          <w:b/>
          <w:bCs/>
          <w:lang w:val="pl-PL"/>
        </w:rPr>
        <w:t>nie</w:t>
      </w:r>
      <w:r w:rsidRPr="00495EFB">
        <w:rPr>
          <w:b/>
          <w:bCs/>
          <w:lang w:val="pl-PL"/>
        </w:rPr>
        <w:t>ciągłymi w okresie 2011-2019</w:t>
      </w:r>
      <w:r>
        <w:rPr>
          <w:b/>
          <w:bCs/>
          <w:lang w:val="pl-PL"/>
        </w:rPr>
        <w:t xml:space="preserve"> </w:t>
      </w:r>
    </w:p>
    <w:tbl>
      <w:tblPr>
        <w:tblW w:w="6091" w:type="dxa"/>
        <w:jc w:val="center"/>
        <w:tblLook w:val="04A0" w:firstRow="1" w:lastRow="0" w:firstColumn="1" w:lastColumn="0" w:noHBand="0" w:noVBand="1"/>
      </w:tblPr>
      <w:tblGrid>
        <w:gridCol w:w="3114"/>
        <w:gridCol w:w="850"/>
        <w:gridCol w:w="1134"/>
        <w:gridCol w:w="993"/>
      </w:tblGrid>
      <w:tr w:rsidR="00A54039" w:rsidRPr="0060391F" w14:paraId="6A96967F" w14:textId="77777777" w:rsidTr="007E3E50">
        <w:trPr>
          <w:trHeight w:val="295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244D" w14:textId="77777777" w:rsidR="00A54039" w:rsidRPr="00A54039" w:rsidRDefault="00A54039" w:rsidP="007E3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% </w:t>
            </w: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godzin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6648" w14:textId="77777777" w:rsidR="00A54039" w:rsidRPr="00A54039" w:rsidRDefault="00A54039" w:rsidP="007E3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Średnie</w:t>
            </w:r>
            <w:proofErr w:type="spellEnd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stężenie</w:t>
            </w:r>
            <w:proofErr w:type="spellEnd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(µg/m³)</w:t>
            </w:r>
          </w:p>
        </w:tc>
      </w:tr>
      <w:tr w:rsidR="00A54039" w:rsidRPr="0060391F" w14:paraId="2550F74A" w14:textId="77777777" w:rsidTr="007E3E50">
        <w:trPr>
          <w:trHeight w:val="295"/>
          <w:jc w:val="center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864C6" w14:textId="77777777" w:rsidR="00A54039" w:rsidRPr="00A54039" w:rsidRDefault="00A54039" w:rsidP="007E3E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EC336" w14:textId="77777777" w:rsidR="00A54039" w:rsidRPr="00A54039" w:rsidRDefault="00A54039" w:rsidP="007E3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&lt; 0,83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3F32B" w14:textId="77777777" w:rsidR="00A54039" w:rsidRPr="00A54039" w:rsidRDefault="00A54039" w:rsidP="007E3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0,83- 2,50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7888" w14:textId="77777777" w:rsidR="00A54039" w:rsidRPr="00A54039" w:rsidRDefault="00A54039" w:rsidP="007E3E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&gt; 2,50</w:t>
            </w:r>
          </w:p>
        </w:tc>
      </w:tr>
      <w:tr w:rsidR="00A54039" w:rsidRPr="0060391F" w14:paraId="60478053" w14:textId="77777777" w:rsidTr="00A54039">
        <w:trPr>
          <w:trHeight w:val="295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8B5B" w14:textId="77777777" w:rsidR="00A54039" w:rsidRPr="00A54039" w:rsidRDefault="00A54039" w:rsidP="00A54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Celnych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DE1BF" w14:textId="1630B800" w:rsidR="00A54039" w:rsidRPr="00A54039" w:rsidRDefault="00A54039" w:rsidP="00A54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hAnsi="Calibri" w:cs="Calibri"/>
                <w:color w:val="000000"/>
                <w:sz w:val="20"/>
                <w:szCs w:val="20"/>
              </w:rPr>
              <w:t>97%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A455C" w14:textId="63A727B2" w:rsidR="00A54039" w:rsidRPr="00A54039" w:rsidRDefault="00A54039" w:rsidP="00A54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hAnsi="Calibri" w:cs="Calibri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3C69D" w14:textId="10797B17" w:rsidR="00A54039" w:rsidRPr="00A54039" w:rsidRDefault="00A54039" w:rsidP="00A54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hAnsi="Calibri" w:cs="Calibri"/>
                <w:color w:val="000000"/>
                <w:sz w:val="20"/>
                <w:szCs w:val="20"/>
              </w:rPr>
              <w:t>8%</w:t>
            </w:r>
          </w:p>
        </w:tc>
      </w:tr>
      <w:tr w:rsidR="00A54039" w:rsidRPr="0060391F" w14:paraId="07D1D001" w14:textId="77777777" w:rsidTr="00A54039">
        <w:trPr>
          <w:trHeight w:val="295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E3C5" w14:textId="77777777" w:rsidR="00A54039" w:rsidRPr="00A54039" w:rsidRDefault="00A54039" w:rsidP="00A54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Przeszacowujących</w:t>
            </w:r>
            <w:proofErr w:type="spellEnd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ryzyko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8BA76" w14:textId="7FF03BC3" w:rsidR="00A54039" w:rsidRPr="00A54039" w:rsidRDefault="00A54039" w:rsidP="00A54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hAnsi="Calibri" w:cs="Calibri"/>
                <w:color w:val="000000"/>
                <w:sz w:val="20"/>
                <w:szCs w:val="20"/>
              </w:rPr>
              <w:t>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5F5B1" w14:textId="49538D5E" w:rsidR="00A54039" w:rsidRPr="00A54039" w:rsidRDefault="00A54039" w:rsidP="00A54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hAnsi="Calibri" w:cs="Calibri"/>
                <w:color w:val="000000"/>
                <w:sz w:val="20"/>
                <w:szCs w:val="20"/>
              </w:rPr>
              <w:t>1%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F6350" w14:textId="3130681E" w:rsidR="00A54039" w:rsidRPr="00A54039" w:rsidRDefault="00A54039" w:rsidP="00A54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hAnsi="Calibri" w:cs="Calibri"/>
                <w:color w:val="000000"/>
                <w:sz w:val="20"/>
                <w:szCs w:val="20"/>
              </w:rPr>
              <w:t>0%</w:t>
            </w:r>
          </w:p>
        </w:tc>
      </w:tr>
      <w:tr w:rsidR="00A54039" w:rsidRPr="0060391F" w14:paraId="32FE893E" w14:textId="77777777" w:rsidTr="00A54039">
        <w:trPr>
          <w:trHeight w:val="295"/>
          <w:jc w:val="center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64F9" w14:textId="77777777" w:rsidR="00A54039" w:rsidRPr="00A54039" w:rsidRDefault="00A54039" w:rsidP="00A540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Niedoszacowujących</w:t>
            </w:r>
            <w:proofErr w:type="spellEnd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A5403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ryzyka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F5730" w14:textId="3E319CF4" w:rsidR="00A54039" w:rsidRPr="00A54039" w:rsidRDefault="00A54039" w:rsidP="00A54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hAnsi="Calibri" w:cs="Calibri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07ECA" w14:textId="1927997D" w:rsidR="00A54039" w:rsidRPr="00A54039" w:rsidRDefault="00A54039" w:rsidP="00A54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hAnsi="Calibri" w:cs="Calibri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E79E" w14:textId="5317A5DB" w:rsidR="00A54039" w:rsidRPr="00A54039" w:rsidRDefault="00A54039" w:rsidP="00A540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A54039">
              <w:rPr>
                <w:rFonts w:ascii="Calibri" w:hAnsi="Calibri" w:cs="Calibri"/>
                <w:color w:val="000000"/>
                <w:sz w:val="20"/>
                <w:szCs w:val="20"/>
              </w:rPr>
              <w:t>92%</w:t>
            </w:r>
          </w:p>
        </w:tc>
      </w:tr>
    </w:tbl>
    <w:p w14:paraId="69A63E20" w14:textId="29AA31C2" w:rsidR="00A54039" w:rsidRDefault="00A54039" w:rsidP="0060391F">
      <w:pPr>
        <w:rPr>
          <w:lang w:val="pl-PL"/>
        </w:rPr>
      </w:pPr>
    </w:p>
    <w:p w14:paraId="32404C3A" w14:textId="0E0853FF" w:rsidR="00575BBF" w:rsidRDefault="00724A21" w:rsidP="00724A21">
      <w:pPr>
        <w:rPr>
          <w:lang w:val="pl-PL"/>
        </w:rPr>
      </w:pPr>
      <w:r>
        <w:rPr>
          <w:lang w:val="pl-PL"/>
        </w:rPr>
        <w:t xml:space="preserve">Lepsze oszacowanie ryzyka w miejscach z wysokimi stężeniami średnimi można osiągnąć opierając klasyfikację na 95tym </w:t>
      </w:r>
      <w:proofErr w:type="spellStart"/>
      <w:r>
        <w:rPr>
          <w:lang w:val="pl-PL"/>
        </w:rPr>
        <w:t>centylu</w:t>
      </w:r>
      <w:proofErr w:type="spellEnd"/>
      <w:r>
        <w:rPr>
          <w:lang w:val="pl-PL"/>
        </w:rPr>
        <w:t xml:space="preserve"> pomiarów godzinowych z okresu (min. roku) poprzedzającego godzinę </w:t>
      </w:r>
      <w:r>
        <w:rPr>
          <w:lang w:val="pl-PL"/>
        </w:rPr>
        <w:lastRenderedPageBreak/>
        <w:t xml:space="preserve">pomiaru. </w:t>
      </w:r>
      <w:r w:rsidR="00575BBF">
        <w:rPr>
          <w:lang w:val="pl-PL"/>
        </w:rPr>
        <w:t xml:space="preserve">Zastosowanie takiej metody wymagałoby przebudowania indeksu, który musiałby odnosić się do bazy danych i wyliczać </w:t>
      </w:r>
      <w:proofErr w:type="spellStart"/>
      <w:r w:rsidR="00575BBF">
        <w:rPr>
          <w:lang w:val="pl-PL"/>
        </w:rPr>
        <w:t>centyle</w:t>
      </w:r>
      <w:proofErr w:type="spellEnd"/>
      <w:r w:rsidR="00575BBF">
        <w:rPr>
          <w:lang w:val="pl-PL"/>
        </w:rPr>
        <w:t xml:space="preserve"> przed prezentacją odpowiedniej kategorii indeksu. Oznaczałoby odejście od </w:t>
      </w:r>
      <w:r w:rsidR="00BD12D4">
        <w:rPr>
          <w:lang w:val="pl-PL"/>
        </w:rPr>
        <w:t xml:space="preserve">obecnie stosowanej </w:t>
      </w:r>
      <w:r w:rsidR="00575BBF">
        <w:rPr>
          <w:lang w:val="pl-PL"/>
        </w:rPr>
        <w:t xml:space="preserve">metody wyznaczania </w:t>
      </w:r>
      <w:r w:rsidR="00BD12D4">
        <w:rPr>
          <w:lang w:val="pl-PL"/>
        </w:rPr>
        <w:t xml:space="preserve">indeksu </w:t>
      </w:r>
      <w:r w:rsidR="00575BBF">
        <w:rPr>
          <w:lang w:val="pl-PL"/>
        </w:rPr>
        <w:t>na podstawie ustalonych z góry wartości progów jednogodzinowych.</w:t>
      </w:r>
    </w:p>
    <w:p w14:paraId="35F85A24" w14:textId="382A771F" w:rsidR="003C231E" w:rsidRPr="0085678B" w:rsidRDefault="003C231E" w:rsidP="00724A21">
      <w:pPr>
        <w:rPr>
          <w:lang w:val="pl-PL"/>
        </w:rPr>
      </w:pPr>
    </w:p>
    <w:sectPr w:rsidR="003C231E" w:rsidRPr="0085678B" w:rsidSect="0026339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43D55" w14:textId="77777777" w:rsidR="00820BB1" w:rsidRDefault="00820BB1" w:rsidP="00A54039">
      <w:pPr>
        <w:spacing w:after="0" w:line="240" w:lineRule="auto"/>
      </w:pPr>
      <w:r>
        <w:separator/>
      </w:r>
    </w:p>
  </w:endnote>
  <w:endnote w:type="continuationSeparator" w:id="0">
    <w:p w14:paraId="3608ECC3" w14:textId="77777777" w:rsidR="00820BB1" w:rsidRDefault="00820BB1" w:rsidP="00A54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65253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F3FE5E" w14:textId="5D68D53C" w:rsidR="00E50A44" w:rsidRDefault="00E50A4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EEE4E9" w14:textId="77777777" w:rsidR="00E50A44" w:rsidRDefault="00E50A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FC42D" w14:textId="77777777" w:rsidR="00820BB1" w:rsidRDefault="00820BB1" w:rsidP="00A54039">
      <w:pPr>
        <w:spacing w:after="0" w:line="240" w:lineRule="auto"/>
      </w:pPr>
      <w:r>
        <w:separator/>
      </w:r>
    </w:p>
  </w:footnote>
  <w:footnote w:type="continuationSeparator" w:id="0">
    <w:p w14:paraId="058FC4E0" w14:textId="77777777" w:rsidR="00820BB1" w:rsidRDefault="00820BB1" w:rsidP="00A54039">
      <w:pPr>
        <w:spacing w:after="0" w:line="240" w:lineRule="auto"/>
      </w:pPr>
      <w:r>
        <w:continuationSeparator/>
      </w:r>
    </w:p>
  </w:footnote>
  <w:footnote w:id="1">
    <w:p w14:paraId="3E5FD2F5" w14:textId="71B6596A" w:rsidR="00E50A44" w:rsidRPr="00E50A44" w:rsidRDefault="00E50A44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en-US"/>
        </w:rPr>
        <w:t>Air Quality Guidelines for Europe. 2</w:t>
      </w:r>
      <w:r w:rsidRPr="00E50A44">
        <w:rPr>
          <w:vertAlign w:val="superscript"/>
          <w:lang w:val="en-US"/>
        </w:rPr>
        <w:t>nd</w:t>
      </w:r>
      <w:r>
        <w:rPr>
          <w:lang w:val="en-US"/>
        </w:rPr>
        <w:t xml:space="preserve"> edition. WHO Regional Publications, European Series No.91. World Health Organization 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D5771C" w14:textId="71E5FC4D" w:rsidR="00A54039" w:rsidRPr="00A54039" w:rsidRDefault="00A54039" w:rsidP="00A54039">
    <w:pPr>
      <w:pStyle w:val="Nagwek"/>
      <w:jc w:val="right"/>
      <w:rPr>
        <w:sz w:val="18"/>
        <w:szCs w:val="18"/>
      </w:rPr>
    </w:pPr>
    <w:r w:rsidRPr="00A54039">
      <w:rPr>
        <w:sz w:val="18"/>
        <w:szCs w:val="18"/>
      </w:rPr>
      <w:t>9.07.2020</w:t>
    </w:r>
  </w:p>
  <w:p w14:paraId="3638F83C" w14:textId="77777777" w:rsidR="00A54039" w:rsidRDefault="00A540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918F4"/>
    <w:multiLevelType w:val="hybridMultilevel"/>
    <w:tmpl w:val="14BCE1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913AB"/>
    <w:multiLevelType w:val="hybridMultilevel"/>
    <w:tmpl w:val="494A2D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5C8"/>
    <w:rsid w:val="00044D9D"/>
    <w:rsid w:val="000A766D"/>
    <w:rsid w:val="000F2C84"/>
    <w:rsid w:val="00214054"/>
    <w:rsid w:val="00263397"/>
    <w:rsid w:val="002F0BC8"/>
    <w:rsid w:val="003C231E"/>
    <w:rsid w:val="00475E35"/>
    <w:rsid w:val="00495EFB"/>
    <w:rsid w:val="004A716F"/>
    <w:rsid w:val="004E3C54"/>
    <w:rsid w:val="00575012"/>
    <w:rsid w:val="00575BBF"/>
    <w:rsid w:val="005C6EDF"/>
    <w:rsid w:val="0060391F"/>
    <w:rsid w:val="006B7AC3"/>
    <w:rsid w:val="00724A21"/>
    <w:rsid w:val="007C05C8"/>
    <w:rsid w:val="00804FDD"/>
    <w:rsid w:val="00820BB1"/>
    <w:rsid w:val="00840DA2"/>
    <w:rsid w:val="0085678B"/>
    <w:rsid w:val="00897D4B"/>
    <w:rsid w:val="008D2319"/>
    <w:rsid w:val="009B50F5"/>
    <w:rsid w:val="00A54039"/>
    <w:rsid w:val="00AC53EF"/>
    <w:rsid w:val="00BD12D4"/>
    <w:rsid w:val="00C060AD"/>
    <w:rsid w:val="00CA181B"/>
    <w:rsid w:val="00CC76CC"/>
    <w:rsid w:val="00CD53FA"/>
    <w:rsid w:val="00CE21C7"/>
    <w:rsid w:val="00DB7FF1"/>
    <w:rsid w:val="00E136E8"/>
    <w:rsid w:val="00E50A44"/>
    <w:rsid w:val="00F07DDD"/>
    <w:rsid w:val="00F6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E89C3"/>
  <w15:chartTrackingRefBased/>
  <w15:docId w15:val="{3F5363FF-273B-49DC-9693-99ABAC72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4A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05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24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AC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54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4039"/>
  </w:style>
  <w:style w:type="paragraph" w:styleId="Stopka">
    <w:name w:val="footer"/>
    <w:basedOn w:val="Normalny"/>
    <w:link w:val="StopkaZnak"/>
    <w:uiPriority w:val="99"/>
    <w:unhideWhenUsed/>
    <w:rsid w:val="00A540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403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A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A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A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321;ukasz%20Adamkiewicz\Dysk%20Google\Fundacja%20hasz%2013\projekty%20do%20sfinansowanie\ECF%202017\zespol\benzen\Benzen%20analizy%20ver11%20wskaznik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'P95SA_inne stacje'!$O$2</c:f>
              <c:strCache>
                <c:ptCount val="1"/>
                <c:pt idx="0">
                  <c:v>P95 2011-2019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1"/>
            <c:dispEq val="1"/>
            <c:trendlineLbl>
              <c:layout>
                <c:manualLayout>
                  <c:x val="-0.39685958005249344"/>
                  <c:y val="9.2175925925925925E-2"/>
                </c:manualLayout>
              </c:layout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l-PL"/>
                </a:p>
              </c:txPr>
            </c:trendlineLbl>
          </c:trendline>
          <c:xVal>
            <c:numRef>
              <c:f>'P95SA_inne stacje'!$I$3:$I$33</c:f>
              <c:numCache>
                <c:formatCode>0.000</c:formatCode>
                <c:ptCount val="31"/>
                <c:pt idx="0">
                  <c:v>1.3653102117278662</c:v>
                </c:pt>
                <c:pt idx="1">
                  <c:v>1.3925856731339299</c:v>
                </c:pt>
                <c:pt idx="2">
                  <c:v>1.2122473518136136</c:v>
                </c:pt>
                <c:pt idx="3">
                  <c:v>1.3823589901429623</c:v>
                </c:pt>
                <c:pt idx="5">
                  <c:v>0.84516438692760776</c:v>
                </c:pt>
                <c:pt idx="6">
                  <c:v>0.89806012092766641</c:v>
                </c:pt>
                <c:pt idx="7">
                  <c:v>1.7860604994723748</c:v>
                </c:pt>
                <c:pt idx="9">
                  <c:v>1.5181374511486079</c:v>
                </c:pt>
                <c:pt idx="10">
                  <c:v>0.57314881680596241</c:v>
                </c:pt>
                <c:pt idx="11">
                  <c:v>0.51000468533458965</c:v>
                </c:pt>
                <c:pt idx="12">
                  <c:v>2.2680694401911383</c:v>
                </c:pt>
                <c:pt idx="13">
                  <c:v>1.3531935479647041</c:v>
                </c:pt>
                <c:pt idx="14">
                  <c:v>1.4889571075856325</c:v>
                </c:pt>
                <c:pt idx="15">
                  <c:v>1.4649570821335474</c:v>
                </c:pt>
                <c:pt idx="16">
                  <c:v>1.6316326254564981</c:v>
                </c:pt>
                <c:pt idx="17">
                  <c:v>1.1163846708560861</c:v>
                </c:pt>
                <c:pt idx="18">
                  <c:v>5.255601753104501</c:v>
                </c:pt>
                <c:pt idx="19">
                  <c:v>4.7306219482413905</c:v>
                </c:pt>
                <c:pt idx="21">
                  <c:v>0.74014398269620929</c:v>
                </c:pt>
                <c:pt idx="22">
                  <c:v>1.7193976149220722</c:v>
                </c:pt>
                <c:pt idx="23">
                  <c:v>0.98567317413746647</c:v>
                </c:pt>
                <c:pt idx="24">
                  <c:v>1.9529707392152946</c:v>
                </c:pt>
                <c:pt idx="25">
                  <c:v>3.0560497946515564</c:v>
                </c:pt>
                <c:pt idx="27">
                  <c:v>1.0513806108242538</c:v>
                </c:pt>
                <c:pt idx="28">
                  <c:v>0.85970373219667495</c:v>
                </c:pt>
                <c:pt idx="29">
                  <c:v>0.95355721290533035</c:v>
                </c:pt>
                <c:pt idx="30">
                  <c:v>0.93466198457609417</c:v>
                </c:pt>
              </c:numCache>
            </c:numRef>
          </c:xVal>
          <c:yVal>
            <c:numRef>
              <c:f>'P95SA_inne stacje'!$O$3:$O$33</c:f>
              <c:numCache>
                <c:formatCode>0.000</c:formatCode>
                <c:ptCount val="31"/>
                <c:pt idx="0">
                  <c:v>4.29</c:v>
                </c:pt>
                <c:pt idx="1">
                  <c:v>4.9000000000000004</c:v>
                </c:pt>
                <c:pt idx="2">
                  <c:v>5.0999999999999996</c:v>
                </c:pt>
                <c:pt idx="3">
                  <c:v>5.23</c:v>
                </c:pt>
                <c:pt idx="4">
                  <c:v>2.93</c:v>
                </c:pt>
                <c:pt idx="5">
                  <c:v>3.17</c:v>
                </c:pt>
                <c:pt idx="6">
                  <c:v>3</c:v>
                </c:pt>
                <c:pt idx="7">
                  <c:v>4.9000000000000004</c:v>
                </c:pt>
                <c:pt idx="8">
                  <c:v>4.3899999999999997</c:v>
                </c:pt>
                <c:pt idx="9">
                  <c:v>4.88</c:v>
                </c:pt>
                <c:pt idx="10">
                  <c:v>2.35</c:v>
                </c:pt>
                <c:pt idx="11">
                  <c:v>1.95</c:v>
                </c:pt>
                <c:pt idx="12">
                  <c:v>7.9</c:v>
                </c:pt>
                <c:pt idx="13">
                  <c:v>4.2300000000000004</c:v>
                </c:pt>
                <c:pt idx="14">
                  <c:v>4.6100000000000003</c:v>
                </c:pt>
                <c:pt idx="15">
                  <c:v>4.7</c:v>
                </c:pt>
                <c:pt idx="16">
                  <c:v>4.0599999999999996</c:v>
                </c:pt>
                <c:pt idx="17">
                  <c:v>3.5729999999999564</c:v>
                </c:pt>
                <c:pt idx="18">
                  <c:v>20</c:v>
                </c:pt>
                <c:pt idx="19">
                  <c:v>22.745499999999957</c:v>
                </c:pt>
                <c:pt idx="20">
                  <c:v>4.33</c:v>
                </c:pt>
                <c:pt idx="21">
                  <c:v>2.65</c:v>
                </c:pt>
                <c:pt idx="22">
                  <c:v>5.7</c:v>
                </c:pt>
                <c:pt idx="23">
                  <c:v>3.6</c:v>
                </c:pt>
                <c:pt idx="24">
                  <c:v>6.1</c:v>
                </c:pt>
                <c:pt idx="25">
                  <c:v>10.1</c:v>
                </c:pt>
                <c:pt idx="26">
                  <c:v>3.4</c:v>
                </c:pt>
                <c:pt idx="27">
                  <c:v>3.23</c:v>
                </c:pt>
                <c:pt idx="28">
                  <c:v>2.77</c:v>
                </c:pt>
                <c:pt idx="29">
                  <c:v>3.77</c:v>
                </c:pt>
                <c:pt idx="30">
                  <c:v>2.87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4270-48FC-9C57-5E6F40FC9D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712748479"/>
        <c:axId val="1514575807"/>
      </c:scatterChart>
      <c:valAx>
        <c:axId val="171274847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Sa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14575807"/>
        <c:crosses val="autoZero"/>
        <c:crossBetween val="midCat"/>
      </c:valAx>
      <c:valAx>
        <c:axId val="15145758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GB"/>
                  <a:t>P95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.000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712748479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B0176-5DB7-4008-8B41-AF753E1C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961</Words>
  <Characters>5771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Krzyzanowski</dc:creator>
  <cp:keywords/>
  <dc:description/>
  <cp:lastModifiedBy>Łukasz Adamkiewicz</cp:lastModifiedBy>
  <cp:revision>2</cp:revision>
  <dcterms:created xsi:type="dcterms:W3CDTF">2020-07-09T13:39:00Z</dcterms:created>
  <dcterms:modified xsi:type="dcterms:W3CDTF">2020-07-09T13:39:00Z</dcterms:modified>
</cp:coreProperties>
</file>