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>W związku z prowadzonym postępowaniem o udzielenie zamówienia publicznego na „</w:t>
      </w:r>
      <w:r w:rsidR="007C2B6A">
        <w:rPr>
          <w:rStyle w:val="Teksttreci"/>
          <w:rFonts w:cs="Times New Roman"/>
          <w:sz w:val="24"/>
          <w:szCs w:val="24"/>
        </w:rPr>
        <w:t>organizację uroczystości z okazji Międzynarodowego Dnia Pielęgniarek i Położnych organizowanej przez Ministerstwo Zdrowia”</w:t>
      </w:r>
      <w:bookmarkStart w:id="0" w:name="_GoBack"/>
      <w:bookmarkEnd w:id="0"/>
      <w:r w:rsidRPr="00224A7A">
        <w:rPr>
          <w:rFonts w:cs="Times New Roman"/>
          <w:sz w:val="24"/>
          <w:szCs w:val="24"/>
        </w:rPr>
        <w:t xml:space="preserve">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6C63A0">
      <w:pPr>
        <w:spacing w:line="360" w:lineRule="auto"/>
        <w:jc w:val="both"/>
        <w:rPr>
          <w:i/>
          <w:sz w:val="20"/>
        </w:rPr>
      </w:pPr>
    </w:p>
    <w:sectPr w:rsidR="007252B3" w:rsidRPr="00CC7456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7C2B6A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7C2B6A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224A7A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24A7A"/>
    <w:rsid w:val="00366DB4"/>
    <w:rsid w:val="00445D7B"/>
    <w:rsid w:val="00585A53"/>
    <w:rsid w:val="006C63A0"/>
    <w:rsid w:val="007252B3"/>
    <w:rsid w:val="007C2B6A"/>
    <w:rsid w:val="007F2516"/>
    <w:rsid w:val="00D64E34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4</cp:revision>
  <dcterms:created xsi:type="dcterms:W3CDTF">2019-03-26T08:44:00Z</dcterms:created>
  <dcterms:modified xsi:type="dcterms:W3CDTF">2019-03-29T10:27:00Z</dcterms:modified>
</cp:coreProperties>
</file>