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F682" w14:textId="77777777" w:rsidR="004D1679" w:rsidRDefault="004D1679">
      <w:pPr>
        <w:pStyle w:val="Tekstpodstawowy"/>
        <w:spacing w:before="0"/>
        <w:ind w:left="0" w:right="0" w:firstLine="0"/>
        <w:jc w:val="left"/>
        <w:rPr>
          <w:rFonts w:ascii="Times New Roman"/>
          <w:sz w:val="28"/>
        </w:rPr>
      </w:pPr>
    </w:p>
    <w:p w14:paraId="4A04A85A" w14:textId="77777777" w:rsidR="004D1679" w:rsidRDefault="004D1679">
      <w:pPr>
        <w:pStyle w:val="Tekstpodstawowy"/>
        <w:spacing w:before="159"/>
        <w:ind w:left="0" w:right="0" w:firstLine="0"/>
        <w:jc w:val="left"/>
        <w:rPr>
          <w:rFonts w:ascii="Times New Roman"/>
          <w:sz w:val="28"/>
        </w:rPr>
      </w:pPr>
    </w:p>
    <w:p w14:paraId="2FBB5758" w14:textId="77777777" w:rsidR="004D1679" w:rsidRPr="009E35EA" w:rsidRDefault="00000000">
      <w:pPr>
        <w:ind w:right="4"/>
        <w:jc w:val="right"/>
        <w:rPr>
          <w:b/>
          <w:sz w:val="28"/>
          <w:lang w:val="pl-PL"/>
        </w:rPr>
      </w:pPr>
      <w:r>
        <w:rPr>
          <w:b/>
          <w:noProof/>
          <w:sz w:val="28"/>
        </w:rPr>
        <w:drawing>
          <wp:anchor distT="0" distB="0" distL="0" distR="0" simplePos="0" relativeHeight="251660288" behindDoc="0" locked="0" layoutInCell="1" allowOverlap="1" wp14:anchorId="1DEE9702" wp14:editId="6523E8C3">
            <wp:simplePos x="0" y="0"/>
            <wp:positionH relativeFrom="page">
              <wp:posOffset>486756</wp:posOffset>
            </wp:positionH>
            <wp:positionV relativeFrom="paragraph">
              <wp:posOffset>-513903</wp:posOffset>
            </wp:positionV>
            <wp:extent cx="2344361" cy="86503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344361" cy="865030"/>
                    </a:xfrm>
                    <a:prstGeom prst="rect">
                      <a:avLst/>
                    </a:prstGeom>
                  </pic:spPr>
                </pic:pic>
              </a:graphicData>
            </a:graphic>
          </wp:anchor>
        </w:drawing>
      </w:r>
      <w:r w:rsidRPr="009E35EA">
        <w:rPr>
          <w:b/>
          <w:color w:val="002856"/>
          <w:spacing w:val="-5"/>
          <w:w w:val="115"/>
          <w:sz w:val="26"/>
          <w:lang w:val="pl-PL"/>
        </w:rPr>
        <w:t>ECHR-KS</w:t>
      </w:r>
    </w:p>
    <w:p w14:paraId="41128BDB" w14:textId="77777777" w:rsidR="004D1679" w:rsidRPr="009E35EA" w:rsidRDefault="00000000">
      <w:pPr>
        <w:spacing w:before="44"/>
        <w:ind w:left="5605"/>
        <w:rPr>
          <w:i/>
          <w:sz w:val="14"/>
          <w:szCs w:val="14"/>
          <w:lang w:val="pl-PL"/>
        </w:rPr>
      </w:pPr>
      <w:r w:rsidRPr="009E35EA">
        <w:rPr>
          <w:i/>
          <w:noProof/>
          <w:color w:val="000000" w:themeColor="text1"/>
          <w:sz w:val="14"/>
          <w:szCs w:val="14"/>
        </w:rPr>
        <mc:AlternateContent>
          <mc:Choice Requires="wps">
            <w:drawing>
              <wp:anchor distT="0" distB="0" distL="0" distR="0" simplePos="0" relativeHeight="251658752" behindDoc="0" locked="0" layoutInCell="1" allowOverlap="1" wp14:anchorId="2DA57428" wp14:editId="3F65EAEA">
                <wp:simplePos x="0" y="0"/>
                <wp:positionH relativeFrom="page">
                  <wp:posOffset>482600</wp:posOffset>
                </wp:positionH>
                <wp:positionV relativeFrom="paragraph">
                  <wp:posOffset>205471</wp:posOffset>
                </wp:positionV>
                <wp:extent cx="6624955" cy="1270"/>
                <wp:effectExtent l="0" t="0" r="0" b="0"/>
                <wp:wrapNone/>
                <wp:docPr id="2" name="Graphic 2"/>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5F819FCA" id="Graphic 2" o:spid="_x0000_s1026" style="position:absolute;margin-left:38pt;margin-top:16.2pt;width:521.6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" path="m,l6624955,e" filled="f" strokecolor="#949494">
                <v:path arrowok="t"/>
                <w10:wrap anchorx="page"/>
              </v:shape>
            </w:pict>
          </mc:Fallback>
        </mc:AlternateContent>
      </w:r>
      <w:r w:rsidRPr="009E35EA">
        <w:rPr>
          <w:i/>
          <w:color w:val="000000" w:themeColor="text1"/>
          <w:sz w:val="14"/>
          <w:szCs w:val="14"/>
          <w:lang w:val="pl-PL"/>
        </w:rPr>
        <w:t xml:space="preserve">Kluczowy temat - Artykuł 6 (cywilne) </w:t>
      </w:r>
      <w:r w:rsidRPr="009E35EA">
        <w:rPr>
          <w:i/>
          <w:color w:val="000000" w:themeColor="text1"/>
          <w:spacing w:val="-2"/>
          <w:sz w:val="14"/>
          <w:szCs w:val="14"/>
          <w:lang w:val="pl-PL"/>
        </w:rPr>
        <w:t xml:space="preserve">postępowanie </w:t>
      </w:r>
      <w:r w:rsidRPr="009E35EA">
        <w:rPr>
          <w:i/>
          <w:color w:val="000000" w:themeColor="text1"/>
          <w:sz w:val="14"/>
          <w:szCs w:val="14"/>
          <w:lang w:val="pl-PL"/>
        </w:rPr>
        <w:t>przed Trybunałem Konstytucyjnym</w:t>
      </w:r>
    </w:p>
    <w:p w14:paraId="7F8C35EF" w14:textId="77777777" w:rsidR="004D1679" w:rsidRPr="009E35EA" w:rsidRDefault="00000000">
      <w:pPr>
        <w:pStyle w:val="Nagwek1"/>
        <w:spacing w:before="331"/>
        <w:rPr>
          <w:lang w:val="pl-PL"/>
        </w:rPr>
      </w:pPr>
      <w:r w:rsidRPr="009E35EA">
        <w:rPr>
          <w:color w:val="2F2F2F"/>
          <w:sz w:val="30"/>
          <w:lang w:val="pl-PL"/>
        </w:rPr>
        <w:t xml:space="preserve">KLUCZOWY </w:t>
      </w:r>
      <w:r w:rsidRPr="009E35EA">
        <w:rPr>
          <w:color w:val="2F2F2F"/>
          <w:spacing w:val="-2"/>
          <w:sz w:val="30"/>
          <w:lang w:val="pl-PL"/>
        </w:rPr>
        <w:t>TEMAT</w:t>
      </w:r>
      <w:r w:rsidRPr="009E35EA">
        <w:rPr>
          <w:color w:val="2F2F2F"/>
          <w:spacing w:val="-2"/>
          <w:sz w:val="30"/>
          <w:vertAlign w:val="superscript"/>
          <w:lang w:val="pl-PL"/>
        </w:rPr>
        <w:t>1</w:t>
      </w:r>
    </w:p>
    <w:p w14:paraId="40FE08D0" w14:textId="77777777" w:rsidR="004D1679" w:rsidRPr="009E35EA" w:rsidRDefault="00000000">
      <w:pPr>
        <w:ind w:left="3055" w:right="3053" w:hanging="1"/>
        <w:jc w:val="center"/>
        <w:rPr>
          <w:b/>
          <w:sz w:val="32"/>
          <w:lang w:val="pl-PL"/>
        </w:rPr>
      </w:pPr>
      <w:r w:rsidRPr="009E35EA">
        <w:rPr>
          <w:b/>
          <w:color w:val="2F2F2F"/>
          <w:sz w:val="30"/>
          <w:lang w:val="pl-PL"/>
        </w:rPr>
        <w:t>Artykuł 6 § 1 (część cywilna) Postępowanie przed Trybunałem Konstytucyjnym</w:t>
      </w:r>
    </w:p>
    <w:p w14:paraId="6CA4D81F" w14:textId="77777777" w:rsidR="004D1679" w:rsidRPr="009E35EA" w:rsidRDefault="00000000">
      <w:pPr>
        <w:pStyle w:val="Nagwek4"/>
        <w:rPr>
          <w:lang w:val="pl-PL"/>
        </w:rPr>
      </w:pPr>
      <w:r w:rsidRPr="009E35EA">
        <w:rPr>
          <w:color w:val="474747"/>
          <w:sz w:val="22"/>
          <w:lang w:val="pl-PL"/>
        </w:rPr>
        <w:t xml:space="preserve">(Ostatnia aktualizacja: </w:t>
      </w:r>
      <w:r w:rsidRPr="009E35EA">
        <w:rPr>
          <w:color w:val="474747"/>
          <w:spacing w:val="-2"/>
          <w:sz w:val="22"/>
          <w:lang w:val="pl-PL"/>
        </w:rPr>
        <w:t>28/02/2025)</w:t>
      </w:r>
    </w:p>
    <w:p w14:paraId="0B03FED2" w14:textId="77777777" w:rsidR="004D1679" w:rsidRPr="009E35EA" w:rsidRDefault="00000000">
      <w:pPr>
        <w:pStyle w:val="Nagwek2"/>
        <w:rPr>
          <w:lang w:val="pl-PL"/>
        </w:rPr>
      </w:pPr>
      <w:r>
        <w:rPr>
          <w:noProof/>
        </w:rPr>
        <mc:AlternateContent>
          <mc:Choice Requires="wps">
            <w:drawing>
              <wp:anchor distT="0" distB="0" distL="0" distR="0" simplePos="0" relativeHeight="251661312" behindDoc="1" locked="0" layoutInCell="1" allowOverlap="1" wp14:anchorId="43F1D851" wp14:editId="300475F1">
                <wp:simplePos x="0" y="0"/>
                <wp:positionH relativeFrom="page">
                  <wp:posOffset>895985</wp:posOffset>
                </wp:positionH>
                <wp:positionV relativeFrom="paragraph">
                  <wp:posOffset>392133</wp:posOffset>
                </wp:positionV>
                <wp:extent cx="576897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6C137C3" id="Graphic 3" o:spid="_x0000_s1026" style="position:absolute;margin-left:70.55pt;margin-top:30.9pt;width:45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" path="m,l5768974,e" filled="f" strokecolor="#949494" strokeweight="1.5pt">
                <v:path arrowok="t"/>
                <w10:wrap type="topAndBottom" anchorx="page"/>
              </v:shape>
            </w:pict>
          </mc:Fallback>
        </mc:AlternateContent>
      </w:r>
      <w:r w:rsidRPr="009E35EA">
        <w:rPr>
          <w:color w:val="2F2F2F"/>
          <w:spacing w:val="-2"/>
          <w:sz w:val="26"/>
          <w:lang w:val="pl-PL"/>
        </w:rPr>
        <w:t>Wprowadzenie</w:t>
      </w:r>
    </w:p>
    <w:p w14:paraId="3D225562" w14:textId="50C134E1" w:rsidR="00F45D9C" w:rsidRPr="009E35EA" w:rsidRDefault="00000000" w:rsidP="00F45D9C">
      <w:pPr>
        <w:pStyle w:val="Tekstpodstawowy"/>
        <w:spacing w:before="0"/>
        <w:ind w:left="732" w:right="728" w:firstLine="0"/>
        <w:rPr>
          <w:lang w:val="pl-PL"/>
        </w:rPr>
      </w:pPr>
      <w:r w:rsidRPr="009E35EA">
        <w:rPr>
          <w:sz w:val="20"/>
          <w:lang w:val="pl-PL"/>
        </w:rPr>
        <w:t>Artykuł 6 ust. 1 Konwencji ma zastosowanie do postępowań przed Trybunałem Konstytucyjnym w sprawach cywilnych, jeżeli dotyczą one</w:t>
      </w:r>
      <w:r w:rsidR="00315DCC" w:rsidRPr="009E35EA">
        <w:rPr>
          <w:sz w:val="20"/>
          <w:lang w:val="pl-PL"/>
        </w:rPr>
        <w:t xml:space="preserve"> „</w:t>
      </w:r>
      <w:r w:rsidRPr="009E35EA">
        <w:rPr>
          <w:sz w:val="20"/>
          <w:lang w:val="pl-PL"/>
        </w:rPr>
        <w:t>określenia praw i obowiązków o charakterze cywilnym</w:t>
      </w:r>
      <w:r w:rsidR="00A80B4F" w:rsidRPr="009E35EA">
        <w:rPr>
          <w:sz w:val="20"/>
          <w:lang w:val="pl-PL"/>
        </w:rPr>
        <w:t>’’</w:t>
      </w:r>
      <w:r w:rsidRPr="009E35EA">
        <w:rPr>
          <w:sz w:val="20"/>
          <w:lang w:val="pl-PL"/>
        </w:rPr>
        <w:t xml:space="preserve"> (</w:t>
      </w:r>
      <w:hyperlink r:id="rId9">
        <w:r w:rsidR="00442520" w:rsidRPr="009E35EA">
          <w:rPr>
            <w:i/>
            <w:color w:val="0072BC"/>
            <w:sz w:val="20"/>
            <w:lang w:val="pl-PL"/>
          </w:rPr>
          <w:t>Pierre-Bloch przeciwko Francji</w:t>
        </w:r>
      </w:hyperlink>
      <w:r w:rsidRPr="009E35EA">
        <w:rPr>
          <w:sz w:val="20"/>
          <w:lang w:val="pl-PL"/>
        </w:rPr>
        <w:t>, 1997</w:t>
      </w:r>
      <w:r w:rsidR="003B6F40" w:rsidRPr="009E35EA">
        <w:rPr>
          <w:sz w:val="20"/>
          <w:lang w:val="pl-PL"/>
        </w:rPr>
        <w:t xml:space="preserve"> r.</w:t>
      </w:r>
      <w:r w:rsidRPr="009E35EA">
        <w:rPr>
          <w:sz w:val="20"/>
          <w:lang w:val="pl-PL"/>
        </w:rPr>
        <w:t xml:space="preserve">, § 48; </w:t>
      </w:r>
      <w:hyperlink r:id="rId10">
        <w:proofErr w:type="spellStart"/>
        <w:r w:rsidR="00442520" w:rsidRPr="009E35EA">
          <w:rPr>
            <w:i/>
            <w:color w:val="0072BC"/>
            <w:sz w:val="20"/>
            <w:lang w:val="pl-PL"/>
          </w:rPr>
          <w:t>Voggenreiter</w:t>
        </w:r>
        <w:proofErr w:type="spellEnd"/>
        <w:r w:rsidR="00442520" w:rsidRPr="009E35EA">
          <w:rPr>
            <w:i/>
            <w:color w:val="0072BC"/>
            <w:sz w:val="20"/>
            <w:lang w:val="pl-PL"/>
          </w:rPr>
          <w:t xml:space="preserve"> przeciwko Niemcom</w:t>
        </w:r>
      </w:hyperlink>
      <w:r w:rsidRPr="009E35EA">
        <w:rPr>
          <w:sz w:val="20"/>
          <w:lang w:val="pl-PL"/>
        </w:rPr>
        <w:t>, 2004</w:t>
      </w:r>
      <w:r w:rsidR="003B6F40" w:rsidRPr="009E35EA">
        <w:rPr>
          <w:sz w:val="20"/>
          <w:lang w:val="pl-PL"/>
        </w:rPr>
        <w:t xml:space="preserve"> r.</w:t>
      </w:r>
      <w:r w:rsidRPr="009E35EA">
        <w:rPr>
          <w:sz w:val="20"/>
          <w:lang w:val="pl-PL"/>
        </w:rPr>
        <w:t xml:space="preserve">, §§ 30-33; </w:t>
      </w:r>
      <w:hyperlink r:id="rId11">
        <w:r w:rsidR="00442520" w:rsidRPr="009E35EA">
          <w:rPr>
            <w:i/>
            <w:color w:val="0072BC"/>
            <w:sz w:val="20"/>
            <w:lang w:val="pl-PL"/>
          </w:rPr>
          <w:t xml:space="preserve">Albuquerque </w:t>
        </w:r>
        <w:proofErr w:type="spellStart"/>
        <w:r w:rsidR="00442520" w:rsidRPr="009E35EA">
          <w:rPr>
            <w:i/>
            <w:color w:val="0072BC"/>
            <w:sz w:val="20"/>
            <w:lang w:val="pl-PL"/>
          </w:rPr>
          <w:t>Fernandes</w:t>
        </w:r>
        <w:proofErr w:type="spellEnd"/>
        <w:r w:rsidR="00442520" w:rsidRPr="009E35EA">
          <w:rPr>
            <w:i/>
            <w:color w:val="0072BC"/>
            <w:sz w:val="20"/>
            <w:lang w:val="pl-PL"/>
          </w:rPr>
          <w:t xml:space="preserve"> przeciwko Portugalii</w:t>
        </w:r>
      </w:hyperlink>
      <w:r w:rsidRPr="009E35EA">
        <w:rPr>
          <w:sz w:val="20"/>
          <w:lang w:val="pl-PL"/>
        </w:rPr>
        <w:t>, 2021</w:t>
      </w:r>
      <w:r w:rsidR="003B6F40" w:rsidRPr="009E35EA">
        <w:rPr>
          <w:sz w:val="20"/>
          <w:lang w:val="pl-PL"/>
        </w:rPr>
        <w:t xml:space="preserve"> r.</w:t>
      </w:r>
      <w:r w:rsidRPr="009E35EA">
        <w:rPr>
          <w:sz w:val="20"/>
          <w:lang w:val="pl-PL"/>
        </w:rPr>
        <w:t xml:space="preserve">, § 54; </w:t>
      </w:r>
      <w:hyperlink r:id="rId12">
        <w:r w:rsidR="004D1679" w:rsidRPr="009E35EA">
          <w:rPr>
            <w:i/>
            <w:color w:val="0072BC"/>
            <w:sz w:val="20"/>
            <w:lang w:val="pl-PL"/>
          </w:rPr>
          <w:t xml:space="preserve">Xero Flor </w:t>
        </w:r>
      </w:hyperlink>
      <w:hyperlink r:id="rId13">
        <w:r w:rsidR="00442520" w:rsidRPr="009E35EA">
          <w:rPr>
            <w:i/>
            <w:color w:val="0072BC"/>
            <w:sz w:val="20"/>
            <w:lang w:val="pl-PL"/>
          </w:rPr>
          <w:t>w Polsce sp. z o.o. przeciwko Polsce</w:t>
        </w:r>
      </w:hyperlink>
      <w:r w:rsidRPr="009E35EA">
        <w:rPr>
          <w:sz w:val="20"/>
          <w:lang w:val="pl-PL"/>
        </w:rPr>
        <w:t>, 2021</w:t>
      </w:r>
      <w:r w:rsidR="003B6F40" w:rsidRPr="009E35EA">
        <w:rPr>
          <w:sz w:val="20"/>
          <w:lang w:val="pl-PL"/>
        </w:rPr>
        <w:t xml:space="preserve"> r.</w:t>
      </w:r>
      <w:r w:rsidRPr="009E35EA">
        <w:rPr>
          <w:sz w:val="20"/>
          <w:lang w:val="pl-PL"/>
        </w:rPr>
        <w:t xml:space="preserve">, §§ 192-209; </w:t>
      </w:r>
      <w:hyperlink r:id="rId14">
        <w:proofErr w:type="spellStart"/>
        <w:r w:rsidR="00B26868" w:rsidRPr="009E35EA">
          <w:rPr>
            <w:i/>
            <w:color w:val="0072BC"/>
            <w:sz w:val="20"/>
            <w:lang w:val="pl-PL"/>
          </w:rPr>
          <w:t>Pinkas</w:t>
        </w:r>
        <w:proofErr w:type="spellEnd"/>
        <w:r w:rsidR="00B26868" w:rsidRPr="009E35EA">
          <w:rPr>
            <w:i/>
            <w:color w:val="0072BC"/>
            <w:sz w:val="20"/>
            <w:lang w:val="pl-PL"/>
          </w:rPr>
          <w:t xml:space="preserve"> i Inni przeciwko Bośni i Hercegowinie</w:t>
        </w:r>
      </w:hyperlink>
      <w:r w:rsidRPr="009E35EA">
        <w:rPr>
          <w:sz w:val="20"/>
          <w:lang w:val="pl-PL"/>
        </w:rPr>
        <w:t>, 2022</w:t>
      </w:r>
      <w:r w:rsidR="003B6F40" w:rsidRPr="009E35EA">
        <w:rPr>
          <w:sz w:val="20"/>
          <w:lang w:val="pl-PL"/>
        </w:rPr>
        <w:t xml:space="preserve"> r.</w:t>
      </w:r>
      <w:r w:rsidRPr="009E35EA">
        <w:rPr>
          <w:sz w:val="20"/>
          <w:lang w:val="pl-PL"/>
        </w:rPr>
        <w:t>,</w:t>
      </w:r>
      <w:r w:rsidR="00AF08AD" w:rsidRPr="009E35EA">
        <w:rPr>
          <w:sz w:val="20"/>
          <w:lang w:val="pl-PL"/>
        </w:rPr>
        <w:t xml:space="preserve"> §§ 37-38; a w ostatnim czasie,</w:t>
      </w:r>
      <w:r w:rsidR="00F45D9C" w:rsidRPr="009E35EA">
        <w:rPr>
          <w:sz w:val="20"/>
          <w:lang w:val="pl-PL"/>
        </w:rPr>
        <w:t xml:space="preserve"> </w:t>
      </w:r>
      <w:hyperlink r:id="rId15">
        <w:r w:rsidR="00B26868" w:rsidRPr="009E35EA">
          <w:rPr>
            <w:i/>
            <w:color w:val="0072BC"/>
            <w:sz w:val="20"/>
            <w:lang w:val="pl-PL"/>
          </w:rPr>
          <w:t xml:space="preserve">Lorenzo </w:t>
        </w:r>
        <w:proofErr w:type="spellStart"/>
        <w:r w:rsidR="00B26868" w:rsidRPr="009E35EA">
          <w:rPr>
            <w:i/>
            <w:color w:val="0072BC"/>
            <w:sz w:val="20"/>
            <w:lang w:val="pl-PL"/>
          </w:rPr>
          <w:t>Bragado</w:t>
        </w:r>
        <w:proofErr w:type="spellEnd"/>
        <w:r w:rsidR="00B26868" w:rsidRPr="009E35EA">
          <w:rPr>
            <w:i/>
            <w:color w:val="0072BC"/>
            <w:sz w:val="20"/>
            <w:lang w:val="pl-PL"/>
          </w:rPr>
          <w:t xml:space="preserve"> i </w:t>
        </w:r>
        <w:r w:rsidR="00836DB6" w:rsidRPr="009E35EA">
          <w:rPr>
            <w:i/>
            <w:color w:val="0072BC"/>
            <w:sz w:val="20"/>
            <w:lang w:val="pl-PL"/>
          </w:rPr>
          <w:t>I</w:t>
        </w:r>
        <w:r w:rsidR="00B26868" w:rsidRPr="009E35EA">
          <w:rPr>
            <w:i/>
            <w:color w:val="0072BC"/>
            <w:sz w:val="20"/>
            <w:lang w:val="pl-PL"/>
          </w:rPr>
          <w:t>nni przeciwko Hiszpanii</w:t>
        </w:r>
      </w:hyperlink>
      <w:r w:rsidR="00F45D9C" w:rsidRPr="009E35EA">
        <w:rPr>
          <w:sz w:val="20"/>
          <w:lang w:val="pl-PL"/>
        </w:rPr>
        <w:t>, 2023</w:t>
      </w:r>
      <w:r w:rsidR="003B6F40" w:rsidRPr="009E35EA">
        <w:rPr>
          <w:sz w:val="20"/>
          <w:lang w:val="pl-PL"/>
        </w:rPr>
        <w:t xml:space="preserve"> r.</w:t>
      </w:r>
      <w:r w:rsidR="00F45D9C" w:rsidRPr="009E35EA">
        <w:rPr>
          <w:sz w:val="20"/>
          <w:lang w:val="pl-PL"/>
        </w:rPr>
        <w:t xml:space="preserve">, § 106, w sprawie </w:t>
      </w:r>
      <w:r w:rsidR="009565B6">
        <w:rPr>
          <w:sz w:val="20"/>
          <w:lang w:val="pl-PL"/>
        </w:rPr>
        <w:t>odwołania</w:t>
      </w:r>
      <w:r w:rsidR="00F45D9C" w:rsidRPr="009E35EA">
        <w:rPr>
          <w:sz w:val="20"/>
          <w:lang w:val="pl-PL"/>
        </w:rPr>
        <w:t xml:space="preserve"> sędziów znajdujących się na ostatecznej liście kandydatów w związku z nieprzerwanym brakiem kontynuowania przez Parlament procesu powoływania nowej Generalnej Rady Sądownictwa). Biorąc jednak pod uwagę, że postępowania te mogą znacząco różnić się od zwykłych postępowań sądowych, Trybunał musiał dostosować zasady wypracowane w ramach swojego orzecznictwa na podstawie art. 6 § 1, a także ustanowić nowe zasady. Zasady te mają ogólne zastosowanie, nawet jeśli jurysdykcja sądów konstytucyjnych może się różnić w zależności od stanu.</w:t>
      </w:r>
    </w:p>
    <w:p w14:paraId="335384F3" w14:textId="27230813" w:rsidR="004D1679" w:rsidRPr="009E35EA" w:rsidRDefault="00F45D9C" w:rsidP="00F45D9C">
      <w:pPr>
        <w:spacing w:before="120"/>
        <w:ind w:left="732" w:right="729"/>
        <w:jc w:val="both"/>
        <w:rPr>
          <w:lang w:val="pl-PL"/>
        </w:rPr>
      </w:pPr>
      <w:r w:rsidRPr="009E35EA">
        <w:rPr>
          <w:sz w:val="20"/>
          <w:lang w:val="pl-PL"/>
        </w:rPr>
        <w:t>Należy pamiętać, że ten kluczowy temat nie odnosi się do innych postępowań przed sądami wyższej instancji, takich jak postępowania przed Sądem Najwyższym lub sądami apelacyjnymi</w:t>
      </w:r>
      <w:r w:rsidR="002F1737" w:rsidRPr="009E35EA">
        <w:rPr>
          <w:sz w:val="20"/>
          <w:lang w:val="pl-PL"/>
        </w:rPr>
        <w:t>.</w:t>
      </w:r>
    </w:p>
    <w:p w14:paraId="38FC77C6" w14:textId="7850B1ED" w:rsidR="004D1679" w:rsidRPr="009E35EA" w:rsidRDefault="004D1679">
      <w:pPr>
        <w:pStyle w:val="Tekstpodstawowy"/>
        <w:spacing w:before="120"/>
        <w:ind w:left="732" w:right="727" w:firstLine="0"/>
        <w:rPr>
          <w:lang w:val="pl-PL"/>
        </w:rPr>
      </w:pPr>
    </w:p>
    <w:p w14:paraId="488BC856" w14:textId="77777777" w:rsidR="004D1679" w:rsidRPr="009E35EA" w:rsidRDefault="00000000">
      <w:pPr>
        <w:pStyle w:val="Nagwek2"/>
        <w:rPr>
          <w:lang w:val="pl-PL"/>
        </w:rPr>
      </w:pPr>
      <w:r>
        <w:rPr>
          <w:noProof/>
        </w:rPr>
        <mc:AlternateContent>
          <mc:Choice Requires="wps">
            <w:drawing>
              <wp:anchor distT="0" distB="0" distL="0" distR="0" simplePos="0" relativeHeight="251663360" behindDoc="1" locked="0" layoutInCell="1" allowOverlap="1" wp14:anchorId="362D6236" wp14:editId="061D8C49">
                <wp:simplePos x="0" y="0"/>
                <wp:positionH relativeFrom="page">
                  <wp:posOffset>895985</wp:posOffset>
                </wp:positionH>
                <wp:positionV relativeFrom="paragraph">
                  <wp:posOffset>391711</wp:posOffset>
                </wp:positionV>
                <wp:extent cx="576897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8BAF89E" id="Graphic 4" o:spid="_x0000_s1026" style="position:absolute;margin-left:70.55pt;margin-top:30.85pt;width:454.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9E35EA">
        <w:rPr>
          <w:color w:val="2F2F2F"/>
          <w:sz w:val="26"/>
          <w:lang w:val="pl-PL"/>
        </w:rPr>
        <w:t xml:space="preserve">Zasady wynikające z aktualnego </w:t>
      </w:r>
      <w:r w:rsidRPr="009E35EA">
        <w:rPr>
          <w:color w:val="2F2F2F"/>
          <w:spacing w:val="-5"/>
          <w:sz w:val="26"/>
          <w:lang w:val="pl-PL"/>
        </w:rPr>
        <w:t>orzecznictwa</w:t>
      </w:r>
    </w:p>
    <w:p w14:paraId="35916A2D" w14:textId="77777777" w:rsidR="004D1679" w:rsidRPr="009E35EA" w:rsidRDefault="00000000">
      <w:pPr>
        <w:pStyle w:val="Nagwek3"/>
        <w:rPr>
          <w:lang w:val="pl-PL"/>
        </w:rPr>
      </w:pPr>
      <w:r w:rsidRPr="009E35EA">
        <w:rPr>
          <w:color w:val="2F2F2F"/>
          <w:w w:val="80"/>
          <w:sz w:val="26"/>
          <w:lang w:val="pl-PL"/>
        </w:rPr>
        <w:t xml:space="preserve">Dostęp do </w:t>
      </w:r>
      <w:r w:rsidRPr="009E35EA">
        <w:rPr>
          <w:color w:val="2F2F2F"/>
          <w:spacing w:val="-2"/>
          <w:w w:val="80"/>
          <w:sz w:val="26"/>
          <w:lang w:val="pl-PL"/>
        </w:rPr>
        <w:t>sądu:</w:t>
      </w:r>
    </w:p>
    <w:p w14:paraId="26A31F82" w14:textId="72C157FD" w:rsidR="004D1679" w:rsidRPr="009E35EA" w:rsidRDefault="00000000">
      <w:pPr>
        <w:pStyle w:val="Akapitzlist"/>
        <w:numPr>
          <w:ilvl w:val="0"/>
          <w:numId w:val="1"/>
        </w:numPr>
        <w:tabs>
          <w:tab w:val="left" w:pos="1583"/>
        </w:tabs>
        <w:spacing w:before="76"/>
        <w:ind w:right="729" w:hanging="284"/>
        <w:jc w:val="both"/>
        <w:rPr>
          <w:rFonts w:ascii="Arial" w:hAnsi="Arial"/>
          <w:color w:val="0072BC"/>
          <w:lang w:val="pl-PL"/>
        </w:rPr>
      </w:pPr>
      <w:r w:rsidRPr="009E35EA">
        <w:rPr>
          <w:sz w:val="20"/>
          <w:lang w:val="pl-PL"/>
        </w:rPr>
        <w:t>Gwarancje zawarte w art. 6 § 1 obejmują prawo do uzyskania ostatecznego rozstrzygnięcia w sprawie przedłożonej sądowi, w tym decyzji w sprawie dopuszczalności i/lub zasadności skargi konstytucyjnej (</w:t>
      </w:r>
      <w:hyperlink r:id="rId16">
        <w:r w:rsidR="004D1679" w:rsidRPr="009E35EA">
          <w:rPr>
            <w:i/>
            <w:color w:val="0072BC"/>
            <w:sz w:val="20"/>
            <w:lang w:val="pl-PL"/>
          </w:rPr>
          <w:t>Marini przeciwko Albanii</w:t>
        </w:r>
      </w:hyperlink>
      <w:r w:rsidRPr="009E35EA">
        <w:rPr>
          <w:sz w:val="20"/>
          <w:lang w:val="pl-PL"/>
        </w:rPr>
        <w:t>, 2007</w:t>
      </w:r>
      <w:r w:rsidR="003B6F40" w:rsidRPr="009E35EA">
        <w:rPr>
          <w:sz w:val="20"/>
          <w:lang w:val="pl-PL"/>
        </w:rPr>
        <w:t xml:space="preserve"> r.</w:t>
      </w:r>
      <w:r w:rsidRPr="009E35EA">
        <w:rPr>
          <w:sz w:val="20"/>
          <w:lang w:val="pl-PL"/>
        </w:rPr>
        <w:t>, § 120)</w:t>
      </w:r>
      <w:r w:rsidRPr="009E35EA">
        <w:rPr>
          <w:i/>
          <w:sz w:val="20"/>
          <w:lang w:val="pl-PL"/>
        </w:rPr>
        <w:t>.</w:t>
      </w:r>
    </w:p>
    <w:p w14:paraId="5AFC8BED" w14:textId="2E91AF34"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Trybunał Konstytucyjny, który może badać zaskarżone postępowanie jedynie z punktu widzenia jego zgodności z Konstytucją bez zbadania wszystkich istotnych faktów, nie jest uznawany za posiadający pełną jurysdykcję w rozumieniu Artykułu 6 § 1 (</w:t>
      </w:r>
      <w:proofErr w:type="spellStart"/>
      <w:r w:rsidR="00B26868">
        <w:fldChar w:fldCharType="begin"/>
      </w:r>
      <w:r w:rsidR="00B26868">
        <w:instrText>HYPERLINK "http://hudoc.echr.coe.int/eng?i=001-59590" \h</w:instrText>
      </w:r>
      <w:r w:rsidR="00B26868">
        <w:fldChar w:fldCharType="separate"/>
      </w:r>
      <w:r w:rsidR="00B26868" w:rsidRPr="009E35EA">
        <w:rPr>
          <w:i/>
          <w:color w:val="0072BC"/>
          <w:sz w:val="20"/>
          <w:lang w:val="pl-PL"/>
        </w:rPr>
        <w:t>Malhous</w:t>
      </w:r>
      <w:proofErr w:type="spellEnd"/>
      <w:r w:rsidR="00B26868" w:rsidRPr="009E35EA">
        <w:rPr>
          <w:i/>
          <w:color w:val="0072BC"/>
          <w:sz w:val="20"/>
          <w:lang w:val="pl-PL"/>
        </w:rPr>
        <w:t xml:space="preserve"> przeciwko</w:t>
      </w:r>
      <w:r w:rsidR="00B26868">
        <w:fldChar w:fldCharType="end"/>
      </w:r>
      <w:r w:rsidR="00B26868" w:rsidRPr="009E35EA">
        <w:rPr>
          <w:lang w:val="pl-PL"/>
        </w:rPr>
        <w:t xml:space="preserve"> </w:t>
      </w:r>
      <w:hyperlink r:id="rId17">
        <w:r w:rsidR="004D1679" w:rsidRPr="009E35EA">
          <w:rPr>
            <w:i/>
            <w:color w:val="0072BC"/>
            <w:sz w:val="20"/>
            <w:lang w:val="pl-PL"/>
          </w:rPr>
          <w:t>Republice Czeskiej</w:t>
        </w:r>
      </w:hyperlink>
      <w:r w:rsidRPr="009E35EA">
        <w:rPr>
          <w:sz w:val="20"/>
          <w:lang w:val="pl-PL"/>
        </w:rPr>
        <w:t xml:space="preserve"> [</w:t>
      </w:r>
      <w:r w:rsidR="00442520" w:rsidRPr="009E35EA">
        <w:rPr>
          <w:sz w:val="20"/>
          <w:lang w:val="pl-PL"/>
        </w:rPr>
        <w:t>WI</w:t>
      </w:r>
      <w:r w:rsidRPr="009E35EA">
        <w:rPr>
          <w:sz w:val="20"/>
          <w:lang w:val="pl-PL"/>
        </w:rPr>
        <w:t>], 2001</w:t>
      </w:r>
      <w:r w:rsidR="0082735C" w:rsidRPr="009E35EA">
        <w:rPr>
          <w:sz w:val="20"/>
          <w:lang w:val="pl-PL"/>
        </w:rPr>
        <w:t xml:space="preserve"> r.</w:t>
      </w:r>
      <w:r w:rsidRPr="009E35EA">
        <w:rPr>
          <w:sz w:val="20"/>
          <w:lang w:val="pl-PL"/>
        </w:rPr>
        <w:t xml:space="preserve">, § 62; </w:t>
      </w:r>
      <w:hyperlink r:id="rId18">
        <w:proofErr w:type="spellStart"/>
        <w:r w:rsidR="00B26868" w:rsidRPr="009E35EA">
          <w:rPr>
            <w:i/>
            <w:color w:val="0072BC"/>
            <w:sz w:val="20"/>
            <w:lang w:val="pl-PL"/>
          </w:rPr>
          <w:t>Zumtobel</w:t>
        </w:r>
        <w:proofErr w:type="spellEnd"/>
        <w:r w:rsidR="00B26868" w:rsidRPr="009E35EA">
          <w:rPr>
            <w:i/>
            <w:color w:val="0072BC"/>
            <w:sz w:val="20"/>
            <w:lang w:val="pl-PL"/>
          </w:rPr>
          <w:t xml:space="preserve"> przeciwko Austrii</w:t>
        </w:r>
      </w:hyperlink>
      <w:r w:rsidRPr="009E35EA">
        <w:rPr>
          <w:sz w:val="20"/>
          <w:lang w:val="pl-PL"/>
        </w:rPr>
        <w:t>, 1993</w:t>
      </w:r>
      <w:r w:rsidR="003B6F40" w:rsidRPr="009E35EA">
        <w:rPr>
          <w:sz w:val="20"/>
          <w:lang w:val="pl-PL"/>
        </w:rPr>
        <w:t xml:space="preserve"> r.</w:t>
      </w:r>
      <w:r w:rsidRPr="009E35EA">
        <w:rPr>
          <w:sz w:val="20"/>
          <w:lang w:val="pl-PL"/>
        </w:rPr>
        <w:t>, § 30).</w:t>
      </w:r>
    </w:p>
    <w:p w14:paraId="2590EACD" w14:textId="3023034A"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Artykuł 6 nie gwarantuje prawa dostępu do sądu uprawnionego do unieważnienia lub uchylenia ustawy uchwalonej przez ustawodawcę. Z przepisu tego nie można również wywodzić prawa jednostki do powołania się na decyzję organu parlamentarnego w celu ubiegania się o kontrolę konstytucyjności ustawy (</w:t>
      </w:r>
      <w:proofErr w:type="spellStart"/>
      <w:r w:rsidR="00B26868">
        <w:fldChar w:fldCharType="begin"/>
      </w:r>
      <w:r w:rsidR="00B26868">
        <w:instrText>HYPERLINK "https://hudoc.echr.coe.int/eng?i=001-229606" \h</w:instrText>
      </w:r>
      <w:r w:rsidR="00B26868">
        <w:fldChar w:fldCharType="separate"/>
      </w:r>
      <w:r w:rsidR="00B26868" w:rsidRPr="009E35EA">
        <w:rPr>
          <w:i/>
          <w:color w:val="0072BC"/>
          <w:sz w:val="20"/>
          <w:lang w:val="pl-PL"/>
        </w:rPr>
        <w:t>Gyulumyan</w:t>
      </w:r>
      <w:proofErr w:type="spellEnd"/>
      <w:r w:rsidR="00B26868" w:rsidRPr="009E35EA">
        <w:rPr>
          <w:i/>
          <w:color w:val="0072BC"/>
          <w:sz w:val="20"/>
          <w:lang w:val="pl-PL"/>
        </w:rPr>
        <w:t xml:space="preserve"> i </w:t>
      </w:r>
      <w:r w:rsidR="00836DB6" w:rsidRPr="009E35EA">
        <w:rPr>
          <w:i/>
          <w:color w:val="0072BC"/>
          <w:sz w:val="20"/>
          <w:lang w:val="pl-PL"/>
        </w:rPr>
        <w:t>I</w:t>
      </w:r>
      <w:r w:rsidR="00B26868" w:rsidRPr="009E35EA">
        <w:rPr>
          <w:i/>
          <w:color w:val="0072BC"/>
          <w:sz w:val="20"/>
          <w:lang w:val="pl-PL"/>
        </w:rPr>
        <w:t>nni przeciwko Armenii</w:t>
      </w:r>
      <w:r w:rsidR="00B26868">
        <w:fldChar w:fldCharType="end"/>
      </w:r>
      <w:r w:rsidRPr="009E35EA">
        <w:rPr>
          <w:sz w:val="20"/>
          <w:lang w:val="pl-PL"/>
        </w:rPr>
        <w:t xml:space="preserve"> (</w:t>
      </w:r>
      <w:proofErr w:type="spellStart"/>
      <w:r w:rsidRPr="009E35EA">
        <w:rPr>
          <w:sz w:val="20"/>
          <w:lang w:val="pl-PL"/>
        </w:rPr>
        <w:t>dec</w:t>
      </w:r>
      <w:proofErr w:type="spellEnd"/>
      <w:r w:rsidRPr="009E35EA">
        <w:rPr>
          <w:sz w:val="20"/>
          <w:lang w:val="pl-PL"/>
        </w:rPr>
        <w:t>.), 2023</w:t>
      </w:r>
      <w:r w:rsidR="003B6F40" w:rsidRPr="009E35EA">
        <w:rPr>
          <w:sz w:val="20"/>
          <w:lang w:val="pl-PL"/>
        </w:rPr>
        <w:t xml:space="preserve"> r.</w:t>
      </w:r>
      <w:r w:rsidRPr="009E35EA">
        <w:rPr>
          <w:sz w:val="20"/>
          <w:lang w:val="pl-PL"/>
        </w:rPr>
        <w:t>, § 79).</w:t>
      </w:r>
    </w:p>
    <w:p w14:paraId="438C7CEF" w14:textId="329F10E5" w:rsidR="004D1679" w:rsidRPr="009E35EA" w:rsidRDefault="00000000">
      <w:pPr>
        <w:pStyle w:val="Akapitzlist"/>
        <w:numPr>
          <w:ilvl w:val="0"/>
          <w:numId w:val="1"/>
        </w:numPr>
        <w:tabs>
          <w:tab w:val="left" w:pos="1583"/>
        </w:tabs>
        <w:ind w:right="730" w:hanging="284"/>
        <w:jc w:val="both"/>
        <w:rPr>
          <w:rFonts w:ascii="Arial" w:hAnsi="Arial"/>
          <w:color w:val="0072BC"/>
          <w:lang w:val="pl-PL"/>
        </w:rPr>
      </w:pPr>
      <w:r w:rsidRPr="009E35EA">
        <w:rPr>
          <w:sz w:val="20"/>
          <w:lang w:val="pl-PL"/>
        </w:rPr>
        <w:t>Uwzględniając szczególny charakter odwołania do Trybunału Konstytucyjnego, Trybunał przyjął, że warunki dostępu do tego sądu mogą być rygorystyczne (</w:t>
      </w:r>
      <w:proofErr w:type="spellStart"/>
      <w:r w:rsidR="004D1679">
        <w:fldChar w:fldCharType="begin"/>
      </w:r>
      <w:r w:rsidR="004D1679">
        <w:instrText>HYPERLINK "https://hudoc.echr.coe.int/eng?i=001-150768" \h</w:instrText>
      </w:r>
      <w:r w:rsidR="004D1679">
        <w:fldChar w:fldCharType="separate"/>
      </w:r>
      <w:r w:rsidR="004D1679" w:rsidRPr="009E35EA">
        <w:rPr>
          <w:i/>
          <w:color w:val="0072BC"/>
          <w:sz w:val="20"/>
          <w:lang w:val="pl-PL"/>
        </w:rPr>
        <w:t>Arribas</w:t>
      </w:r>
      <w:proofErr w:type="spellEnd"/>
      <w:r w:rsidR="004D1679" w:rsidRPr="009E35EA">
        <w:rPr>
          <w:i/>
          <w:color w:val="0072BC"/>
          <w:sz w:val="20"/>
          <w:lang w:val="pl-PL"/>
        </w:rPr>
        <w:t xml:space="preserve"> </w:t>
      </w:r>
      <w:proofErr w:type="spellStart"/>
      <w:r w:rsidR="004D1679" w:rsidRPr="009E35EA">
        <w:rPr>
          <w:i/>
          <w:color w:val="0072BC"/>
          <w:sz w:val="20"/>
          <w:lang w:val="pl-PL"/>
        </w:rPr>
        <w:t>Antón</w:t>
      </w:r>
      <w:proofErr w:type="spellEnd"/>
      <w:r w:rsidR="004D1679">
        <w:fldChar w:fldCharType="end"/>
      </w:r>
      <w:r w:rsidR="00817B8E" w:rsidRPr="009E35EA">
        <w:rPr>
          <w:lang w:val="pl-PL"/>
        </w:rPr>
        <w:t xml:space="preserve"> </w:t>
      </w:r>
      <w:hyperlink r:id="rId19">
        <w:r w:rsidR="00B26868" w:rsidRPr="009E35EA">
          <w:rPr>
            <w:i/>
            <w:color w:val="0072BC"/>
            <w:sz w:val="20"/>
            <w:lang w:val="pl-PL"/>
          </w:rPr>
          <w:t>przeciwko Hiszpanii</w:t>
        </w:r>
      </w:hyperlink>
      <w:r w:rsidR="00817B8E" w:rsidRPr="009E35EA">
        <w:rPr>
          <w:sz w:val="20"/>
          <w:lang w:val="pl-PL"/>
        </w:rPr>
        <w:t>, 2015</w:t>
      </w:r>
      <w:r w:rsidR="003B6F40" w:rsidRPr="009E35EA">
        <w:rPr>
          <w:sz w:val="20"/>
          <w:lang w:val="pl-PL"/>
        </w:rPr>
        <w:t xml:space="preserve"> r.</w:t>
      </w:r>
      <w:r w:rsidR="00817B8E" w:rsidRPr="009E35EA">
        <w:rPr>
          <w:sz w:val="20"/>
          <w:lang w:val="pl-PL"/>
        </w:rPr>
        <w:t xml:space="preserve">, § 50; zob. również </w:t>
      </w:r>
      <w:hyperlink r:id="rId20">
        <w:proofErr w:type="spellStart"/>
        <w:r w:rsidR="00B26868" w:rsidRPr="009E35EA">
          <w:rPr>
            <w:i/>
            <w:color w:val="0072BC"/>
            <w:sz w:val="20"/>
            <w:lang w:val="pl-PL"/>
          </w:rPr>
          <w:t>Pinkas</w:t>
        </w:r>
        <w:proofErr w:type="spellEnd"/>
        <w:r w:rsidR="00B26868" w:rsidRPr="009E35EA">
          <w:rPr>
            <w:i/>
            <w:color w:val="0072BC"/>
            <w:sz w:val="20"/>
            <w:lang w:val="pl-PL"/>
          </w:rPr>
          <w:t xml:space="preserve"> i </w:t>
        </w:r>
        <w:r w:rsidR="00836DB6" w:rsidRPr="009E35EA">
          <w:rPr>
            <w:i/>
            <w:color w:val="0072BC"/>
            <w:sz w:val="20"/>
            <w:lang w:val="pl-PL"/>
          </w:rPr>
          <w:t>I</w:t>
        </w:r>
        <w:r w:rsidR="00B26868" w:rsidRPr="009E35EA">
          <w:rPr>
            <w:i/>
            <w:color w:val="0072BC"/>
            <w:sz w:val="20"/>
            <w:lang w:val="pl-PL"/>
          </w:rPr>
          <w:t>nni przeciwko Bośni i Hercegowinie</w:t>
        </w:r>
      </w:hyperlink>
      <w:r w:rsidR="00817B8E" w:rsidRPr="009E35EA">
        <w:rPr>
          <w:sz w:val="20"/>
          <w:lang w:val="pl-PL"/>
        </w:rPr>
        <w:t>, 2022</w:t>
      </w:r>
      <w:r w:rsidR="003B6F40" w:rsidRPr="009E35EA">
        <w:rPr>
          <w:sz w:val="20"/>
          <w:lang w:val="pl-PL"/>
        </w:rPr>
        <w:t xml:space="preserve"> r.</w:t>
      </w:r>
      <w:r w:rsidR="00817B8E" w:rsidRPr="009E35EA">
        <w:rPr>
          <w:sz w:val="20"/>
          <w:lang w:val="pl-PL"/>
        </w:rPr>
        <w:t xml:space="preserve">, § 48 oraz </w:t>
      </w:r>
      <w:hyperlink r:id="rId21">
        <w:proofErr w:type="spellStart"/>
        <w:r w:rsidR="00B26868" w:rsidRPr="009E35EA">
          <w:rPr>
            <w:i/>
            <w:color w:val="0072BC"/>
            <w:sz w:val="20"/>
            <w:lang w:val="pl-PL"/>
          </w:rPr>
          <w:t>Olivares</w:t>
        </w:r>
        <w:proofErr w:type="spellEnd"/>
        <w:r w:rsidR="00B26868" w:rsidRPr="009E35EA">
          <w:rPr>
            <w:i/>
            <w:color w:val="0072BC"/>
            <w:sz w:val="20"/>
            <w:lang w:val="pl-PL"/>
          </w:rPr>
          <w:t xml:space="preserve"> </w:t>
        </w:r>
        <w:proofErr w:type="spellStart"/>
        <w:r w:rsidR="00B26868" w:rsidRPr="009E35EA">
          <w:rPr>
            <w:i/>
            <w:color w:val="0072BC"/>
            <w:sz w:val="20"/>
            <w:lang w:val="pl-PL"/>
          </w:rPr>
          <w:t>Zúñiga</w:t>
        </w:r>
        <w:proofErr w:type="spellEnd"/>
        <w:r w:rsidR="00B26868" w:rsidRPr="009E35EA">
          <w:rPr>
            <w:i/>
            <w:color w:val="0072BC"/>
            <w:sz w:val="20"/>
            <w:lang w:val="pl-PL"/>
          </w:rPr>
          <w:t xml:space="preserve"> przeciwko Hiszpanii</w:t>
        </w:r>
      </w:hyperlink>
      <w:r w:rsidR="00817B8E" w:rsidRPr="009E35EA">
        <w:rPr>
          <w:sz w:val="20"/>
          <w:lang w:val="pl-PL"/>
        </w:rPr>
        <w:t>, 2022</w:t>
      </w:r>
      <w:r w:rsidR="002C6BC6" w:rsidRPr="009E35EA">
        <w:rPr>
          <w:sz w:val="20"/>
          <w:lang w:val="pl-PL"/>
        </w:rPr>
        <w:t xml:space="preserve"> r.</w:t>
      </w:r>
      <w:r w:rsidR="00817B8E" w:rsidRPr="009E35EA">
        <w:rPr>
          <w:sz w:val="20"/>
          <w:lang w:val="pl-PL"/>
        </w:rPr>
        <w:t>, § 29), w celu zagwarantowania pewności prawa i właściwego sprawowania wymiaru sprawiedliwości konstytucyjnej na najwyższym szczeblu hierarchii sądowniczej (</w:t>
      </w:r>
      <w:hyperlink r:id="rId22">
        <w:r w:rsidR="00817B8E" w:rsidRPr="009E35EA">
          <w:rPr>
            <w:i/>
            <w:color w:val="0072BC"/>
            <w:sz w:val="20"/>
            <w:lang w:val="pl-PL"/>
          </w:rPr>
          <w:t xml:space="preserve">Dos </w:t>
        </w:r>
      </w:hyperlink>
      <w:hyperlink r:id="rId23">
        <w:r w:rsidR="00B26868" w:rsidRPr="009E35EA">
          <w:rPr>
            <w:i/>
            <w:color w:val="0072BC"/>
            <w:sz w:val="20"/>
            <w:lang w:val="pl-PL"/>
          </w:rPr>
          <w:t xml:space="preserve">Santos </w:t>
        </w:r>
        <w:proofErr w:type="spellStart"/>
        <w:r w:rsidR="00B26868" w:rsidRPr="009E35EA">
          <w:rPr>
            <w:i/>
            <w:color w:val="0072BC"/>
            <w:sz w:val="20"/>
            <w:lang w:val="pl-PL"/>
          </w:rPr>
          <w:t>Calado</w:t>
        </w:r>
        <w:proofErr w:type="spellEnd"/>
        <w:r w:rsidR="00B26868" w:rsidRPr="009E35EA">
          <w:rPr>
            <w:i/>
            <w:color w:val="0072BC"/>
            <w:sz w:val="20"/>
            <w:lang w:val="pl-PL"/>
          </w:rPr>
          <w:t xml:space="preserve"> i </w:t>
        </w:r>
        <w:r w:rsidR="00836DB6" w:rsidRPr="009E35EA">
          <w:rPr>
            <w:i/>
            <w:color w:val="0072BC"/>
            <w:sz w:val="20"/>
            <w:lang w:val="pl-PL"/>
          </w:rPr>
          <w:t>I</w:t>
        </w:r>
        <w:r w:rsidR="00B26868" w:rsidRPr="009E35EA">
          <w:rPr>
            <w:i/>
            <w:color w:val="0072BC"/>
            <w:sz w:val="20"/>
            <w:lang w:val="pl-PL"/>
          </w:rPr>
          <w:t>nni przeciwko Portugalii</w:t>
        </w:r>
      </w:hyperlink>
      <w:r w:rsidR="00817B8E" w:rsidRPr="009E35EA">
        <w:rPr>
          <w:sz w:val="20"/>
          <w:lang w:val="pl-PL"/>
        </w:rPr>
        <w:t>, 2020</w:t>
      </w:r>
      <w:r w:rsidR="002C6BC6" w:rsidRPr="009E35EA">
        <w:rPr>
          <w:sz w:val="20"/>
          <w:lang w:val="pl-PL"/>
        </w:rPr>
        <w:t xml:space="preserve"> r.</w:t>
      </w:r>
      <w:r w:rsidR="00817B8E" w:rsidRPr="009E35EA">
        <w:rPr>
          <w:sz w:val="20"/>
          <w:lang w:val="pl-PL"/>
        </w:rPr>
        <w:t xml:space="preserve">, §§ 112 i 133; </w:t>
      </w:r>
      <w:hyperlink r:id="rId24">
        <w:r w:rsidR="00817B8E" w:rsidRPr="009E35EA">
          <w:rPr>
            <w:i/>
            <w:color w:val="0072BC"/>
            <w:sz w:val="20"/>
            <w:lang w:val="pl-PL"/>
          </w:rPr>
          <w:t xml:space="preserve">Albuquerque </w:t>
        </w:r>
        <w:proofErr w:type="spellStart"/>
        <w:r w:rsidR="00817B8E" w:rsidRPr="009E35EA">
          <w:rPr>
            <w:i/>
            <w:color w:val="0072BC"/>
            <w:sz w:val="20"/>
            <w:lang w:val="pl-PL"/>
          </w:rPr>
          <w:t>Fernandes</w:t>
        </w:r>
        <w:proofErr w:type="spellEnd"/>
      </w:hyperlink>
      <w:r w:rsidR="00817B8E" w:rsidRPr="009E35EA">
        <w:rPr>
          <w:sz w:val="20"/>
          <w:lang w:val="pl-PL"/>
        </w:rPr>
        <w:t xml:space="preserve">, </w:t>
      </w:r>
      <w:hyperlink r:id="rId25">
        <w:r w:rsidR="00B26868" w:rsidRPr="009E35EA">
          <w:rPr>
            <w:i/>
            <w:color w:val="0072BC"/>
            <w:sz w:val="20"/>
            <w:lang w:val="pl-PL"/>
          </w:rPr>
          <w:t>przeciwko Portugalia</w:t>
        </w:r>
      </w:hyperlink>
      <w:r w:rsidR="00817B8E" w:rsidRPr="009E35EA">
        <w:rPr>
          <w:sz w:val="20"/>
          <w:lang w:val="pl-PL"/>
        </w:rPr>
        <w:t>, 2021</w:t>
      </w:r>
      <w:r w:rsidR="002C6BC6" w:rsidRPr="009E35EA">
        <w:rPr>
          <w:sz w:val="20"/>
          <w:lang w:val="pl-PL"/>
        </w:rPr>
        <w:t xml:space="preserve"> r.</w:t>
      </w:r>
      <w:r w:rsidR="00817B8E" w:rsidRPr="009E35EA">
        <w:rPr>
          <w:sz w:val="20"/>
          <w:lang w:val="pl-PL"/>
        </w:rPr>
        <w:t xml:space="preserve">, §§ 68 i 75 oraz </w:t>
      </w:r>
      <w:hyperlink r:id="rId26">
        <w:proofErr w:type="spellStart"/>
        <w:r w:rsidR="00817B8E" w:rsidRPr="009E35EA">
          <w:rPr>
            <w:i/>
            <w:color w:val="0072BC"/>
            <w:sz w:val="20"/>
            <w:lang w:val="pl-PL"/>
          </w:rPr>
          <w:t>Çela</w:t>
        </w:r>
        <w:proofErr w:type="spellEnd"/>
        <w:r w:rsidR="00817B8E" w:rsidRPr="009E35EA">
          <w:rPr>
            <w:i/>
            <w:color w:val="0072BC"/>
            <w:sz w:val="20"/>
            <w:lang w:val="pl-PL"/>
          </w:rPr>
          <w:t xml:space="preserve"> przeciwko Albanii</w:t>
        </w:r>
      </w:hyperlink>
      <w:r w:rsidR="00817B8E" w:rsidRPr="009E35EA">
        <w:rPr>
          <w:sz w:val="20"/>
          <w:lang w:val="pl-PL"/>
        </w:rPr>
        <w:t>, 2022</w:t>
      </w:r>
      <w:r w:rsidR="002C6BC6" w:rsidRPr="009E35EA">
        <w:rPr>
          <w:sz w:val="20"/>
          <w:lang w:val="pl-PL"/>
        </w:rPr>
        <w:t xml:space="preserve"> r.</w:t>
      </w:r>
      <w:r w:rsidR="00817B8E" w:rsidRPr="009E35EA">
        <w:rPr>
          <w:sz w:val="20"/>
          <w:lang w:val="pl-PL"/>
        </w:rPr>
        <w:t xml:space="preserve">, § </w:t>
      </w:r>
      <w:r w:rsidR="00817B8E" w:rsidRPr="009E35EA">
        <w:rPr>
          <w:spacing w:val="-4"/>
          <w:sz w:val="20"/>
          <w:lang w:val="pl-PL"/>
        </w:rPr>
        <w:t>23).</w:t>
      </w:r>
    </w:p>
    <w:p w14:paraId="7FA1BB15" w14:textId="3C665E4D" w:rsidR="004D1679" w:rsidRPr="009E35EA" w:rsidRDefault="004D1679">
      <w:pPr>
        <w:ind w:left="1583" w:right="728"/>
        <w:jc w:val="both"/>
        <w:rPr>
          <w:i/>
          <w:lang w:val="pl-PL"/>
        </w:rPr>
      </w:pPr>
    </w:p>
    <w:p w14:paraId="74B8E1F9" w14:textId="77777777" w:rsidR="004D1679" w:rsidRPr="009E35EA" w:rsidRDefault="00000000">
      <w:pPr>
        <w:pStyle w:val="Tekstpodstawowy"/>
        <w:spacing w:before="170"/>
        <w:ind w:left="0" w:right="0" w:firstLine="0"/>
        <w:jc w:val="left"/>
        <w:rPr>
          <w:sz w:val="20"/>
          <w:lang w:val="pl-PL"/>
        </w:rPr>
      </w:pPr>
      <w:r>
        <w:rPr>
          <w:noProof/>
          <w:sz w:val="20"/>
        </w:rPr>
        <mc:AlternateContent>
          <mc:Choice Requires="wps">
            <w:drawing>
              <wp:anchor distT="0" distB="0" distL="0" distR="0" simplePos="0" relativeHeight="251665408" behindDoc="1" locked="0" layoutInCell="1" allowOverlap="1" wp14:anchorId="369B77C1" wp14:editId="054DF98A">
                <wp:simplePos x="0" y="0"/>
                <wp:positionH relativeFrom="page">
                  <wp:posOffset>914400</wp:posOffset>
                </wp:positionH>
                <wp:positionV relativeFrom="paragraph">
                  <wp:posOffset>278373</wp:posOffset>
                </wp:positionV>
                <wp:extent cx="18224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615B0C22" id="Graphic 5" o:spid="_x0000_s1026" style="position:absolute;margin-left:1in;margin-top:21.9pt;width:143.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" path="m,l1822450,e" filled="f" strokeweight=".72pt">
                <v:path arrowok="t"/>
                <w10:wrap type="topAndBottom" anchorx="page"/>
              </v:shape>
            </w:pict>
          </mc:Fallback>
        </mc:AlternateContent>
      </w:r>
    </w:p>
    <w:p w14:paraId="73C1F8D4" w14:textId="77777777" w:rsidR="004D1679" w:rsidRPr="009E35EA" w:rsidRDefault="00000000">
      <w:pPr>
        <w:spacing w:before="110"/>
        <w:ind w:left="732"/>
        <w:rPr>
          <w:sz w:val="20"/>
          <w:lang w:val="pl-PL"/>
        </w:rPr>
      </w:pPr>
      <w:r w:rsidRPr="009E35EA">
        <w:rPr>
          <w:position w:val="6"/>
          <w:sz w:val="12"/>
          <w:lang w:val="pl-PL"/>
        </w:rPr>
        <w:t xml:space="preserve">1 </w:t>
      </w:r>
      <w:r w:rsidRPr="009E35EA">
        <w:rPr>
          <w:sz w:val="19"/>
          <w:lang w:val="pl-PL"/>
        </w:rPr>
        <w:t xml:space="preserve">Przygotowane przez Kancelarię. Nie jest wiążący </w:t>
      </w:r>
      <w:r w:rsidRPr="009E35EA">
        <w:rPr>
          <w:spacing w:val="-2"/>
          <w:sz w:val="19"/>
          <w:lang w:val="pl-PL"/>
        </w:rPr>
        <w:t>dla Trybunału.</w:t>
      </w:r>
    </w:p>
    <w:p w14:paraId="7373C217" w14:textId="77777777" w:rsidR="004D1679" w:rsidRPr="009E35EA" w:rsidRDefault="00000000">
      <w:pPr>
        <w:pStyle w:val="Tekstpodstawowy"/>
        <w:spacing w:before="2"/>
        <w:ind w:left="0" w:right="0" w:firstLine="0"/>
        <w:jc w:val="left"/>
        <w:rPr>
          <w:sz w:val="9"/>
          <w:lang w:val="pl-PL"/>
        </w:rPr>
      </w:pPr>
      <w:r>
        <w:rPr>
          <w:noProof/>
          <w:sz w:val="9"/>
        </w:rPr>
        <w:drawing>
          <wp:anchor distT="0" distB="0" distL="0" distR="0" simplePos="0" relativeHeight="251667456" behindDoc="1" locked="0" layoutInCell="1" allowOverlap="1" wp14:anchorId="1B6ACF1E" wp14:editId="6B987D46">
            <wp:simplePos x="0" y="0"/>
            <wp:positionH relativeFrom="page">
              <wp:posOffset>3402458</wp:posOffset>
            </wp:positionH>
            <wp:positionV relativeFrom="paragraph">
              <wp:posOffset>86570</wp:posOffset>
            </wp:positionV>
            <wp:extent cx="730883" cy="585692"/>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7" cstate="print"/>
                    <a:stretch>
                      <a:fillRect/>
                    </a:stretch>
                  </pic:blipFill>
                  <pic:spPr>
                    <a:xfrm>
                      <a:off x="0" y="0"/>
                      <a:ext cx="730883" cy="585692"/>
                    </a:xfrm>
                    <a:prstGeom prst="rect">
                      <a:avLst/>
                    </a:prstGeom>
                  </pic:spPr>
                </pic:pic>
              </a:graphicData>
            </a:graphic>
          </wp:anchor>
        </w:drawing>
      </w:r>
    </w:p>
    <w:p w14:paraId="3AE9EDE8" w14:textId="77777777" w:rsidR="004D1679" w:rsidRPr="009E35EA" w:rsidRDefault="004D1679">
      <w:pPr>
        <w:pStyle w:val="Tekstpodstawowy"/>
        <w:jc w:val="left"/>
        <w:rPr>
          <w:sz w:val="9"/>
          <w:lang w:val="pl-PL"/>
        </w:rPr>
        <w:sectPr w:rsidR="004D1679" w:rsidRPr="009E35EA">
          <w:type w:val="continuous"/>
          <w:pgSz w:w="11910" w:h="16840"/>
          <w:pgMar w:top="480" w:right="708" w:bottom="0" w:left="708" w:header="708" w:footer="708" w:gutter="0"/>
          <w:cols w:space="708"/>
        </w:sectPr>
      </w:pPr>
    </w:p>
    <w:p w14:paraId="3B58B95E" w14:textId="77777777" w:rsidR="004D1679" w:rsidRPr="009E35EA" w:rsidRDefault="004D1679">
      <w:pPr>
        <w:pStyle w:val="Tekstpodstawowy"/>
        <w:spacing w:before="0"/>
        <w:ind w:left="0" w:right="0" w:firstLine="0"/>
        <w:jc w:val="left"/>
        <w:rPr>
          <w:lang w:val="pl-PL"/>
        </w:rPr>
      </w:pPr>
    </w:p>
    <w:p w14:paraId="55CC2E0E" w14:textId="77777777" w:rsidR="004D1679" w:rsidRPr="009E35EA" w:rsidRDefault="004D1679">
      <w:pPr>
        <w:pStyle w:val="Tekstpodstawowy"/>
        <w:spacing w:before="0"/>
        <w:ind w:left="0" w:right="0" w:firstLine="0"/>
        <w:jc w:val="left"/>
        <w:rPr>
          <w:lang w:val="pl-PL"/>
        </w:rPr>
      </w:pPr>
    </w:p>
    <w:p w14:paraId="39514DBE" w14:textId="55A0EED5" w:rsidR="009B6230" w:rsidRPr="009E35EA" w:rsidRDefault="00000000">
      <w:pPr>
        <w:pStyle w:val="Akapitzlist"/>
        <w:numPr>
          <w:ilvl w:val="0"/>
          <w:numId w:val="1"/>
        </w:numPr>
        <w:tabs>
          <w:tab w:val="left" w:pos="1583"/>
        </w:tabs>
        <w:spacing w:before="0"/>
        <w:ind w:right="729" w:hanging="284"/>
        <w:jc w:val="both"/>
        <w:rPr>
          <w:rFonts w:ascii="Arial" w:hAnsi="Arial"/>
          <w:color w:val="0072BC"/>
          <w:lang w:val="pl-PL"/>
        </w:rPr>
      </w:pPr>
      <w:r w:rsidRPr="009E35EA">
        <w:rPr>
          <w:sz w:val="20"/>
          <w:lang w:val="pl-PL"/>
        </w:rPr>
        <w:t xml:space="preserve">Przy określaniu proporcjonalności ograniczeń w dostępie do Trybunału Konstytucyjnego należy wziąć pod uwagę trzy czynniki, a mianowicie (i) czy sposoby korzystania z odwołania można uznać za przewidywalne z punktu widzenia strony procesowej, (ii) czy dana osoba musiała ponieść nadmierne obciążenie z powodu błędów proceduralnych popełnionych w trakcie postępowania oraz (iii) czy przedmiotowe ograniczenia można uznać za </w:t>
      </w:r>
      <w:r w:rsidR="00512B07" w:rsidRPr="009E35EA">
        <w:rPr>
          <w:sz w:val="20"/>
          <w:lang w:val="pl-PL"/>
        </w:rPr>
        <w:t>„</w:t>
      </w:r>
      <w:r w:rsidRPr="009E35EA">
        <w:rPr>
          <w:sz w:val="20"/>
          <w:lang w:val="pl-PL"/>
        </w:rPr>
        <w:t>nadmierny formalizm</w:t>
      </w:r>
      <w:r w:rsidR="00512B07" w:rsidRPr="009E35EA">
        <w:rPr>
          <w:sz w:val="20"/>
          <w:lang w:val="pl-PL"/>
        </w:rPr>
        <w:t>’’</w:t>
      </w:r>
      <w:r w:rsidRPr="009E35EA">
        <w:rPr>
          <w:sz w:val="20"/>
          <w:lang w:val="pl-PL"/>
        </w:rPr>
        <w:t xml:space="preserve"> (</w:t>
      </w:r>
      <w:hyperlink r:id="rId28">
        <w:r w:rsidR="009B6230" w:rsidRPr="009E35EA">
          <w:rPr>
            <w:i/>
            <w:color w:val="0072BC"/>
            <w:sz w:val="20"/>
            <w:lang w:val="pl-PL"/>
          </w:rPr>
          <w:t xml:space="preserve">Dos Santos </w:t>
        </w:r>
        <w:proofErr w:type="spellStart"/>
        <w:r w:rsidR="009B6230" w:rsidRPr="009E35EA">
          <w:rPr>
            <w:i/>
            <w:color w:val="0072BC"/>
            <w:sz w:val="20"/>
            <w:lang w:val="pl-PL"/>
          </w:rPr>
          <w:t>Calado</w:t>
        </w:r>
        <w:proofErr w:type="spellEnd"/>
        <w:r w:rsidR="009B6230" w:rsidRPr="009E35EA">
          <w:rPr>
            <w:i/>
            <w:color w:val="0072BC"/>
            <w:sz w:val="20"/>
            <w:lang w:val="pl-PL"/>
          </w:rPr>
          <w:t xml:space="preserve"> i </w:t>
        </w:r>
        <w:r w:rsidR="00836DB6" w:rsidRPr="009E35EA">
          <w:rPr>
            <w:i/>
            <w:color w:val="0072BC"/>
            <w:sz w:val="20"/>
            <w:lang w:val="pl-PL"/>
          </w:rPr>
          <w:t>Inni</w:t>
        </w:r>
        <w:r w:rsidR="009B6230" w:rsidRPr="009E35EA">
          <w:rPr>
            <w:i/>
            <w:color w:val="0072BC"/>
            <w:sz w:val="20"/>
            <w:lang w:val="pl-PL"/>
          </w:rPr>
          <w:t xml:space="preserve"> przeciwko Portugalii</w:t>
        </w:r>
      </w:hyperlink>
      <w:r w:rsidR="009B6230" w:rsidRPr="009E35EA">
        <w:rPr>
          <w:lang w:val="pl-PL"/>
        </w:rPr>
        <w:t xml:space="preserve">, </w:t>
      </w:r>
      <w:r w:rsidR="009B6230" w:rsidRPr="009E35EA">
        <w:rPr>
          <w:sz w:val="20"/>
          <w:szCs w:val="20"/>
          <w:lang w:val="pl-PL"/>
        </w:rPr>
        <w:t xml:space="preserve">2020 r., §§ 113-116; </w:t>
      </w:r>
      <w:hyperlink r:id="rId29">
        <w:r w:rsidR="009B6230" w:rsidRPr="009E35EA">
          <w:rPr>
            <w:i/>
            <w:color w:val="0072BC"/>
            <w:sz w:val="20"/>
            <w:lang w:val="pl-PL"/>
          </w:rPr>
          <w:t xml:space="preserve">Albuquerque </w:t>
        </w:r>
        <w:proofErr w:type="spellStart"/>
        <w:r w:rsidR="009B6230" w:rsidRPr="009E35EA">
          <w:rPr>
            <w:i/>
            <w:color w:val="0072BC"/>
            <w:sz w:val="20"/>
            <w:lang w:val="pl-PL"/>
          </w:rPr>
          <w:t>Fernandes</w:t>
        </w:r>
        <w:proofErr w:type="spellEnd"/>
        <w:r w:rsidR="009B6230" w:rsidRPr="009E35EA">
          <w:rPr>
            <w:i/>
            <w:color w:val="0072BC"/>
            <w:sz w:val="20"/>
            <w:lang w:val="pl-PL"/>
          </w:rPr>
          <w:t xml:space="preserve"> przeciwko</w:t>
        </w:r>
      </w:hyperlink>
      <w:r w:rsidR="009B6230" w:rsidRPr="009E35EA">
        <w:rPr>
          <w:i/>
          <w:color w:val="0072BC"/>
          <w:sz w:val="20"/>
          <w:lang w:val="pl-PL"/>
        </w:rPr>
        <w:t xml:space="preserve"> Portugalii, </w:t>
      </w:r>
      <w:r w:rsidR="009B6230" w:rsidRPr="009E35EA">
        <w:rPr>
          <w:sz w:val="20"/>
          <w:lang w:val="pl-PL"/>
        </w:rPr>
        <w:t>2021</w:t>
      </w:r>
      <w:r w:rsidR="002C6BC6" w:rsidRPr="009E35EA">
        <w:rPr>
          <w:sz w:val="20"/>
          <w:lang w:val="pl-PL"/>
        </w:rPr>
        <w:t xml:space="preserve"> r.</w:t>
      </w:r>
      <w:r w:rsidR="009B6230" w:rsidRPr="009E35EA">
        <w:rPr>
          <w:sz w:val="20"/>
          <w:lang w:val="pl-PL"/>
        </w:rPr>
        <w:t>, § 69).</w:t>
      </w:r>
    </w:p>
    <w:p w14:paraId="13776D4B" w14:textId="77777777" w:rsidR="004D1679" w:rsidRDefault="00000000">
      <w:pPr>
        <w:pStyle w:val="Nagwek3"/>
        <w:spacing w:before="240"/>
        <w:rPr>
          <w:rFonts w:ascii="Calibri"/>
          <w:i w:val="0"/>
        </w:rPr>
      </w:pPr>
      <w:proofErr w:type="spellStart"/>
      <w:r>
        <w:rPr>
          <w:color w:val="2F2F2F"/>
          <w:spacing w:val="-2"/>
          <w:sz w:val="26"/>
        </w:rPr>
        <w:t>Bezstronność</w:t>
      </w:r>
      <w:proofErr w:type="spellEnd"/>
      <w:r>
        <w:rPr>
          <w:rFonts w:ascii="Calibri"/>
          <w:i w:val="0"/>
          <w:color w:val="2F2F2F"/>
          <w:spacing w:val="-2"/>
          <w:sz w:val="26"/>
        </w:rPr>
        <w:t>:</w:t>
      </w:r>
    </w:p>
    <w:p w14:paraId="5B950AF1" w14:textId="6BE1AF40" w:rsidR="00A850CC" w:rsidRPr="009E35EA" w:rsidRDefault="002F44AF" w:rsidP="000B4D1A">
      <w:pPr>
        <w:pStyle w:val="Akapitzlist"/>
        <w:numPr>
          <w:ilvl w:val="0"/>
          <w:numId w:val="1"/>
        </w:numPr>
        <w:tabs>
          <w:tab w:val="left" w:pos="1583"/>
        </w:tabs>
        <w:ind w:hanging="284"/>
        <w:rPr>
          <w:rFonts w:asciiTheme="minorHAnsi" w:hAnsiTheme="minorHAnsi" w:cstheme="minorHAnsi"/>
          <w:color w:val="0072BC"/>
          <w:sz w:val="20"/>
          <w:szCs w:val="20"/>
          <w:lang w:val="pl-PL"/>
        </w:rPr>
      </w:pPr>
      <w:r w:rsidRPr="009E35EA">
        <w:rPr>
          <w:rFonts w:asciiTheme="minorHAnsi" w:hAnsiTheme="minorHAnsi" w:cstheme="minorHAnsi"/>
          <w:sz w:val="20"/>
          <w:szCs w:val="20"/>
          <w:lang w:val="pl-PL"/>
        </w:rPr>
        <w:t xml:space="preserve">Testy subiektywne i obiektywne mają również zastosowanie do postępowania przed Trybunałem Konstytucyjnym </w:t>
      </w:r>
      <w:r w:rsidRPr="009E35EA">
        <w:rPr>
          <w:rFonts w:asciiTheme="minorHAnsi" w:hAnsiTheme="minorHAnsi" w:cstheme="minorHAnsi"/>
          <w:spacing w:val="-2"/>
          <w:sz w:val="20"/>
          <w:szCs w:val="20"/>
          <w:lang w:val="pl-PL"/>
        </w:rPr>
        <w:t>(</w:t>
      </w:r>
      <w:proofErr w:type="spellStart"/>
      <w:r>
        <w:fldChar w:fldCharType="begin"/>
      </w:r>
      <w:r>
        <w:instrText>HYPERLINK "http://hudoc.echr.coe.int/eng?i=001-69726" \h</w:instrText>
      </w:r>
      <w:r>
        <w:fldChar w:fldCharType="separate"/>
      </w:r>
      <w:r w:rsidRPr="009E35EA">
        <w:rPr>
          <w:rFonts w:asciiTheme="minorHAnsi" w:hAnsiTheme="minorHAnsi" w:cstheme="minorHAnsi"/>
          <w:color w:val="0072BC"/>
          <w:spacing w:val="-2"/>
          <w:sz w:val="20"/>
          <w:szCs w:val="20"/>
          <w:lang w:val="pl-PL"/>
        </w:rPr>
        <w:t>Mežnarić</w:t>
      </w:r>
      <w:proofErr w:type="spellEnd"/>
      <w:r>
        <w:fldChar w:fldCharType="end"/>
      </w:r>
      <w:r w:rsidRPr="009E35EA">
        <w:rPr>
          <w:rFonts w:asciiTheme="minorHAnsi" w:hAnsiTheme="minorHAnsi" w:cstheme="minorHAnsi"/>
          <w:sz w:val="20"/>
          <w:szCs w:val="20"/>
          <w:lang w:val="pl-PL"/>
        </w:rPr>
        <w:t xml:space="preserve"> </w:t>
      </w:r>
      <w:hyperlink r:id="rId30">
        <w:r w:rsidRPr="009E35EA">
          <w:rPr>
            <w:rFonts w:asciiTheme="minorHAnsi" w:hAnsiTheme="minorHAnsi" w:cstheme="minorHAnsi"/>
            <w:color w:val="0072BC"/>
            <w:sz w:val="20"/>
            <w:szCs w:val="20"/>
            <w:lang w:val="pl-PL"/>
          </w:rPr>
          <w:t>przeciwko Chorwacji</w:t>
        </w:r>
      </w:hyperlink>
      <w:r w:rsidRPr="009E35EA">
        <w:rPr>
          <w:rFonts w:asciiTheme="minorHAnsi" w:hAnsiTheme="minorHAnsi" w:cstheme="minorHAnsi"/>
          <w:sz w:val="20"/>
          <w:szCs w:val="20"/>
          <w:lang w:val="pl-PL"/>
        </w:rPr>
        <w:t>, 2005</w:t>
      </w:r>
      <w:r w:rsidR="002C6BC6" w:rsidRPr="009E35EA">
        <w:rPr>
          <w:rFonts w:asciiTheme="minorHAnsi" w:hAnsiTheme="minorHAnsi" w:cstheme="minorHAnsi"/>
          <w:sz w:val="20"/>
          <w:szCs w:val="20"/>
          <w:lang w:val="pl-PL"/>
        </w:rPr>
        <w:t xml:space="preserve"> r.</w:t>
      </w:r>
      <w:r w:rsidRPr="009E35EA">
        <w:rPr>
          <w:rFonts w:asciiTheme="minorHAnsi" w:hAnsiTheme="minorHAnsi" w:cstheme="minorHAnsi"/>
          <w:sz w:val="20"/>
          <w:szCs w:val="20"/>
          <w:lang w:val="pl-PL"/>
        </w:rPr>
        <w:t>, §§ 29-32</w:t>
      </w:r>
      <w:r w:rsidRPr="009E35EA">
        <w:rPr>
          <w:rFonts w:asciiTheme="minorHAnsi" w:hAnsiTheme="minorHAnsi" w:cstheme="minorHAnsi"/>
          <w:spacing w:val="-4"/>
          <w:sz w:val="20"/>
          <w:szCs w:val="20"/>
          <w:lang w:val="pl-PL"/>
        </w:rPr>
        <w:t>).</w:t>
      </w:r>
    </w:p>
    <w:p w14:paraId="4FCF9EE8" w14:textId="77777777" w:rsidR="004D1679" w:rsidRDefault="00000000">
      <w:pPr>
        <w:pStyle w:val="Nagwek3"/>
      </w:pPr>
      <w:proofErr w:type="spellStart"/>
      <w:r>
        <w:rPr>
          <w:color w:val="2F2F2F"/>
          <w:w w:val="80"/>
          <w:sz w:val="26"/>
        </w:rPr>
        <w:t>Uczciwość</w:t>
      </w:r>
      <w:proofErr w:type="spellEnd"/>
      <w:r>
        <w:rPr>
          <w:color w:val="2F2F2F"/>
          <w:w w:val="80"/>
          <w:sz w:val="26"/>
        </w:rPr>
        <w:t xml:space="preserve"> </w:t>
      </w:r>
      <w:proofErr w:type="spellStart"/>
      <w:r>
        <w:rPr>
          <w:color w:val="2F2F2F"/>
          <w:spacing w:val="-2"/>
          <w:w w:val="80"/>
          <w:sz w:val="26"/>
        </w:rPr>
        <w:t>postępowania</w:t>
      </w:r>
      <w:proofErr w:type="spellEnd"/>
      <w:r>
        <w:rPr>
          <w:color w:val="2F2F2F"/>
          <w:spacing w:val="-2"/>
          <w:w w:val="80"/>
          <w:sz w:val="26"/>
        </w:rPr>
        <w:t>:</w:t>
      </w:r>
    </w:p>
    <w:p w14:paraId="6B1007A4" w14:textId="29EC37E4" w:rsidR="004D1679" w:rsidRPr="009E35EA" w:rsidRDefault="00000000">
      <w:pPr>
        <w:pStyle w:val="Akapitzlist"/>
        <w:numPr>
          <w:ilvl w:val="0"/>
          <w:numId w:val="1"/>
        </w:numPr>
        <w:tabs>
          <w:tab w:val="left" w:pos="1583"/>
        </w:tabs>
        <w:spacing w:before="76"/>
        <w:ind w:right="729" w:hanging="284"/>
        <w:jc w:val="both"/>
        <w:rPr>
          <w:rFonts w:ascii="Arial" w:hAnsi="Arial"/>
          <w:color w:val="0072BC"/>
          <w:lang w:val="pl-PL"/>
        </w:rPr>
      </w:pPr>
      <w:r w:rsidRPr="009E35EA">
        <w:rPr>
          <w:sz w:val="20"/>
          <w:lang w:val="pl-PL"/>
        </w:rPr>
        <w:t>Prawo do kontradyktoryjnego postępowania może mieć również zastosowanie w postępowaniu przed Trybunałem Konstytucyjnym (</w:t>
      </w:r>
      <w:proofErr w:type="spellStart"/>
      <w:r w:rsidR="004D1679">
        <w:fldChar w:fldCharType="begin"/>
      </w:r>
      <w:r w:rsidR="004D1679">
        <w:instrText>HYPERLINK "http://hudoc.echr.coe.int/eng?i=001-69426" \h</w:instrText>
      </w:r>
      <w:r w:rsidR="004D1679">
        <w:fldChar w:fldCharType="separate"/>
      </w:r>
      <w:r w:rsidR="004D1679" w:rsidRPr="009E35EA">
        <w:rPr>
          <w:i/>
          <w:color w:val="0072BC"/>
          <w:sz w:val="20"/>
          <w:lang w:val="pl-PL"/>
        </w:rPr>
        <w:t>Milatová</w:t>
      </w:r>
      <w:proofErr w:type="spellEnd"/>
      <w:r w:rsidR="004D1679" w:rsidRPr="009E35EA">
        <w:rPr>
          <w:i/>
          <w:color w:val="0072BC"/>
          <w:sz w:val="20"/>
          <w:lang w:val="pl-PL"/>
        </w:rPr>
        <w:t xml:space="preserve"> i Inni przeciwko Republice Czeskiej</w:t>
      </w:r>
      <w:r w:rsidR="004D1679">
        <w:fldChar w:fldCharType="end"/>
      </w:r>
      <w:r w:rsidRPr="009E35EA">
        <w:rPr>
          <w:sz w:val="20"/>
          <w:lang w:val="pl-PL"/>
        </w:rPr>
        <w:t>, 2005</w:t>
      </w:r>
      <w:r w:rsidR="002C6BC6" w:rsidRPr="009E35EA">
        <w:rPr>
          <w:sz w:val="20"/>
          <w:lang w:val="pl-PL"/>
        </w:rPr>
        <w:t xml:space="preserve"> r.</w:t>
      </w:r>
      <w:r w:rsidRPr="009E35EA">
        <w:rPr>
          <w:sz w:val="20"/>
          <w:lang w:val="pl-PL"/>
        </w:rPr>
        <w:t>, § 59).</w:t>
      </w:r>
    </w:p>
    <w:p w14:paraId="610204DB" w14:textId="3ADF9836"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W kontekście nieprzekazania skarżącemu przez Trybunał Konstytucyjny pisemnych uwag sądów powszechnych zaangażowanych w jego sprawę, Trybunał orzekł, że zasady leżące u podstaw jego orzecznictwa w sprawie równości broni i rzetelności postępowania należy postrzegać jako wymagające od Trybunału Konstytucyjnego, we wszystkich przypadkach, w których decyduje, że nie ma potrzeby przekazywania uwag jednej strony innym stronom w postępowaniu przed nim, wyraźnego wskazania w swoim orzeczeniu powodów podjęcia takiej decyzji (</w:t>
      </w:r>
      <w:proofErr w:type="spellStart"/>
      <w:r w:rsidR="004D1679">
        <w:fldChar w:fldCharType="begin"/>
      </w:r>
      <w:r w:rsidR="004D1679">
        <w:instrText>HYPERLINK "https://hudoc.echr.coe.int/eng?i=001-222790" \h</w:instrText>
      </w:r>
      <w:r w:rsidR="004D1679">
        <w:fldChar w:fldCharType="separate"/>
      </w:r>
      <w:r w:rsidR="004D1679" w:rsidRPr="009E35EA">
        <w:rPr>
          <w:i/>
          <w:color w:val="0072BC"/>
          <w:sz w:val="20"/>
          <w:lang w:val="pl-PL"/>
        </w:rPr>
        <w:t>Janáček</w:t>
      </w:r>
      <w:proofErr w:type="spellEnd"/>
      <w:r w:rsidR="004D1679" w:rsidRPr="009E35EA">
        <w:rPr>
          <w:i/>
          <w:color w:val="0072BC"/>
          <w:sz w:val="20"/>
          <w:lang w:val="pl-PL"/>
        </w:rPr>
        <w:t xml:space="preserve"> przeciwko </w:t>
      </w:r>
      <w:r w:rsidR="004D1679">
        <w:fldChar w:fldCharType="end"/>
      </w:r>
      <w:hyperlink r:id="rId31">
        <w:r w:rsidR="004D1679" w:rsidRPr="009E35EA">
          <w:rPr>
            <w:i/>
            <w:color w:val="0072BC"/>
            <w:sz w:val="20"/>
            <w:lang w:val="pl-PL"/>
          </w:rPr>
          <w:t>Republice Czeskiej</w:t>
        </w:r>
      </w:hyperlink>
      <w:r w:rsidRPr="009E35EA">
        <w:rPr>
          <w:sz w:val="20"/>
          <w:lang w:val="pl-PL"/>
        </w:rPr>
        <w:t>, 2023</w:t>
      </w:r>
      <w:r w:rsidR="002C6BC6" w:rsidRPr="009E35EA">
        <w:rPr>
          <w:sz w:val="20"/>
          <w:lang w:val="pl-PL"/>
        </w:rPr>
        <w:t xml:space="preserve"> r.</w:t>
      </w:r>
      <w:r w:rsidRPr="009E35EA">
        <w:rPr>
          <w:sz w:val="20"/>
          <w:lang w:val="pl-PL"/>
        </w:rPr>
        <w:t>, § 53).</w:t>
      </w:r>
    </w:p>
    <w:p w14:paraId="25811D27" w14:textId="6628E79D"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 xml:space="preserve">Gdy postępowanie przed Trybunałem Konstytucyjnym dotyczy przepisów </w:t>
      </w:r>
      <w:r w:rsidRPr="009E35EA">
        <w:rPr>
          <w:i/>
          <w:sz w:val="20"/>
          <w:lang w:val="pl-PL"/>
        </w:rPr>
        <w:t>ad personam</w:t>
      </w:r>
      <w:r w:rsidRPr="009E35EA">
        <w:rPr>
          <w:sz w:val="20"/>
          <w:lang w:val="pl-PL"/>
        </w:rPr>
        <w:t>, zainteresowanym należy zagwarantować swobodny dostęp do uwag innych uczestników oraz rzeczywistą możliwość przedstawienia uwag na ich temat (</w:t>
      </w:r>
      <w:hyperlink r:id="rId32">
        <w:r w:rsidR="004D1679" w:rsidRPr="009E35EA">
          <w:rPr>
            <w:i/>
            <w:color w:val="0072BC"/>
            <w:sz w:val="20"/>
            <w:lang w:val="pl-PL"/>
          </w:rPr>
          <w:t>Ruiz-</w:t>
        </w:r>
        <w:proofErr w:type="spellStart"/>
        <w:r w:rsidR="004D1679" w:rsidRPr="009E35EA">
          <w:rPr>
            <w:i/>
            <w:color w:val="0072BC"/>
            <w:sz w:val="20"/>
            <w:lang w:val="pl-PL"/>
          </w:rPr>
          <w:t>Mateos</w:t>
        </w:r>
        <w:proofErr w:type="spellEnd"/>
        <w:r w:rsidR="004D1679" w:rsidRPr="009E35EA">
          <w:rPr>
            <w:i/>
            <w:color w:val="0072BC"/>
            <w:sz w:val="20"/>
            <w:lang w:val="pl-PL"/>
          </w:rPr>
          <w:t xml:space="preserve"> przeciwko Hiszpanii</w:t>
        </w:r>
      </w:hyperlink>
      <w:r w:rsidRPr="009E35EA">
        <w:rPr>
          <w:sz w:val="20"/>
          <w:lang w:val="pl-PL"/>
        </w:rPr>
        <w:t>, 1993 r.,</w:t>
      </w:r>
    </w:p>
    <w:p w14:paraId="6548219B" w14:textId="5F50938E" w:rsidR="004D1679" w:rsidRPr="009E35EA" w:rsidRDefault="00000000">
      <w:pPr>
        <w:ind w:left="1583"/>
        <w:jc w:val="both"/>
        <w:rPr>
          <w:lang w:val="pl-PL"/>
        </w:rPr>
      </w:pPr>
      <w:r w:rsidRPr="009E35EA">
        <w:rPr>
          <w:sz w:val="20"/>
          <w:lang w:val="pl-PL"/>
        </w:rPr>
        <w:t xml:space="preserve">§ 63; zob. przeciwnie, </w:t>
      </w:r>
      <w:hyperlink r:id="rId33">
        <w:proofErr w:type="spellStart"/>
        <w:r w:rsidR="004D1679" w:rsidRPr="009E35EA">
          <w:rPr>
            <w:i/>
            <w:color w:val="0072BC"/>
            <w:sz w:val="20"/>
            <w:lang w:val="pl-PL"/>
          </w:rPr>
          <w:t>Gorraiz</w:t>
        </w:r>
        <w:proofErr w:type="spellEnd"/>
        <w:r w:rsidR="004D1679" w:rsidRPr="009E35EA">
          <w:rPr>
            <w:i/>
            <w:color w:val="0072BC"/>
            <w:sz w:val="20"/>
            <w:lang w:val="pl-PL"/>
          </w:rPr>
          <w:t xml:space="preserve"> </w:t>
        </w:r>
        <w:proofErr w:type="spellStart"/>
        <w:r w:rsidR="004D1679" w:rsidRPr="009E35EA">
          <w:rPr>
            <w:i/>
            <w:color w:val="0072BC"/>
            <w:sz w:val="20"/>
            <w:lang w:val="pl-PL"/>
          </w:rPr>
          <w:t>Lizarraga</w:t>
        </w:r>
        <w:proofErr w:type="spellEnd"/>
        <w:r w:rsidR="004D1679" w:rsidRPr="009E35EA">
          <w:rPr>
            <w:i/>
            <w:color w:val="0072BC"/>
            <w:sz w:val="20"/>
            <w:lang w:val="pl-PL"/>
          </w:rPr>
          <w:t xml:space="preserve"> i Inni przeciwko Hiszpanii</w:t>
        </w:r>
      </w:hyperlink>
      <w:r w:rsidRPr="009E35EA">
        <w:rPr>
          <w:sz w:val="20"/>
          <w:lang w:val="pl-PL"/>
        </w:rPr>
        <w:t>, 2004</w:t>
      </w:r>
      <w:r w:rsidR="002C6BC6" w:rsidRPr="009E35EA">
        <w:rPr>
          <w:sz w:val="20"/>
          <w:lang w:val="pl-PL"/>
        </w:rPr>
        <w:t xml:space="preserve"> r.</w:t>
      </w:r>
      <w:r w:rsidRPr="009E35EA">
        <w:rPr>
          <w:sz w:val="20"/>
          <w:lang w:val="pl-PL"/>
        </w:rPr>
        <w:t>, §§ 56-61</w:t>
      </w:r>
      <w:r w:rsidRPr="009E35EA">
        <w:rPr>
          <w:spacing w:val="-4"/>
          <w:sz w:val="20"/>
          <w:lang w:val="pl-PL"/>
        </w:rPr>
        <w:t>).</w:t>
      </w:r>
    </w:p>
    <w:p w14:paraId="1B3E193E" w14:textId="68D7579B"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 xml:space="preserve">Jeżeli istnieje mechanizm wstępnego odesłania do Trybunału Konstytucyjnego, odmowa uwzględnienia przez sąd krajowy wniosku o takie odesłanie może w pewnych okolicznościach naruszać rzetelność postępowania, na </w:t>
      </w:r>
      <w:r w:rsidR="009565B6" w:rsidRPr="009E35EA">
        <w:rPr>
          <w:sz w:val="20"/>
          <w:lang w:val="pl-PL"/>
        </w:rPr>
        <w:t>przykład,</w:t>
      </w:r>
      <w:r w:rsidRPr="009E35EA">
        <w:rPr>
          <w:sz w:val="20"/>
          <w:lang w:val="pl-PL"/>
        </w:rPr>
        <w:t xml:space="preserve"> gdy odmowa nie została należycie uzasadniona (</w:t>
      </w:r>
      <w:proofErr w:type="spellStart"/>
      <w:r w:rsidR="00B26868">
        <w:fldChar w:fldCharType="begin"/>
      </w:r>
      <w:r w:rsidR="00B26868">
        <w:instrText>HYPERLINK "http://hudoc.echr.coe.int/eng?i=001-212692" \h</w:instrText>
      </w:r>
      <w:r w:rsidR="00B26868">
        <w:fldChar w:fldCharType="separate"/>
      </w:r>
      <w:r w:rsidR="00B26868" w:rsidRPr="009E35EA">
        <w:rPr>
          <w:i/>
          <w:color w:val="0072BC"/>
          <w:sz w:val="20"/>
          <w:lang w:val="pl-PL"/>
        </w:rPr>
        <w:t>Šaltinytė</w:t>
      </w:r>
      <w:proofErr w:type="spellEnd"/>
      <w:r w:rsidR="00B26868" w:rsidRPr="009E35EA">
        <w:rPr>
          <w:i/>
          <w:color w:val="0072BC"/>
          <w:sz w:val="20"/>
          <w:lang w:val="pl-PL"/>
        </w:rPr>
        <w:t xml:space="preserve"> przeciwko Litwie</w:t>
      </w:r>
      <w:r w:rsidR="00B26868">
        <w:fldChar w:fldCharType="end"/>
      </w:r>
      <w:r w:rsidRPr="009E35EA">
        <w:rPr>
          <w:sz w:val="20"/>
          <w:lang w:val="pl-PL"/>
        </w:rPr>
        <w:t>, 2021</w:t>
      </w:r>
      <w:r w:rsidR="002C6BC6" w:rsidRPr="009E35EA">
        <w:rPr>
          <w:sz w:val="20"/>
          <w:lang w:val="pl-PL"/>
        </w:rPr>
        <w:t xml:space="preserve"> r.</w:t>
      </w:r>
      <w:r w:rsidRPr="009E35EA">
        <w:rPr>
          <w:sz w:val="20"/>
          <w:lang w:val="pl-PL"/>
        </w:rPr>
        <w:t xml:space="preserve">, § 88; </w:t>
      </w:r>
      <w:hyperlink r:id="rId34">
        <w:r w:rsidR="00B26868" w:rsidRPr="009E35EA">
          <w:rPr>
            <w:i/>
            <w:color w:val="0072BC"/>
            <w:sz w:val="20"/>
            <w:lang w:val="pl-PL"/>
          </w:rPr>
          <w:t>Xero Flor w Polsce sp. z o.o. przeciwko Polsce</w:t>
        </w:r>
      </w:hyperlink>
      <w:r w:rsidRPr="009E35EA">
        <w:rPr>
          <w:sz w:val="20"/>
          <w:lang w:val="pl-PL"/>
        </w:rPr>
        <w:t>, 2021</w:t>
      </w:r>
      <w:r w:rsidR="002C6BC6" w:rsidRPr="009E35EA">
        <w:rPr>
          <w:sz w:val="20"/>
          <w:lang w:val="pl-PL"/>
        </w:rPr>
        <w:t xml:space="preserve"> r.</w:t>
      </w:r>
      <w:r w:rsidRPr="009E35EA">
        <w:rPr>
          <w:sz w:val="20"/>
          <w:lang w:val="pl-PL"/>
        </w:rPr>
        <w:t>, §§ 166).</w:t>
      </w:r>
    </w:p>
    <w:p w14:paraId="385B2283" w14:textId="2ABCD116"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Gwarancje zapisane w art. 6 § 1 obejmują obowiązek sądów, w tym sądów konstytucyjnych, do podawania wystarczających powodów swoich decyzji, w szczególności gdy rozpatrywana przez nie sprawa dotyczy praw i wolności gwarantowanych przez Konwencję (</w:t>
      </w:r>
      <w:proofErr w:type="spellStart"/>
      <w:r w:rsidR="004D1679">
        <w:fldChar w:fldCharType="begin"/>
      </w:r>
      <w:r w:rsidR="004D1679">
        <w:instrText>HYPERLINK "https://hudoc.echr.coe.int/eng?i=001-222867" \h</w:instrText>
      </w:r>
      <w:r w:rsidR="004D1679">
        <w:fldChar w:fldCharType="separate"/>
      </w:r>
      <w:r w:rsidR="004D1679" w:rsidRPr="009E35EA">
        <w:rPr>
          <w:i/>
          <w:color w:val="0072BC"/>
          <w:sz w:val="20"/>
          <w:lang w:val="pl-PL"/>
        </w:rPr>
        <w:t>Paun</w:t>
      </w:r>
      <w:proofErr w:type="spellEnd"/>
      <w:r w:rsidR="004D1679" w:rsidRPr="009E35EA">
        <w:rPr>
          <w:i/>
          <w:color w:val="0072BC"/>
          <w:sz w:val="20"/>
          <w:lang w:val="pl-PL"/>
        </w:rPr>
        <w:t xml:space="preserve"> </w:t>
      </w:r>
      <w:proofErr w:type="spellStart"/>
      <w:r w:rsidR="004D1679" w:rsidRPr="009E35EA">
        <w:rPr>
          <w:i/>
          <w:color w:val="0072BC"/>
          <w:sz w:val="20"/>
          <w:lang w:val="pl-PL"/>
        </w:rPr>
        <w:t>Ovcharenko</w:t>
      </w:r>
      <w:proofErr w:type="spellEnd"/>
      <w:r w:rsidR="004D1679" w:rsidRPr="009E35EA">
        <w:rPr>
          <w:i/>
          <w:color w:val="0072BC"/>
          <w:sz w:val="20"/>
          <w:lang w:val="pl-PL"/>
        </w:rPr>
        <w:t xml:space="preserve"> i Kolos </w:t>
      </w:r>
      <w:r w:rsidR="004D1679">
        <w:fldChar w:fldCharType="end"/>
      </w:r>
      <w:hyperlink r:id="rId35">
        <w:proofErr w:type="spellStart"/>
        <w:r w:rsidR="004D1679" w:rsidRPr="009E35EA">
          <w:rPr>
            <w:i/>
            <w:color w:val="0072BC"/>
            <w:sz w:val="20"/>
            <w:lang w:val="pl-PL"/>
          </w:rPr>
          <w:t>Jovanović</w:t>
        </w:r>
        <w:proofErr w:type="spellEnd"/>
        <w:r w:rsidR="004D1679" w:rsidRPr="009E35EA">
          <w:rPr>
            <w:i/>
            <w:color w:val="0072BC"/>
            <w:sz w:val="20"/>
            <w:lang w:val="pl-PL"/>
          </w:rPr>
          <w:t xml:space="preserve"> przeciwko Serbii, </w:t>
        </w:r>
        <w:r w:rsidR="004D1679" w:rsidRPr="009E35EA">
          <w:rPr>
            <w:iCs/>
            <w:sz w:val="20"/>
            <w:lang w:val="pl-PL"/>
          </w:rPr>
          <w:t>2023</w:t>
        </w:r>
        <w:r w:rsidR="00623281" w:rsidRPr="009E35EA">
          <w:rPr>
            <w:iCs/>
            <w:sz w:val="20"/>
            <w:lang w:val="pl-PL"/>
          </w:rPr>
          <w:t xml:space="preserve"> r.</w:t>
        </w:r>
        <w:r w:rsidR="004D1679" w:rsidRPr="009E35EA">
          <w:rPr>
            <w:iCs/>
            <w:sz w:val="20"/>
            <w:lang w:val="pl-PL"/>
          </w:rPr>
          <w:t>,</w:t>
        </w:r>
        <w:r w:rsidR="004D1679" w:rsidRPr="009E35EA">
          <w:rPr>
            <w:i/>
            <w:color w:val="0072BC"/>
            <w:sz w:val="20"/>
            <w:lang w:val="pl-PL"/>
          </w:rPr>
          <w:t xml:space="preserve"> </w:t>
        </w:r>
        <w:r w:rsidR="004D1679" w:rsidRPr="009E35EA">
          <w:rPr>
            <w:iCs/>
            <w:sz w:val="20"/>
            <w:lang w:val="pl-PL"/>
          </w:rPr>
          <w:t>§§ 105-109</w:t>
        </w:r>
        <w:r w:rsidR="004E5D57" w:rsidRPr="009E35EA">
          <w:rPr>
            <w:iCs/>
            <w:sz w:val="20"/>
            <w:lang w:val="pl-PL"/>
          </w:rPr>
          <w:t>)</w:t>
        </w:r>
        <w:r w:rsidR="004E5D57" w:rsidRPr="009E35EA">
          <w:rPr>
            <w:i/>
            <w:color w:val="0072BC"/>
            <w:sz w:val="20"/>
            <w:lang w:val="pl-PL"/>
          </w:rPr>
          <w:t xml:space="preserve"> </w:t>
        </w:r>
      </w:hyperlink>
      <w:r w:rsidRPr="009E35EA">
        <w:rPr>
          <w:sz w:val="20"/>
          <w:lang w:val="pl-PL"/>
        </w:rPr>
        <w:t xml:space="preserve"> lub gwarancji niezawisłości sędziowskiej (</w:t>
      </w:r>
      <w:proofErr w:type="spellStart"/>
      <w:r w:rsidR="004D1679">
        <w:fldChar w:fldCharType="begin"/>
      </w:r>
      <w:r w:rsidR="004D1679">
        <w:instrText>HYPERLINK "https://hudoc.echr.coe.int/eng?i=001-222138" \h</w:instrText>
      </w:r>
      <w:r w:rsidR="004D1679">
        <w:fldChar w:fldCharType="separate"/>
      </w:r>
      <w:r w:rsidR="004D1679" w:rsidRPr="009E35EA">
        <w:rPr>
          <w:i/>
          <w:color w:val="0072BC"/>
          <w:sz w:val="20"/>
          <w:lang w:val="pl-PL"/>
        </w:rPr>
        <w:t>Ovcharenko</w:t>
      </w:r>
      <w:proofErr w:type="spellEnd"/>
      <w:r w:rsidR="004D1679" w:rsidRPr="009E35EA">
        <w:rPr>
          <w:i/>
          <w:color w:val="0072BC"/>
          <w:sz w:val="20"/>
          <w:lang w:val="pl-PL"/>
        </w:rPr>
        <w:t xml:space="preserve"> i Kolos przeciwko Ukrainie</w:t>
      </w:r>
      <w:r w:rsidR="004D1679">
        <w:fldChar w:fldCharType="end"/>
      </w:r>
      <w:r w:rsidRPr="009E35EA">
        <w:rPr>
          <w:sz w:val="20"/>
          <w:lang w:val="pl-PL"/>
        </w:rPr>
        <w:t>, 2023</w:t>
      </w:r>
      <w:r w:rsidR="002C6BC6" w:rsidRPr="009E35EA">
        <w:rPr>
          <w:sz w:val="20"/>
          <w:lang w:val="pl-PL"/>
        </w:rPr>
        <w:t xml:space="preserve"> r.</w:t>
      </w:r>
      <w:r w:rsidRPr="009E35EA">
        <w:rPr>
          <w:sz w:val="20"/>
          <w:lang w:val="pl-PL"/>
        </w:rPr>
        <w:t>, § 126) lub nowych lub rzadkich kwestii, w odniesieniu do których nie ma utrwalonego orzecznictwa dotyczącego ich stosowania (</w:t>
      </w:r>
      <w:hyperlink r:id="rId36">
        <w:r w:rsidR="004D1679" w:rsidRPr="009E35EA">
          <w:rPr>
            <w:i/>
            <w:color w:val="0072BC"/>
            <w:sz w:val="20"/>
            <w:lang w:val="pl-PL"/>
          </w:rPr>
          <w:t xml:space="preserve">Lorenzo </w:t>
        </w:r>
        <w:proofErr w:type="spellStart"/>
        <w:r w:rsidR="004D1679" w:rsidRPr="009E35EA">
          <w:rPr>
            <w:i/>
            <w:color w:val="0072BC"/>
            <w:sz w:val="20"/>
            <w:lang w:val="pl-PL"/>
          </w:rPr>
          <w:t>Bragado</w:t>
        </w:r>
        <w:proofErr w:type="spellEnd"/>
        <w:r w:rsidR="004D1679" w:rsidRPr="009E35EA">
          <w:rPr>
            <w:i/>
            <w:color w:val="0072BC"/>
            <w:sz w:val="20"/>
            <w:lang w:val="pl-PL"/>
          </w:rPr>
          <w:t xml:space="preserve"> i Inni </w:t>
        </w:r>
      </w:hyperlink>
      <w:hyperlink r:id="rId37">
        <w:r w:rsidR="004D1679" w:rsidRPr="009E35EA">
          <w:rPr>
            <w:i/>
            <w:color w:val="0072BC"/>
            <w:sz w:val="20"/>
            <w:lang w:val="pl-PL"/>
          </w:rPr>
          <w:t>przeciwko Hiszpanii</w:t>
        </w:r>
      </w:hyperlink>
      <w:r w:rsidRPr="009E35EA">
        <w:rPr>
          <w:sz w:val="20"/>
          <w:lang w:val="pl-PL"/>
        </w:rPr>
        <w:t>, 2023</w:t>
      </w:r>
      <w:r w:rsidR="002C6BC6" w:rsidRPr="009E35EA">
        <w:rPr>
          <w:sz w:val="20"/>
          <w:lang w:val="pl-PL"/>
        </w:rPr>
        <w:t xml:space="preserve"> r.</w:t>
      </w:r>
      <w:r w:rsidRPr="009E35EA">
        <w:rPr>
          <w:sz w:val="20"/>
          <w:lang w:val="pl-PL"/>
        </w:rPr>
        <w:t>, §§ 143-148).</w:t>
      </w:r>
    </w:p>
    <w:p w14:paraId="1B47BDE7" w14:textId="77777777" w:rsidR="004D1679" w:rsidRDefault="00000000">
      <w:pPr>
        <w:pStyle w:val="Nagwek3"/>
      </w:pPr>
      <w:proofErr w:type="spellStart"/>
      <w:r>
        <w:rPr>
          <w:color w:val="2F2F2F"/>
          <w:spacing w:val="-2"/>
          <w:w w:val="95"/>
          <w:sz w:val="26"/>
        </w:rPr>
        <w:t>Wysłuchanie</w:t>
      </w:r>
      <w:proofErr w:type="spellEnd"/>
      <w:r>
        <w:rPr>
          <w:color w:val="2F2F2F"/>
          <w:spacing w:val="-2"/>
          <w:w w:val="95"/>
          <w:sz w:val="26"/>
        </w:rPr>
        <w:t xml:space="preserve"> </w:t>
      </w:r>
      <w:proofErr w:type="spellStart"/>
      <w:r>
        <w:rPr>
          <w:color w:val="2F2F2F"/>
          <w:w w:val="80"/>
          <w:sz w:val="26"/>
        </w:rPr>
        <w:t>publiczne</w:t>
      </w:r>
      <w:proofErr w:type="spellEnd"/>
      <w:r>
        <w:rPr>
          <w:color w:val="2F2F2F"/>
          <w:spacing w:val="-2"/>
          <w:w w:val="95"/>
          <w:sz w:val="26"/>
        </w:rPr>
        <w:t>:</w:t>
      </w:r>
    </w:p>
    <w:p w14:paraId="2A4D173E" w14:textId="28AE0439" w:rsidR="004D1679" w:rsidRDefault="00000000">
      <w:pPr>
        <w:pStyle w:val="Akapitzlist"/>
        <w:numPr>
          <w:ilvl w:val="0"/>
          <w:numId w:val="1"/>
        </w:numPr>
        <w:tabs>
          <w:tab w:val="left" w:pos="1583"/>
        </w:tabs>
        <w:spacing w:before="76"/>
        <w:ind w:right="729" w:hanging="284"/>
        <w:jc w:val="both"/>
        <w:rPr>
          <w:rFonts w:ascii="Arial" w:hAnsi="Arial"/>
          <w:color w:val="0072BC"/>
        </w:rPr>
      </w:pPr>
      <w:r w:rsidRPr="009E35EA">
        <w:rPr>
          <w:sz w:val="20"/>
          <w:lang w:val="pl-PL"/>
        </w:rPr>
        <w:t>Jeżeli postępowanie przed Trybunałem Konstytucyjnym ogranicza się do zbadania kwestii konstytucyjnych i pociąga za sobą jedynie ocenę kwestii prawnych, przeprowadzenie publicznych przesłuchań na decydującym etapie postępowania jest wystarczające, aby zachować zgodność z art. 6 § 1 (</w:t>
      </w:r>
      <w:proofErr w:type="spellStart"/>
      <w:r w:rsidR="004D1679">
        <w:fldChar w:fldCharType="begin"/>
      </w:r>
      <w:r w:rsidR="004D1679">
        <w:instrText>HYPERLINK "http://hudoc.echr.coe.int/eng?i=001-22710" \h</w:instrText>
      </w:r>
      <w:r w:rsidR="004D1679">
        <w:fldChar w:fldCharType="separate"/>
      </w:r>
      <w:r w:rsidR="004D1679" w:rsidRPr="009E35EA">
        <w:rPr>
          <w:i/>
          <w:color w:val="0072BC"/>
          <w:sz w:val="20"/>
          <w:lang w:val="pl-PL"/>
        </w:rPr>
        <w:t>Gratzinger</w:t>
      </w:r>
      <w:proofErr w:type="spellEnd"/>
      <w:r w:rsidR="004D1679" w:rsidRPr="009E35EA">
        <w:rPr>
          <w:i/>
          <w:color w:val="0072BC"/>
          <w:sz w:val="20"/>
          <w:lang w:val="pl-PL"/>
        </w:rPr>
        <w:t xml:space="preserve"> i </w:t>
      </w:r>
      <w:r w:rsidR="004D1679">
        <w:fldChar w:fldCharType="end"/>
      </w:r>
      <w:hyperlink r:id="rId38">
        <w:proofErr w:type="spellStart"/>
        <w:r w:rsidR="004D1679" w:rsidRPr="009E35EA">
          <w:rPr>
            <w:i/>
            <w:color w:val="0072BC"/>
            <w:sz w:val="20"/>
            <w:lang w:val="pl-PL"/>
          </w:rPr>
          <w:t>Gratzingerova</w:t>
        </w:r>
        <w:proofErr w:type="spellEnd"/>
        <w:r w:rsidR="004D1679" w:rsidRPr="009E35EA">
          <w:rPr>
            <w:i/>
            <w:color w:val="0072BC"/>
            <w:sz w:val="20"/>
            <w:lang w:val="pl-PL"/>
          </w:rPr>
          <w:t xml:space="preserve"> przeciwko Republice Czeskiej</w:t>
        </w:r>
      </w:hyperlink>
      <w:r w:rsidRPr="009E35EA">
        <w:rPr>
          <w:sz w:val="20"/>
          <w:lang w:val="pl-PL"/>
        </w:rPr>
        <w:t xml:space="preserve"> (</w:t>
      </w:r>
      <w:proofErr w:type="spellStart"/>
      <w:r w:rsidRPr="009E35EA">
        <w:rPr>
          <w:sz w:val="20"/>
          <w:lang w:val="pl-PL"/>
        </w:rPr>
        <w:t>dec</w:t>
      </w:r>
      <w:proofErr w:type="spellEnd"/>
      <w:r w:rsidRPr="009E35EA">
        <w:rPr>
          <w:sz w:val="20"/>
          <w:lang w:val="pl-PL"/>
        </w:rPr>
        <w:t xml:space="preserve">.) </w:t>
      </w:r>
      <w:r>
        <w:rPr>
          <w:sz w:val="20"/>
        </w:rPr>
        <w:t>[</w:t>
      </w:r>
      <w:r w:rsidR="002C6BC6">
        <w:rPr>
          <w:sz w:val="20"/>
        </w:rPr>
        <w:t>WI</w:t>
      </w:r>
      <w:r>
        <w:rPr>
          <w:sz w:val="20"/>
        </w:rPr>
        <w:t>], 2002</w:t>
      </w:r>
      <w:r w:rsidR="002C6BC6">
        <w:rPr>
          <w:sz w:val="20"/>
        </w:rPr>
        <w:t xml:space="preserve"> r.</w:t>
      </w:r>
      <w:r>
        <w:rPr>
          <w:sz w:val="20"/>
        </w:rPr>
        <w:t>, § 82).</w:t>
      </w:r>
    </w:p>
    <w:p w14:paraId="6A817492" w14:textId="585CBA7F" w:rsidR="004D1679" w:rsidRPr="009E35EA" w:rsidRDefault="00000000">
      <w:pPr>
        <w:pStyle w:val="Akapitzlist"/>
        <w:numPr>
          <w:ilvl w:val="0"/>
          <w:numId w:val="1"/>
        </w:numPr>
        <w:tabs>
          <w:tab w:val="left" w:pos="1583"/>
        </w:tabs>
        <w:ind w:right="730" w:hanging="284"/>
        <w:jc w:val="both"/>
        <w:rPr>
          <w:rFonts w:ascii="Arial" w:hAnsi="Arial"/>
          <w:color w:val="0072BC"/>
          <w:lang w:val="pl-PL"/>
        </w:rPr>
      </w:pPr>
      <w:r w:rsidRPr="009E35EA">
        <w:rPr>
          <w:sz w:val="20"/>
          <w:lang w:val="pl-PL"/>
        </w:rPr>
        <w:t>W postępowaniu w sprawie abstrakcyjnej kontroli konstytucyjności państwa nie są zobowiązane do zapewnienia, że każda zainteresowana osoba zostanie wysłuchana przed sądem (</w:t>
      </w:r>
      <w:proofErr w:type="spellStart"/>
      <w:r w:rsidR="004D1679">
        <w:fldChar w:fldCharType="begin"/>
      </w:r>
      <w:r w:rsidR="004D1679">
        <w:instrText>HYPERLINK "http://hudoc.echr.coe.int/eng?i=001-76776" \h</w:instrText>
      </w:r>
      <w:r w:rsidR="004D1679">
        <w:fldChar w:fldCharType="separate"/>
      </w:r>
      <w:r w:rsidR="004D1679" w:rsidRPr="009E35EA">
        <w:rPr>
          <w:i/>
          <w:color w:val="0072BC"/>
          <w:sz w:val="20"/>
          <w:lang w:val="pl-PL"/>
        </w:rPr>
        <w:t>Gavella</w:t>
      </w:r>
      <w:proofErr w:type="spellEnd"/>
      <w:r w:rsidR="004D1679" w:rsidRPr="009E35EA">
        <w:rPr>
          <w:i/>
          <w:color w:val="0072BC"/>
          <w:sz w:val="20"/>
          <w:lang w:val="pl-PL"/>
        </w:rPr>
        <w:t xml:space="preserve"> przeciwko Chorwacji</w:t>
      </w:r>
      <w:r w:rsidR="004D1679">
        <w:fldChar w:fldCharType="end"/>
      </w:r>
      <w:r w:rsidRPr="009E35EA">
        <w:rPr>
          <w:sz w:val="20"/>
          <w:lang w:val="pl-PL"/>
        </w:rPr>
        <w:t xml:space="preserve"> (</w:t>
      </w:r>
      <w:proofErr w:type="spellStart"/>
      <w:r w:rsidRPr="009E35EA">
        <w:rPr>
          <w:sz w:val="20"/>
          <w:lang w:val="pl-PL"/>
        </w:rPr>
        <w:t>dec</w:t>
      </w:r>
      <w:proofErr w:type="spellEnd"/>
      <w:r w:rsidRPr="009E35EA">
        <w:rPr>
          <w:sz w:val="20"/>
          <w:lang w:val="pl-PL"/>
        </w:rPr>
        <w:t>.), 2006</w:t>
      </w:r>
      <w:r w:rsidR="002C6BC6" w:rsidRPr="009E35EA">
        <w:rPr>
          <w:sz w:val="20"/>
          <w:lang w:val="pl-PL"/>
        </w:rPr>
        <w:t xml:space="preserve"> r.</w:t>
      </w:r>
      <w:r w:rsidRPr="009E35EA">
        <w:rPr>
          <w:sz w:val="20"/>
          <w:lang w:val="pl-PL"/>
        </w:rPr>
        <w:t>).</w:t>
      </w:r>
    </w:p>
    <w:p w14:paraId="0361F715" w14:textId="77777777" w:rsidR="004D1679" w:rsidRPr="009E35EA" w:rsidRDefault="00000000">
      <w:pPr>
        <w:pStyle w:val="Akapitzlist"/>
        <w:numPr>
          <w:ilvl w:val="0"/>
          <w:numId w:val="1"/>
        </w:numPr>
        <w:tabs>
          <w:tab w:val="left" w:pos="1583"/>
        </w:tabs>
        <w:ind w:right="730" w:hanging="284"/>
        <w:jc w:val="both"/>
        <w:rPr>
          <w:rFonts w:ascii="Arial" w:hAnsi="Arial"/>
          <w:color w:val="0072BC"/>
          <w:lang w:val="pl-PL"/>
        </w:rPr>
      </w:pPr>
      <w:r w:rsidRPr="009E35EA">
        <w:rPr>
          <w:sz w:val="20"/>
          <w:lang w:val="pl-PL"/>
        </w:rPr>
        <w:t>Gdy konkretna sprawa jest rozpatrywana przez Trybunał Konstytucyjny działający jako sąd pierwszej i jedynej instancji, musi odbyć się rozprawa ustna, chyba że istnieją wyjątkowe okoliczności, które</w:t>
      </w:r>
    </w:p>
    <w:p w14:paraId="6050A5A3" w14:textId="77777777" w:rsidR="004D1679" w:rsidRPr="009E35EA" w:rsidRDefault="004D1679">
      <w:pPr>
        <w:pStyle w:val="Akapitzlist"/>
        <w:jc w:val="both"/>
        <w:rPr>
          <w:rFonts w:ascii="Arial" w:hAnsi="Arial"/>
          <w:lang w:val="pl-PL"/>
        </w:rPr>
        <w:sectPr w:rsidR="004D1679" w:rsidRPr="009E35EA">
          <w:headerReference w:type="default" r:id="rId39"/>
          <w:footerReference w:type="default" r:id="rId40"/>
          <w:pgSz w:w="11910" w:h="16840"/>
          <w:pgMar w:top="1080" w:right="708" w:bottom="860" w:left="708" w:header="698" w:footer="677" w:gutter="0"/>
          <w:pgNumType w:start="2"/>
          <w:cols w:space="708"/>
        </w:sectPr>
      </w:pPr>
    </w:p>
    <w:p w14:paraId="10EF4339" w14:textId="77777777" w:rsidR="004D1679" w:rsidRPr="009E35EA" w:rsidRDefault="004D1679">
      <w:pPr>
        <w:pStyle w:val="Tekstpodstawowy"/>
        <w:spacing w:before="0"/>
        <w:ind w:left="0" w:right="0" w:firstLine="0"/>
        <w:jc w:val="left"/>
        <w:rPr>
          <w:lang w:val="pl-PL"/>
        </w:rPr>
      </w:pPr>
    </w:p>
    <w:p w14:paraId="45F28F7D" w14:textId="77777777" w:rsidR="004D1679" w:rsidRPr="009E35EA" w:rsidRDefault="004D1679">
      <w:pPr>
        <w:pStyle w:val="Tekstpodstawowy"/>
        <w:spacing w:before="0"/>
        <w:ind w:left="0" w:right="0" w:firstLine="0"/>
        <w:jc w:val="left"/>
        <w:rPr>
          <w:lang w:val="pl-PL"/>
        </w:rPr>
      </w:pPr>
    </w:p>
    <w:p w14:paraId="05778794" w14:textId="0FA4FEE9" w:rsidR="004D1679" w:rsidRPr="009E35EA" w:rsidRDefault="00000000">
      <w:pPr>
        <w:ind w:left="1582"/>
        <w:rPr>
          <w:lang w:val="pl-PL"/>
        </w:rPr>
      </w:pPr>
      <w:r w:rsidRPr="009E35EA">
        <w:rPr>
          <w:sz w:val="20"/>
          <w:lang w:val="pl-PL"/>
        </w:rPr>
        <w:t xml:space="preserve">uzasadniają rezygnację z </w:t>
      </w:r>
      <w:hyperlink r:id="rId41">
        <w:r w:rsidR="003D0CE1">
          <w:rPr>
            <w:iCs/>
            <w:sz w:val="20"/>
            <w:lang w:val="pl-PL"/>
          </w:rPr>
          <w:t>tego</w:t>
        </w:r>
        <w:r w:rsidR="004D1679" w:rsidRPr="009E35EA">
          <w:rPr>
            <w:iCs/>
            <w:sz w:val="20"/>
            <w:lang w:val="pl-PL"/>
          </w:rPr>
          <w:t xml:space="preserve"> (</w:t>
        </w:r>
        <w:proofErr w:type="spellStart"/>
        <w:r w:rsidR="004D1679" w:rsidRPr="009E35EA">
          <w:rPr>
            <w:i/>
            <w:color w:val="0072BC"/>
            <w:sz w:val="20"/>
            <w:lang w:val="pl-PL"/>
          </w:rPr>
          <w:t>Selmani</w:t>
        </w:r>
        <w:proofErr w:type="spellEnd"/>
        <w:r w:rsidR="004D1679" w:rsidRPr="009E35EA">
          <w:rPr>
            <w:i/>
            <w:color w:val="0072BC"/>
            <w:sz w:val="20"/>
            <w:lang w:val="pl-PL"/>
          </w:rPr>
          <w:t xml:space="preserve"> i Inni przeciwko Byłej Jugosłowiańskiej Republice</w:t>
        </w:r>
      </w:hyperlink>
      <w:r w:rsidR="00917FEB" w:rsidRPr="009E35EA">
        <w:rPr>
          <w:sz w:val="20"/>
          <w:lang w:val="pl-PL"/>
        </w:rPr>
        <w:t xml:space="preserve"> </w:t>
      </w:r>
      <w:hyperlink r:id="rId42">
        <w:r w:rsidR="004D1679" w:rsidRPr="009E35EA">
          <w:rPr>
            <w:i/>
            <w:color w:val="0072BC"/>
            <w:sz w:val="20"/>
            <w:lang w:val="pl-PL"/>
          </w:rPr>
          <w:t>Macedonii</w:t>
        </w:r>
      </w:hyperlink>
      <w:r w:rsidRPr="009E35EA">
        <w:rPr>
          <w:sz w:val="20"/>
          <w:lang w:val="pl-PL"/>
        </w:rPr>
        <w:t>, 2017</w:t>
      </w:r>
      <w:r w:rsidR="002C6BC6" w:rsidRPr="009E35EA">
        <w:rPr>
          <w:sz w:val="20"/>
          <w:lang w:val="pl-PL"/>
        </w:rPr>
        <w:t xml:space="preserve"> r.</w:t>
      </w:r>
      <w:r w:rsidRPr="009E35EA">
        <w:rPr>
          <w:sz w:val="20"/>
          <w:lang w:val="pl-PL"/>
        </w:rPr>
        <w:t>, §§ 36-43).</w:t>
      </w:r>
    </w:p>
    <w:p w14:paraId="5598F216" w14:textId="77777777" w:rsidR="004D1679" w:rsidRDefault="00000000">
      <w:pPr>
        <w:pStyle w:val="Nagwek3"/>
      </w:pPr>
      <w:proofErr w:type="spellStart"/>
      <w:r>
        <w:rPr>
          <w:color w:val="2F2F2F"/>
          <w:w w:val="85"/>
          <w:sz w:val="26"/>
        </w:rPr>
        <w:t>Czas</w:t>
      </w:r>
      <w:proofErr w:type="spellEnd"/>
      <w:r>
        <w:rPr>
          <w:color w:val="2F2F2F"/>
          <w:w w:val="85"/>
          <w:sz w:val="26"/>
        </w:rPr>
        <w:t xml:space="preserve"> </w:t>
      </w:r>
      <w:proofErr w:type="spellStart"/>
      <w:r>
        <w:rPr>
          <w:color w:val="2F2F2F"/>
          <w:w w:val="85"/>
          <w:sz w:val="26"/>
        </w:rPr>
        <w:t>trwania</w:t>
      </w:r>
      <w:proofErr w:type="spellEnd"/>
      <w:r>
        <w:rPr>
          <w:color w:val="2F2F2F"/>
          <w:w w:val="85"/>
          <w:sz w:val="26"/>
        </w:rPr>
        <w:t xml:space="preserve"> </w:t>
      </w:r>
      <w:proofErr w:type="spellStart"/>
      <w:r>
        <w:rPr>
          <w:color w:val="2F2F2F"/>
          <w:spacing w:val="-2"/>
          <w:w w:val="85"/>
          <w:sz w:val="26"/>
        </w:rPr>
        <w:t>postępowania</w:t>
      </w:r>
      <w:proofErr w:type="spellEnd"/>
      <w:r>
        <w:rPr>
          <w:color w:val="2F2F2F"/>
          <w:spacing w:val="-2"/>
          <w:w w:val="85"/>
          <w:sz w:val="26"/>
        </w:rPr>
        <w:t>:</w:t>
      </w:r>
    </w:p>
    <w:p w14:paraId="678C0E1B" w14:textId="32C7BA3B" w:rsidR="004D1679" w:rsidRPr="009E35EA" w:rsidRDefault="00000000">
      <w:pPr>
        <w:pStyle w:val="Akapitzlist"/>
        <w:numPr>
          <w:ilvl w:val="0"/>
          <w:numId w:val="1"/>
        </w:numPr>
        <w:tabs>
          <w:tab w:val="left" w:pos="1583"/>
        </w:tabs>
        <w:spacing w:before="76"/>
        <w:ind w:right="729" w:hanging="284"/>
        <w:jc w:val="both"/>
        <w:rPr>
          <w:rFonts w:ascii="Arial" w:hAnsi="Arial"/>
          <w:color w:val="0072BC"/>
          <w:lang w:val="pl-PL"/>
        </w:rPr>
      </w:pPr>
      <w:r w:rsidRPr="009E35EA">
        <w:rPr>
          <w:sz w:val="20"/>
          <w:lang w:val="pl-PL"/>
        </w:rPr>
        <w:t>Postępowanie przed Trybunałem Konstytucyjnym musi być brane pod uwagę przy ocenie zasadności długości postępowania, gdy jego wynik może wpłynąć na wynik sporu przed sądami powszechnymi (</w:t>
      </w:r>
      <w:hyperlink r:id="rId43">
        <w:r w:rsidR="00B26868" w:rsidRPr="009E35EA">
          <w:rPr>
            <w:i/>
            <w:color w:val="0072BC"/>
            <w:sz w:val="20"/>
            <w:lang w:val="pl-PL"/>
          </w:rPr>
          <w:t>Ruiz-</w:t>
        </w:r>
        <w:proofErr w:type="spellStart"/>
        <w:r w:rsidR="00B26868" w:rsidRPr="009E35EA">
          <w:rPr>
            <w:i/>
            <w:color w:val="0072BC"/>
            <w:sz w:val="20"/>
            <w:lang w:val="pl-PL"/>
          </w:rPr>
          <w:t>Mateos</w:t>
        </w:r>
        <w:proofErr w:type="spellEnd"/>
        <w:r w:rsidR="00B26868" w:rsidRPr="009E35EA">
          <w:rPr>
            <w:i/>
            <w:color w:val="0072BC"/>
            <w:sz w:val="20"/>
            <w:lang w:val="pl-PL"/>
          </w:rPr>
          <w:t xml:space="preserve"> przeciwko Hiszpanii</w:t>
        </w:r>
      </w:hyperlink>
      <w:r w:rsidRPr="009E35EA">
        <w:rPr>
          <w:sz w:val="20"/>
          <w:lang w:val="pl-PL"/>
        </w:rPr>
        <w:t>, 1993</w:t>
      </w:r>
      <w:r w:rsidR="002C6BC6" w:rsidRPr="009E35EA">
        <w:rPr>
          <w:sz w:val="20"/>
          <w:lang w:val="pl-PL"/>
        </w:rPr>
        <w:t xml:space="preserve"> r.</w:t>
      </w:r>
      <w:r w:rsidRPr="009E35EA">
        <w:rPr>
          <w:sz w:val="20"/>
          <w:lang w:val="pl-PL"/>
        </w:rPr>
        <w:t xml:space="preserve">, §§ 35; </w:t>
      </w:r>
      <w:hyperlink r:id="rId44">
        <w:proofErr w:type="spellStart"/>
        <w:r w:rsidR="00B26868" w:rsidRPr="009E35EA">
          <w:rPr>
            <w:i/>
            <w:color w:val="0072BC"/>
            <w:sz w:val="20"/>
            <w:lang w:val="pl-PL"/>
          </w:rPr>
          <w:t>Süßmann</w:t>
        </w:r>
        <w:proofErr w:type="spellEnd"/>
        <w:r w:rsidR="00B26868" w:rsidRPr="009E35EA">
          <w:rPr>
            <w:i/>
            <w:color w:val="0072BC"/>
            <w:sz w:val="20"/>
            <w:lang w:val="pl-PL"/>
          </w:rPr>
          <w:t xml:space="preserve"> przeciwko Niemcom</w:t>
        </w:r>
      </w:hyperlink>
      <w:r w:rsidRPr="009E35EA">
        <w:rPr>
          <w:sz w:val="20"/>
          <w:lang w:val="pl-PL"/>
        </w:rPr>
        <w:t xml:space="preserve"> [</w:t>
      </w:r>
      <w:r w:rsidR="002C6BC6" w:rsidRPr="009E35EA">
        <w:rPr>
          <w:sz w:val="20"/>
          <w:lang w:val="pl-PL"/>
        </w:rPr>
        <w:t>WI</w:t>
      </w:r>
      <w:r w:rsidRPr="009E35EA">
        <w:rPr>
          <w:sz w:val="20"/>
          <w:lang w:val="pl-PL"/>
        </w:rPr>
        <w:t>], 1996</w:t>
      </w:r>
      <w:r w:rsidR="002C6BC6" w:rsidRPr="009E35EA">
        <w:rPr>
          <w:sz w:val="20"/>
          <w:lang w:val="pl-PL"/>
        </w:rPr>
        <w:t xml:space="preserve"> r.</w:t>
      </w:r>
      <w:r w:rsidRPr="009E35EA">
        <w:rPr>
          <w:sz w:val="20"/>
          <w:lang w:val="pl-PL"/>
        </w:rPr>
        <w:t xml:space="preserve">, § 39; </w:t>
      </w:r>
      <w:hyperlink r:id="rId45">
        <w:r w:rsidR="00B26868" w:rsidRPr="009E35EA">
          <w:rPr>
            <w:i/>
            <w:color w:val="0072BC"/>
            <w:sz w:val="20"/>
            <w:lang w:val="pl-PL"/>
          </w:rPr>
          <w:t>Bieliński przeciwko Polsce</w:t>
        </w:r>
      </w:hyperlink>
      <w:r w:rsidRPr="009E35EA">
        <w:rPr>
          <w:sz w:val="20"/>
          <w:lang w:val="pl-PL"/>
        </w:rPr>
        <w:t>, 2022</w:t>
      </w:r>
      <w:r w:rsidR="002C6BC6" w:rsidRPr="009E35EA">
        <w:rPr>
          <w:sz w:val="20"/>
          <w:lang w:val="pl-PL"/>
        </w:rPr>
        <w:t xml:space="preserve"> r.</w:t>
      </w:r>
      <w:r w:rsidRPr="009E35EA">
        <w:rPr>
          <w:sz w:val="20"/>
          <w:lang w:val="pl-PL"/>
        </w:rPr>
        <w:t>, § 47).</w:t>
      </w:r>
    </w:p>
    <w:p w14:paraId="03061307" w14:textId="53A96440"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 xml:space="preserve">W przypadku, gdy postępowanie przed Trybunałem Konstytucyjnym jest </w:t>
      </w:r>
      <w:r w:rsidR="003D0CE1" w:rsidRPr="003D0CE1">
        <w:rPr>
          <w:sz w:val="20"/>
          <w:lang w:val="pl-PL"/>
        </w:rPr>
        <w:t>częścią zwykłego postępowania</w:t>
      </w:r>
      <w:r w:rsidRPr="009E35EA">
        <w:rPr>
          <w:sz w:val="20"/>
          <w:lang w:val="pl-PL"/>
        </w:rPr>
        <w:t>, na przykład gdy sądy krajowe kierują do niego kwestię zgodności z konstytucją odpowiedniego przepisu, postępowanie przed nim może mieć znaczenie, w mniejszym lub większym stopniu, dla oceny zgodności postępowania leżącego u podstaw z art. 6 (</w:t>
      </w:r>
      <w:proofErr w:type="spellStart"/>
      <w:r w:rsidR="004D1679">
        <w:fldChar w:fldCharType="begin"/>
      </w:r>
      <w:r w:rsidR="004D1679">
        <w:instrText>HYPERLINK "http://hudoc.echr.coe.int/eng?i=001-196607" \h</w:instrText>
      </w:r>
      <w:r w:rsidR="004D1679">
        <w:fldChar w:fldCharType="separate"/>
      </w:r>
      <w:r w:rsidR="004D1679" w:rsidRPr="009E35EA">
        <w:rPr>
          <w:i/>
          <w:color w:val="0072BC"/>
          <w:sz w:val="20"/>
          <w:lang w:val="pl-PL"/>
        </w:rPr>
        <w:t>Polyakh</w:t>
      </w:r>
      <w:proofErr w:type="spellEnd"/>
      <w:r w:rsidR="004D1679" w:rsidRPr="009E35EA">
        <w:rPr>
          <w:i/>
          <w:color w:val="0072BC"/>
          <w:sz w:val="20"/>
          <w:lang w:val="pl-PL"/>
        </w:rPr>
        <w:t xml:space="preserve"> i Inni przeciwko Ukrainie</w:t>
      </w:r>
      <w:r w:rsidR="004D1679">
        <w:fldChar w:fldCharType="end"/>
      </w:r>
      <w:r w:rsidRPr="009E35EA">
        <w:rPr>
          <w:sz w:val="20"/>
          <w:lang w:val="pl-PL"/>
        </w:rPr>
        <w:t>, 2019</w:t>
      </w:r>
      <w:r w:rsidR="002C6BC6" w:rsidRPr="009E35EA">
        <w:rPr>
          <w:sz w:val="20"/>
          <w:lang w:val="pl-PL"/>
        </w:rPr>
        <w:t xml:space="preserve"> r.</w:t>
      </w:r>
      <w:r w:rsidRPr="009E35EA">
        <w:rPr>
          <w:sz w:val="20"/>
          <w:lang w:val="pl-PL"/>
        </w:rPr>
        <w:t>, §§ 186-192). Obowiązek sądów konstytucyjnych do rozpatrywania spraw w rozsądnym terminie nie może być jednak interpretowany w taki sam sposób, jak w przypadku sądów powszechnych (</w:t>
      </w:r>
      <w:proofErr w:type="spellStart"/>
      <w:r w:rsidR="0082735C">
        <w:fldChar w:fldCharType="begin"/>
      </w:r>
      <w:r w:rsidR="0082735C">
        <w:instrText>HYPERLINK "http://hudoc.echr.coe.int/eng?i=001-57999" \h</w:instrText>
      </w:r>
      <w:r w:rsidR="0082735C">
        <w:fldChar w:fldCharType="separate"/>
      </w:r>
      <w:r w:rsidR="0082735C" w:rsidRPr="009E35EA">
        <w:rPr>
          <w:i/>
          <w:color w:val="0072BC"/>
          <w:sz w:val="20"/>
          <w:lang w:val="pl-PL"/>
        </w:rPr>
        <w:t>Süßmann</w:t>
      </w:r>
      <w:proofErr w:type="spellEnd"/>
      <w:r w:rsidR="0082735C" w:rsidRPr="009E35EA">
        <w:rPr>
          <w:i/>
          <w:color w:val="0072BC"/>
          <w:sz w:val="20"/>
          <w:lang w:val="pl-PL"/>
        </w:rPr>
        <w:t xml:space="preserve"> przeciwko Niemcom</w:t>
      </w:r>
      <w:r w:rsidR="0082735C">
        <w:fldChar w:fldCharType="end"/>
      </w:r>
      <w:r w:rsidRPr="009E35EA">
        <w:rPr>
          <w:sz w:val="20"/>
          <w:lang w:val="pl-PL"/>
        </w:rPr>
        <w:t xml:space="preserve"> [</w:t>
      </w:r>
      <w:r w:rsidR="002C6BC6" w:rsidRPr="009E35EA">
        <w:rPr>
          <w:sz w:val="20"/>
          <w:lang w:val="pl-PL"/>
        </w:rPr>
        <w:t>WI</w:t>
      </w:r>
      <w:r w:rsidRPr="009E35EA">
        <w:rPr>
          <w:sz w:val="20"/>
          <w:lang w:val="pl-PL"/>
        </w:rPr>
        <w:t>], 1996</w:t>
      </w:r>
      <w:r w:rsidR="00836DB6" w:rsidRPr="009E35EA">
        <w:rPr>
          <w:sz w:val="20"/>
          <w:lang w:val="pl-PL"/>
        </w:rPr>
        <w:t xml:space="preserve"> r.</w:t>
      </w:r>
      <w:r w:rsidRPr="009E35EA">
        <w:rPr>
          <w:sz w:val="20"/>
          <w:lang w:val="pl-PL"/>
        </w:rPr>
        <w:t>, §§ 56-58).</w:t>
      </w:r>
    </w:p>
    <w:p w14:paraId="1B14B8A1" w14:textId="2670C593" w:rsidR="004D1679" w:rsidRPr="009E35EA" w:rsidRDefault="00000000">
      <w:pPr>
        <w:pStyle w:val="Akapitzlist"/>
        <w:numPr>
          <w:ilvl w:val="0"/>
          <w:numId w:val="1"/>
        </w:numPr>
        <w:tabs>
          <w:tab w:val="left" w:pos="1583"/>
        </w:tabs>
        <w:ind w:right="729" w:hanging="284"/>
        <w:jc w:val="both"/>
        <w:rPr>
          <w:rFonts w:ascii="Arial" w:hAnsi="Arial"/>
          <w:color w:val="0072BC"/>
          <w:lang w:val="pl-PL"/>
        </w:rPr>
      </w:pPr>
      <w:r w:rsidRPr="009E35EA">
        <w:rPr>
          <w:sz w:val="20"/>
          <w:lang w:val="pl-PL"/>
        </w:rPr>
        <w:t>Rola Trybunału Konstytucyjnego jako strażnika Konstytucji sprawia, że szczególnie konieczne jest, aby był on w stanie wziąć pod uwagę względy inne niż zwykła kolejność chronologiczna, w jakiej sprawy są wpisywane na listę, takie jak charakter sprawy i jej znaczenie w kategoriach politycznych i społecznych (</w:t>
      </w:r>
      <w:hyperlink r:id="rId46">
        <w:r w:rsidR="004D1679" w:rsidRPr="009E35EA">
          <w:rPr>
            <w:i/>
            <w:color w:val="0072BC"/>
            <w:sz w:val="20"/>
            <w:lang w:val="pl-PL"/>
          </w:rPr>
          <w:t>A.T. przeciwko Słowenii</w:t>
        </w:r>
      </w:hyperlink>
      <w:r w:rsidRPr="009E35EA">
        <w:rPr>
          <w:sz w:val="20"/>
          <w:lang w:val="pl-PL"/>
        </w:rPr>
        <w:t xml:space="preserve"> (</w:t>
      </w:r>
      <w:proofErr w:type="spellStart"/>
      <w:r w:rsidRPr="009E35EA">
        <w:rPr>
          <w:sz w:val="20"/>
          <w:lang w:val="pl-PL"/>
        </w:rPr>
        <w:t>dec</w:t>
      </w:r>
      <w:proofErr w:type="spellEnd"/>
      <w:r w:rsidRPr="009E35EA">
        <w:rPr>
          <w:sz w:val="20"/>
          <w:lang w:val="pl-PL"/>
        </w:rPr>
        <w:t>.), 2022</w:t>
      </w:r>
      <w:r w:rsidR="002C6BC6" w:rsidRPr="009E35EA">
        <w:rPr>
          <w:sz w:val="20"/>
          <w:lang w:val="pl-PL"/>
        </w:rPr>
        <w:t xml:space="preserve"> r.</w:t>
      </w:r>
      <w:r w:rsidRPr="009E35EA">
        <w:rPr>
          <w:sz w:val="20"/>
          <w:lang w:val="pl-PL"/>
        </w:rPr>
        <w:t xml:space="preserve">, § 21; i jego granice, patrz </w:t>
      </w:r>
      <w:hyperlink r:id="rId47">
        <w:proofErr w:type="spellStart"/>
        <w:r w:rsidR="004D1679" w:rsidRPr="009E35EA">
          <w:rPr>
            <w:i/>
            <w:color w:val="0072BC"/>
            <w:sz w:val="20"/>
            <w:lang w:val="pl-PL"/>
          </w:rPr>
          <w:t>Oršuš</w:t>
        </w:r>
        <w:proofErr w:type="spellEnd"/>
        <w:r w:rsidR="004D1679" w:rsidRPr="009E35EA">
          <w:rPr>
            <w:i/>
            <w:color w:val="0072BC"/>
            <w:sz w:val="20"/>
            <w:lang w:val="pl-PL"/>
          </w:rPr>
          <w:t xml:space="preserve"> i Inni przeciwko Chorwacji</w:t>
        </w:r>
      </w:hyperlink>
      <w:r w:rsidRPr="009E35EA">
        <w:rPr>
          <w:sz w:val="20"/>
          <w:lang w:val="pl-PL"/>
        </w:rPr>
        <w:t xml:space="preserve"> [</w:t>
      </w:r>
      <w:r w:rsidR="002C6BC6" w:rsidRPr="009E35EA">
        <w:rPr>
          <w:sz w:val="20"/>
          <w:lang w:val="pl-PL"/>
        </w:rPr>
        <w:t>WI</w:t>
      </w:r>
      <w:r w:rsidRPr="009E35EA">
        <w:rPr>
          <w:sz w:val="20"/>
          <w:lang w:val="pl-PL"/>
        </w:rPr>
        <w:t>], 2010</w:t>
      </w:r>
      <w:r w:rsidR="002C6BC6" w:rsidRPr="009E35EA">
        <w:rPr>
          <w:sz w:val="20"/>
          <w:lang w:val="pl-PL"/>
        </w:rPr>
        <w:t xml:space="preserve"> r.</w:t>
      </w:r>
      <w:r w:rsidRPr="009E35EA">
        <w:rPr>
          <w:sz w:val="20"/>
          <w:lang w:val="pl-PL"/>
        </w:rPr>
        <w:t>, § 109).</w:t>
      </w:r>
    </w:p>
    <w:p w14:paraId="04FBBE1A" w14:textId="77777777" w:rsidR="004D1679" w:rsidRPr="009E35EA" w:rsidRDefault="00000000">
      <w:pPr>
        <w:pStyle w:val="Nagwek2"/>
        <w:rPr>
          <w:lang w:val="pl-PL"/>
        </w:rPr>
      </w:pPr>
      <w:r>
        <w:rPr>
          <w:noProof/>
        </w:rPr>
        <mc:AlternateContent>
          <mc:Choice Requires="wps">
            <w:drawing>
              <wp:anchor distT="0" distB="0" distL="0" distR="0" simplePos="0" relativeHeight="251668480" behindDoc="1" locked="0" layoutInCell="1" allowOverlap="1" wp14:anchorId="540ADC4A" wp14:editId="3FB1F872">
                <wp:simplePos x="0" y="0"/>
                <wp:positionH relativeFrom="page">
                  <wp:posOffset>895985</wp:posOffset>
                </wp:positionH>
                <wp:positionV relativeFrom="paragraph">
                  <wp:posOffset>391625</wp:posOffset>
                </wp:positionV>
                <wp:extent cx="5768975"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3A1B2BAA" id="Graphic 12" o:spid="_x0000_s1026" style="position:absolute;margin-left:70.55pt;margin-top:30.85pt;width:454.2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sidRPr="009E35EA">
        <w:rPr>
          <w:color w:val="2F2F2F"/>
          <w:sz w:val="26"/>
          <w:lang w:val="pl-PL"/>
        </w:rPr>
        <w:t xml:space="preserve">Godne uwagi </w:t>
      </w:r>
      <w:r w:rsidRPr="009E35EA">
        <w:rPr>
          <w:color w:val="2F2F2F"/>
          <w:spacing w:val="-2"/>
          <w:sz w:val="26"/>
          <w:lang w:val="pl-PL"/>
        </w:rPr>
        <w:t>przykłady</w:t>
      </w:r>
    </w:p>
    <w:p w14:paraId="48B8AC1C" w14:textId="77777777" w:rsidR="004D1679" w:rsidRPr="009E35EA" w:rsidRDefault="00000000">
      <w:pPr>
        <w:pStyle w:val="Nagwek3"/>
        <w:rPr>
          <w:lang w:val="pl-PL"/>
        </w:rPr>
      </w:pPr>
      <w:r w:rsidRPr="009E35EA">
        <w:rPr>
          <w:color w:val="2F2F2F"/>
          <w:w w:val="80"/>
          <w:sz w:val="26"/>
          <w:lang w:val="pl-PL"/>
        </w:rPr>
        <w:t xml:space="preserve">Dostęp do </w:t>
      </w:r>
      <w:r w:rsidRPr="009E35EA">
        <w:rPr>
          <w:color w:val="2F2F2F"/>
          <w:spacing w:val="-2"/>
          <w:w w:val="80"/>
          <w:sz w:val="26"/>
          <w:lang w:val="pl-PL"/>
        </w:rPr>
        <w:t>sądu:</w:t>
      </w:r>
    </w:p>
    <w:p w14:paraId="6FAF7EA4" w14:textId="0A975A93" w:rsidR="004D1679" w:rsidRPr="009E35EA" w:rsidRDefault="004D1679">
      <w:pPr>
        <w:pStyle w:val="Akapitzlist"/>
        <w:numPr>
          <w:ilvl w:val="0"/>
          <w:numId w:val="1"/>
        </w:numPr>
        <w:tabs>
          <w:tab w:val="left" w:pos="1583"/>
        </w:tabs>
        <w:spacing w:before="76"/>
        <w:ind w:right="730" w:hanging="284"/>
        <w:jc w:val="both"/>
        <w:rPr>
          <w:rFonts w:ascii="Arial" w:hAnsi="Arial"/>
          <w:color w:val="0072BC"/>
          <w:lang w:val="pl-PL"/>
        </w:rPr>
      </w:pPr>
      <w:hyperlink r:id="rId48">
        <w:proofErr w:type="spellStart"/>
        <w:r w:rsidRPr="009E35EA">
          <w:rPr>
            <w:i/>
            <w:color w:val="0072BC"/>
            <w:sz w:val="20"/>
            <w:lang w:val="pl-PL"/>
          </w:rPr>
          <w:t>Ferré</w:t>
        </w:r>
        <w:proofErr w:type="spellEnd"/>
        <w:r w:rsidRPr="009E35EA">
          <w:rPr>
            <w:i/>
            <w:color w:val="0072BC"/>
            <w:sz w:val="20"/>
            <w:lang w:val="pl-PL"/>
          </w:rPr>
          <w:t xml:space="preserve"> </w:t>
        </w:r>
        <w:proofErr w:type="spellStart"/>
        <w:r w:rsidRPr="009E35EA">
          <w:rPr>
            <w:i/>
            <w:color w:val="0072BC"/>
            <w:sz w:val="20"/>
            <w:lang w:val="pl-PL"/>
          </w:rPr>
          <w:t>Gisbert</w:t>
        </w:r>
        <w:proofErr w:type="spellEnd"/>
        <w:r w:rsidRPr="009E35EA">
          <w:rPr>
            <w:i/>
            <w:color w:val="0072BC"/>
            <w:sz w:val="20"/>
            <w:lang w:val="pl-PL"/>
          </w:rPr>
          <w:t xml:space="preserve"> przeciwko Hiszpanii</w:t>
        </w:r>
      </w:hyperlink>
      <w:r w:rsidRPr="009E35EA">
        <w:rPr>
          <w:sz w:val="20"/>
          <w:lang w:val="pl-PL"/>
        </w:rPr>
        <w:t>, 2009</w:t>
      </w:r>
      <w:r w:rsidR="002C6BC6" w:rsidRPr="009E35EA">
        <w:rPr>
          <w:sz w:val="20"/>
          <w:lang w:val="pl-PL"/>
        </w:rPr>
        <w:t xml:space="preserve"> r.</w:t>
      </w:r>
      <w:r w:rsidRPr="009E35EA">
        <w:rPr>
          <w:sz w:val="20"/>
          <w:lang w:val="pl-PL"/>
        </w:rPr>
        <w:t>: Zawężająca interpretacja</w:t>
      </w:r>
      <w:r w:rsidR="00CF4912" w:rsidRPr="009E35EA">
        <w:rPr>
          <w:i/>
          <w:sz w:val="20"/>
          <w:lang w:val="pl-PL"/>
        </w:rPr>
        <w:t xml:space="preserve"> </w:t>
      </w:r>
      <w:proofErr w:type="spellStart"/>
      <w:r w:rsidR="00C66FB1" w:rsidRPr="009E35EA">
        <w:rPr>
          <w:i/>
          <w:sz w:val="20"/>
          <w:lang w:val="pl-PL"/>
        </w:rPr>
        <w:t>dies</w:t>
      </w:r>
      <w:proofErr w:type="spellEnd"/>
      <w:r w:rsidRPr="009E35EA">
        <w:rPr>
          <w:i/>
          <w:sz w:val="20"/>
          <w:lang w:val="pl-PL"/>
        </w:rPr>
        <w:t xml:space="preserve"> a quo</w:t>
      </w:r>
      <w:r w:rsidRPr="009E35EA">
        <w:rPr>
          <w:sz w:val="20"/>
          <w:lang w:val="pl-PL"/>
        </w:rPr>
        <w:t>, na których należy się oprzeć przy obliczaniu terminu na odwołanie się do Trybunału Konstytucyjnego (naruszenie);</w:t>
      </w:r>
    </w:p>
    <w:p w14:paraId="3A9A5CEE" w14:textId="510F0A2E" w:rsidR="004D1679" w:rsidRPr="009E35EA" w:rsidRDefault="004D1679">
      <w:pPr>
        <w:pStyle w:val="Akapitzlist"/>
        <w:numPr>
          <w:ilvl w:val="0"/>
          <w:numId w:val="1"/>
        </w:numPr>
        <w:tabs>
          <w:tab w:val="left" w:pos="1583"/>
        </w:tabs>
        <w:ind w:right="730" w:hanging="284"/>
        <w:jc w:val="both"/>
        <w:rPr>
          <w:rFonts w:ascii="Arial" w:hAnsi="Arial"/>
          <w:color w:val="0072BC"/>
          <w:lang w:val="pl-PL"/>
        </w:rPr>
      </w:pPr>
      <w:hyperlink r:id="rId49">
        <w:proofErr w:type="spellStart"/>
        <w:r w:rsidRPr="009E35EA">
          <w:rPr>
            <w:i/>
            <w:color w:val="0072BC"/>
            <w:sz w:val="20"/>
            <w:lang w:val="pl-PL"/>
          </w:rPr>
          <w:t>Klausecker</w:t>
        </w:r>
        <w:proofErr w:type="spellEnd"/>
        <w:r w:rsidRPr="009E35EA">
          <w:rPr>
            <w:i/>
            <w:color w:val="0072BC"/>
            <w:sz w:val="20"/>
            <w:lang w:val="pl-PL"/>
          </w:rPr>
          <w:t xml:space="preserve"> przeciwko Niemcom</w:t>
        </w:r>
      </w:hyperlink>
      <w:r w:rsidRPr="009E35EA">
        <w:rPr>
          <w:sz w:val="20"/>
          <w:lang w:val="pl-PL"/>
        </w:rPr>
        <w:t xml:space="preserve"> (</w:t>
      </w:r>
      <w:proofErr w:type="spellStart"/>
      <w:r w:rsidRPr="009E35EA">
        <w:rPr>
          <w:sz w:val="20"/>
          <w:lang w:val="pl-PL"/>
        </w:rPr>
        <w:t>dec</w:t>
      </w:r>
      <w:proofErr w:type="spellEnd"/>
      <w:r w:rsidRPr="009E35EA">
        <w:rPr>
          <w:sz w:val="20"/>
          <w:lang w:val="pl-PL"/>
        </w:rPr>
        <w:t>.), 2015</w:t>
      </w:r>
      <w:r w:rsidR="002C6BC6" w:rsidRPr="009E35EA">
        <w:rPr>
          <w:sz w:val="20"/>
          <w:lang w:val="pl-PL"/>
        </w:rPr>
        <w:t xml:space="preserve"> r.</w:t>
      </w:r>
      <w:r w:rsidRPr="009E35EA">
        <w:rPr>
          <w:sz w:val="20"/>
          <w:lang w:val="pl-PL"/>
        </w:rPr>
        <w:t>: Ograniczenia w dostępie do niemieckiego Federalnego Trybunału Konstytucyjnego w celu przeglądu procedury rekrutacyjnej przed Europejskim Urzędem Patentowym, gdy dostępna jest rozsądna procedura alternatywna (arbitraż) (niedopuszczaln</w:t>
      </w:r>
      <w:r w:rsidR="003D0CE1">
        <w:rPr>
          <w:sz w:val="20"/>
          <w:lang w:val="pl-PL"/>
        </w:rPr>
        <w:t>ość</w:t>
      </w:r>
      <w:r w:rsidRPr="009E35EA">
        <w:rPr>
          <w:sz w:val="20"/>
          <w:lang w:val="pl-PL"/>
        </w:rPr>
        <w:t>);</w:t>
      </w:r>
    </w:p>
    <w:p w14:paraId="4EEBD9F9" w14:textId="58C1E071" w:rsidR="004D1679" w:rsidRPr="009E35EA" w:rsidRDefault="004D1679">
      <w:pPr>
        <w:pStyle w:val="Akapitzlist"/>
        <w:numPr>
          <w:ilvl w:val="0"/>
          <w:numId w:val="1"/>
        </w:numPr>
        <w:tabs>
          <w:tab w:val="left" w:pos="1583"/>
        </w:tabs>
        <w:ind w:right="729" w:hanging="284"/>
        <w:jc w:val="both"/>
        <w:rPr>
          <w:rFonts w:ascii="Arial" w:hAnsi="Arial"/>
          <w:color w:val="0072BC"/>
          <w:lang w:val="pl-PL"/>
        </w:rPr>
      </w:pPr>
      <w:hyperlink r:id="rId50">
        <w:r w:rsidRPr="009E35EA">
          <w:rPr>
            <w:i/>
            <w:color w:val="0072BC"/>
            <w:sz w:val="20"/>
            <w:lang w:val="pl-PL"/>
          </w:rPr>
          <w:t xml:space="preserve">Dos Santos </w:t>
        </w:r>
        <w:proofErr w:type="spellStart"/>
        <w:r w:rsidRPr="009E35EA">
          <w:rPr>
            <w:i/>
            <w:color w:val="0072BC"/>
            <w:sz w:val="20"/>
            <w:lang w:val="pl-PL"/>
          </w:rPr>
          <w:t>Calado</w:t>
        </w:r>
        <w:proofErr w:type="spellEnd"/>
        <w:r w:rsidRPr="009E35EA">
          <w:rPr>
            <w:i/>
            <w:color w:val="0072BC"/>
            <w:sz w:val="20"/>
            <w:lang w:val="pl-PL"/>
          </w:rPr>
          <w:t xml:space="preserve"> i </w:t>
        </w:r>
        <w:r w:rsidR="00836DB6" w:rsidRPr="009E35EA">
          <w:rPr>
            <w:i/>
            <w:color w:val="0072BC"/>
            <w:sz w:val="20"/>
            <w:lang w:val="pl-PL"/>
          </w:rPr>
          <w:t>I</w:t>
        </w:r>
        <w:r w:rsidRPr="009E35EA">
          <w:rPr>
            <w:i/>
            <w:color w:val="0072BC"/>
            <w:sz w:val="20"/>
            <w:lang w:val="pl-PL"/>
          </w:rPr>
          <w:t>nni przeciwko Portugalii</w:t>
        </w:r>
      </w:hyperlink>
      <w:r w:rsidRPr="009E35EA">
        <w:rPr>
          <w:sz w:val="20"/>
          <w:lang w:val="pl-PL"/>
        </w:rPr>
        <w:t>, 2020</w:t>
      </w:r>
      <w:r w:rsidR="002C6BC6" w:rsidRPr="009E35EA">
        <w:rPr>
          <w:sz w:val="20"/>
          <w:lang w:val="pl-PL"/>
        </w:rPr>
        <w:t xml:space="preserve"> r.</w:t>
      </w:r>
      <w:r w:rsidRPr="009E35EA">
        <w:rPr>
          <w:sz w:val="20"/>
          <w:lang w:val="pl-PL"/>
        </w:rPr>
        <w:t xml:space="preserve">: Przejaw nadmiernego formalizmu w uznaniu skarg konstytucyjnych za niedopuszczalne z powodu niespełnienia warunków ustawowych. Zastosowanie zasad orzecznictwa określonych </w:t>
      </w:r>
      <w:hyperlink r:id="rId51">
        <w:r w:rsidRPr="009E35EA">
          <w:rPr>
            <w:iCs/>
            <w:sz w:val="20"/>
            <w:lang w:val="pl-PL"/>
          </w:rPr>
          <w:t>w sprawie</w:t>
        </w:r>
        <w:r w:rsidRPr="009E35EA">
          <w:rPr>
            <w:i/>
            <w:color w:val="0072BC"/>
            <w:sz w:val="20"/>
            <w:lang w:val="pl-PL"/>
          </w:rPr>
          <w:t xml:space="preserve"> </w:t>
        </w:r>
        <w:proofErr w:type="spellStart"/>
        <w:r w:rsidRPr="009E35EA">
          <w:rPr>
            <w:i/>
            <w:color w:val="0072BC"/>
            <w:sz w:val="20"/>
            <w:lang w:val="pl-PL"/>
          </w:rPr>
          <w:t>Zubac</w:t>
        </w:r>
        <w:proofErr w:type="spellEnd"/>
        <w:r w:rsidRPr="009E35EA">
          <w:rPr>
            <w:i/>
            <w:color w:val="0072BC"/>
            <w:sz w:val="20"/>
            <w:lang w:val="pl-PL"/>
          </w:rPr>
          <w:t xml:space="preserve"> przeciwko Chorwacji</w:t>
        </w:r>
      </w:hyperlink>
      <w:r w:rsidRPr="009E35EA">
        <w:rPr>
          <w:sz w:val="20"/>
          <w:lang w:val="pl-PL"/>
        </w:rPr>
        <w:t xml:space="preserve"> [</w:t>
      </w:r>
      <w:r w:rsidR="00442520" w:rsidRPr="009E35EA">
        <w:rPr>
          <w:sz w:val="20"/>
          <w:lang w:val="pl-PL"/>
        </w:rPr>
        <w:t>WI</w:t>
      </w:r>
      <w:r w:rsidRPr="009E35EA">
        <w:rPr>
          <w:sz w:val="20"/>
          <w:lang w:val="pl-PL"/>
        </w:rPr>
        <w:t xml:space="preserve">], 2018, która dotyczyła postępowania przed Sądem Najwyższym w postępowaniu przed Trybunałem Konstytucyjnym (naruszenie w odniesieniu do dwóch </w:t>
      </w:r>
      <w:r w:rsidR="003D0CE1">
        <w:rPr>
          <w:sz w:val="20"/>
          <w:lang w:val="pl-PL"/>
        </w:rPr>
        <w:t>skarg</w:t>
      </w:r>
      <w:r w:rsidRPr="009E35EA">
        <w:rPr>
          <w:sz w:val="20"/>
          <w:lang w:val="pl-PL"/>
        </w:rPr>
        <w:t xml:space="preserve">; brak naruszenia w przypadku </w:t>
      </w:r>
      <w:r w:rsidR="003D0CE1">
        <w:rPr>
          <w:sz w:val="20"/>
          <w:lang w:val="pl-PL"/>
        </w:rPr>
        <w:t>trzeciej skargi</w:t>
      </w:r>
      <w:r w:rsidRPr="009E35EA">
        <w:rPr>
          <w:sz w:val="20"/>
          <w:lang w:val="pl-PL"/>
        </w:rPr>
        <w:t>);</w:t>
      </w:r>
    </w:p>
    <w:p w14:paraId="4915F22F" w14:textId="1E4AEFFA" w:rsidR="004D1679" w:rsidRDefault="004D1679">
      <w:pPr>
        <w:pStyle w:val="Akapitzlist"/>
        <w:numPr>
          <w:ilvl w:val="0"/>
          <w:numId w:val="1"/>
        </w:numPr>
        <w:tabs>
          <w:tab w:val="left" w:pos="1583"/>
        </w:tabs>
        <w:ind w:right="728" w:hanging="284"/>
        <w:jc w:val="both"/>
        <w:rPr>
          <w:rFonts w:ascii="Arial" w:hAnsi="Arial"/>
          <w:color w:val="0072BC"/>
        </w:rPr>
      </w:pPr>
      <w:hyperlink r:id="rId52">
        <w:r>
          <w:rPr>
            <w:i/>
            <w:color w:val="0072BC"/>
            <w:sz w:val="20"/>
          </w:rPr>
          <w:t xml:space="preserve">Albuquerque Fernandes </w:t>
        </w:r>
        <w:proofErr w:type="spellStart"/>
        <w:r>
          <w:rPr>
            <w:i/>
            <w:color w:val="0072BC"/>
            <w:sz w:val="20"/>
          </w:rPr>
          <w:t>przeciwko</w:t>
        </w:r>
        <w:proofErr w:type="spellEnd"/>
      </w:hyperlink>
      <w:r>
        <w:rPr>
          <w:i/>
          <w:color w:val="0072BC"/>
          <w:sz w:val="20"/>
        </w:rPr>
        <w:t xml:space="preserve"> </w:t>
      </w:r>
      <w:proofErr w:type="spellStart"/>
      <w:r>
        <w:rPr>
          <w:i/>
          <w:color w:val="0072BC"/>
          <w:sz w:val="20"/>
        </w:rPr>
        <w:t>Portugalii</w:t>
      </w:r>
      <w:proofErr w:type="spellEnd"/>
      <w:r>
        <w:rPr>
          <w:i/>
          <w:color w:val="0072BC"/>
          <w:sz w:val="20"/>
        </w:rPr>
        <w:t xml:space="preserve">, </w:t>
      </w:r>
      <w:r>
        <w:rPr>
          <w:sz w:val="20"/>
        </w:rPr>
        <w:t>2021</w:t>
      </w:r>
      <w:r w:rsidR="002C6BC6">
        <w:rPr>
          <w:sz w:val="20"/>
        </w:rPr>
        <w:t xml:space="preserve"> r.</w:t>
      </w:r>
      <w:r>
        <w:rPr>
          <w:sz w:val="20"/>
        </w:rPr>
        <w:t xml:space="preserve">: Brak </w:t>
      </w:r>
      <w:proofErr w:type="spellStart"/>
      <w:r>
        <w:rPr>
          <w:sz w:val="20"/>
        </w:rPr>
        <w:t>nadmiernego</w:t>
      </w:r>
      <w:proofErr w:type="spellEnd"/>
      <w:r>
        <w:rPr>
          <w:sz w:val="20"/>
        </w:rPr>
        <w:t xml:space="preserve"> </w:t>
      </w:r>
      <w:proofErr w:type="spellStart"/>
      <w:r>
        <w:rPr>
          <w:sz w:val="20"/>
        </w:rPr>
        <w:t>formalizmu</w:t>
      </w:r>
      <w:proofErr w:type="spellEnd"/>
      <w:r>
        <w:rPr>
          <w:sz w:val="20"/>
        </w:rPr>
        <w:t xml:space="preserve"> w </w:t>
      </w:r>
      <w:proofErr w:type="spellStart"/>
      <w:r>
        <w:rPr>
          <w:sz w:val="20"/>
        </w:rPr>
        <w:t>odrzuceniu</w:t>
      </w:r>
      <w:proofErr w:type="spellEnd"/>
      <w:r>
        <w:rPr>
          <w:sz w:val="20"/>
        </w:rPr>
        <w:t xml:space="preserve">, ze </w:t>
      </w:r>
      <w:proofErr w:type="spellStart"/>
      <w:r>
        <w:rPr>
          <w:sz w:val="20"/>
        </w:rPr>
        <w:t>względów</w:t>
      </w:r>
      <w:proofErr w:type="spellEnd"/>
      <w:r>
        <w:rPr>
          <w:sz w:val="20"/>
        </w:rPr>
        <w:t xml:space="preserve"> </w:t>
      </w:r>
      <w:proofErr w:type="spellStart"/>
      <w:r>
        <w:rPr>
          <w:sz w:val="20"/>
        </w:rPr>
        <w:t>proceduralnych</w:t>
      </w:r>
      <w:proofErr w:type="spellEnd"/>
      <w:r>
        <w:rPr>
          <w:sz w:val="20"/>
        </w:rPr>
        <w:t xml:space="preserve">, </w:t>
      </w:r>
      <w:proofErr w:type="spellStart"/>
      <w:r>
        <w:rPr>
          <w:sz w:val="20"/>
        </w:rPr>
        <w:t>skargi</w:t>
      </w:r>
      <w:proofErr w:type="spellEnd"/>
      <w:r>
        <w:rPr>
          <w:sz w:val="20"/>
        </w:rPr>
        <w:t xml:space="preserve"> </w:t>
      </w:r>
      <w:proofErr w:type="spellStart"/>
      <w:r>
        <w:rPr>
          <w:sz w:val="20"/>
        </w:rPr>
        <w:t>konstytucyjnej</w:t>
      </w:r>
      <w:proofErr w:type="spellEnd"/>
      <w:r>
        <w:rPr>
          <w:sz w:val="20"/>
        </w:rPr>
        <w:t xml:space="preserve"> </w:t>
      </w:r>
      <w:proofErr w:type="spellStart"/>
      <w:r>
        <w:rPr>
          <w:sz w:val="20"/>
        </w:rPr>
        <w:t>sędziego</w:t>
      </w:r>
      <w:proofErr w:type="spellEnd"/>
      <w:r>
        <w:rPr>
          <w:sz w:val="20"/>
        </w:rPr>
        <w:t xml:space="preserve">, </w:t>
      </w:r>
      <w:proofErr w:type="spellStart"/>
      <w:r>
        <w:rPr>
          <w:sz w:val="20"/>
        </w:rPr>
        <w:t>który</w:t>
      </w:r>
      <w:proofErr w:type="spellEnd"/>
      <w:r>
        <w:rPr>
          <w:sz w:val="20"/>
        </w:rPr>
        <w:t xml:space="preserve"> </w:t>
      </w:r>
      <w:proofErr w:type="spellStart"/>
      <w:r>
        <w:rPr>
          <w:sz w:val="20"/>
        </w:rPr>
        <w:t>kwestionował</w:t>
      </w:r>
      <w:proofErr w:type="spellEnd"/>
      <w:r>
        <w:rPr>
          <w:sz w:val="20"/>
        </w:rPr>
        <w:t xml:space="preserve"> </w:t>
      </w:r>
      <w:proofErr w:type="spellStart"/>
      <w:r>
        <w:rPr>
          <w:sz w:val="20"/>
        </w:rPr>
        <w:t>karę</w:t>
      </w:r>
      <w:proofErr w:type="spellEnd"/>
      <w:r>
        <w:rPr>
          <w:sz w:val="20"/>
        </w:rPr>
        <w:t xml:space="preserve"> </w:t>
      </w:r>
      <w:proofErr w:type="spellStart"/>
      <w:r>
        <w:rPr>
          <w:sz w:val="20"/>
        </w:rPr>
        <w:t>dyscyplinarną</w:t>
      </w:r>
      <w:proofErr w:type="spellEnd"/>
      <w:r>
        <w:rPr>
          <w:sz w:val="20"/>
        </w:rPr>
        <w:t xml:space="preserve"> (</w:t>
      </w:r>
      <w:proofErr w:type="spellStart"/>
      <w:r>
        <w:rPr>
          <w:sz w:val="20"/>
        </w:rPr>
        <w:t>brak</w:t>
      </w:r>
      <w:proofErr w:type="spellEnd"/>
      <w:r>
        <w:rPr>
          <w:sz w:val="20"/>
        </w:rPr>
        <w:t xml:space="preserve"> </w:t>
      </w:r>
      <w:proofErr w:type="spellStart"/>
      <w:r>
        <w:rPr>
          <w:sz w:val="20"/>
        </w:rPr>
        <w:t>naruszenia</w:t>
      </w:r>
      <w:proofErr w:type="spellEnd"/>
      <w:r>
        <w:rPr>
          <w:sz w:val="20"/>
        </w:rPr>
        <w:t>).</w:t>
      </w:r>
    </w:p>
    <w:p w14:paraId="69F8CEE9" w14:textId="77777777" w:rsidR="004D1679" w:rsidRDefault="004D1679">
      <w:pPr>
        <w:pStyle w:val="Akapitzlist"/>
        <w:numPr>
          <w:ilvl w:val="0"/>
          <w:numId w:val="1"/>
        </w:numPr>
        <w:tabs>
          <w:tab w:val="left" w:pos="1583"/>
        </w:tabs>
        <w:ind w:right="730" w:hanging="284"/>
        <w:jc w:val="both"/>
        <w:rPr>
          <w:rFonts w:ascii="Arial" w:hAnsi="Arial"/>
          <w:color w:val="0072BC"/>
        </w:rPr>
      </w:pPr>
      <w:hyperlink r:id="rId53">
        <w:r>
          <w:rPr>
            <w:i/>
            <w:color w:val="0072BC"/>
            <w:sz w:val="20"/>
          </w:rPr>
          <w:t xml:space="preserve">Dragan Kovačević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2022 r.: </w:t>
      </w:r>
      <w:proofErr w:type="spellStart"/>
      <w:r>
        <w:rPr>
          <w:sz w:val="20"/>
        </w:rPr>
        <w:t>Nieproporcjonalna</w:t>
      </w:r>
      <w:proofErr w:type="spellEnd"/>
      <w:r>
        <w:rPr>
          <w:sz w:val="20"/>
        </w:rPr>
        <w:t xml:space="preserve"> </w:t>
      </w:r>
      <w:proofErr w:type="spellStart"/>
      <w:r>
        <w:rPr>
          <w:sz w:val="20"/>
        </w:rPr>
        <w:t>odmowa</w:t>
      </w:r>
      <w:proofErr w:type="spellEnd"/>
      <w:r>
        <w:rPr>
          <w:sz w:val="20"/>
        </w:rPr>
        <w:t xml:space="preserve"> </w:t>
      </w:r>
      <w:proofErr w:type="spellStart"/>
      <w:r>
        <w:rPr>
          <w:sz w:val="20"/>
        </w:rPr>
        <w:t>przyznania</w:t>
      </w:r>
      <w:proofErr w:type="spellEnd"/>
      <w:r>
        <w:rPr>
          <w:sz w:val="20"/>
        </w:rPr>
        <w:t xml:space="preserve"> </w:t>
      </w:r>
      <w:proofErr w:type="spellStart"/>
      <w:r>
        <w:rPr>
          <w:sz w:val="20"/>
        </w:rPr>
        <w:t>kosztów</w:t>
      </w:r>
      <w:proofErr w:type="spellEnd"/>
      <w:r>
        <w:rPr>
          <w:sz w:val="20"/>
        </w:rPr>
        <w:t xml:space="preserve"> w </w:t>
      </w:r>
      <w:proofErr w:type="spellStart"/>
      <w:r>
        <w:rPr>
          <w:sz w:val="20"/>
        </w:rPr>
        <w:t>związku</w:t>
      </w:r>
      <w:proofErr w:type="spellEnd"/>
      <w:r>
        <w:rPr>
          <w:sz w:val="20"/>
        </w:rPr>
        <w:t xml:space="preserve"> ze </w:t>
      </w:r>
      <w:proofErr w:type="spellStart"/>
      <w:r>
        <w:rPr>
          <w:sz w:val="20"/>
        </w:rPr>
        <w:t>skargą</w:t>
      </w:r>
      <w:proofErr w:type="spellEnd"/>
      <w:r>
        <w:rPr>
          <w:sz w:val="20"/>
        </w:rPr>
        <w:t xml:space="preserve"> do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dotyczącą</w:t>
      </w:r>
      <w:proofErr w:type="spellEnd"/>
      <w:r>
        <w:rPr>
          <w:sz w:val="20"/>
        </w:rPr>
        <w:t xml:space="preserve"> </w:t>
      </w:r>
      <w:proofErr w:type="spellStart"/>
      <w:r>
        <w:rPr>
          <w:sz w:val="20"/>
        </w:rPr>
        <w:t>pozbawienia</w:t>
      </w:r>
      <w:proofErr w:type="spellEnd"/>
      <w:r>
        <w:rPr>
          <w:sz w:val="20"/>
        </w:rPr>
        <w:t xml:space="preserve"> </w:t>
      </w:r>
      <w:proofErr w:type="spellStart"/>
      <w:r>
        <w:rPr>
          <w:sz w:val="20"/>
        </w:rPr>
        <w:t>skarżącej</w:t>
      </w:r>
      <w:proofErr w:type="spellEnd"/>
      <w:r>
        <w:rPr>
          <w:sz w:val="20"/>
        </w:rPr>
        <w:t xml:space="preserve"> </w:t>
      </w:r>
      <w:proofErr w:type="spellStart"/>
      <w:r>
        <w:rPr>
          <w:sz w:val="20"/>
        </w:rPr>
        <w:t>zdolności</w:t>
      </w:r>
      <w:proofErr w:type="spellEnd"/>
      <w:r>
        <w:rPr>
          <w:sz w:val="20"/>
        </w:rPr>
        <w:t xml:space="preserve"> do </w:t>
      </w:r>
      <w:proofErr w:type="spellStart"/>
      <w:r>
        <w:rPr>
          <w:sz w:val="20"/>
        </w:rPr>
        <w:t>czynności</w:t>
      </w:r>
      <w:proofErr w:type="spellEnd"/>
      <w:r>
        <w:rPr>
          <w:sz w:val="20"/>
        </w:rPr>
        <w:t xml:space="preserve"> </w:t>
      </w:r>
      <w:proofErr w:type="spellStart"/>
      <w:r>
        <w:rPr>
          <w:sz w:val="20"/>
        </w:rPr>
        <w:t>prawnych</w:t>
      </w:r>
      <w:proofErr w:type="spellEnd"/>
      <w:r>
        <w:rPr>
          <w:sz w:val="20"/>
        </w:rPr>
        <w:t xml:space="preserve"> (</w:t>
      </w:r>
      <w:proofErr w:type="spellStart"/>
      <w:r>
        <w:rPr>
          <w:sz w:val="20"/>
        </w:rPr>
        <w:t>naruszenie</w:t>
      </w:r>
      <w:proofErr w:type="spellEnd"/>
      <w:r>
        <w:rPr>
          <w:sz w:val="20"/>
        </w:rPr>
        <w:t>).</w:t>
      </w:r>
    </w:p>
    <w:p w14:paraId="0926B8AF" w14:textId="675D3AC2" w:rsidR="004D1679" w:rsidRDefault="004D1679">
      <w:pPr>
        <w:pStyle w:val="Akapitzlist"/>
        <w:numPr>
          <w:ilvl w:val="0"/>
          <w:numId w:val="1"/>
        </w:numPr>
        <w:tabs>
          <w:tab w:val="left" w:pos="1583"/>
        </w:tabs>
        <w:ind w:right="730" w:hanging="284"/>
        <w:jc w:val="both"/>
        <w:rPr>
          <w:rFonts w:ascii="Arial" w:hAnsi="Arial"/>
          <w:color w:val="0072BC"/>
        </w:rPr>
      </w:pPr>
      <w:hyperlink r:id="rId54">
        <w:r>
          <w:rPr>
            <w:i/>
            <w:color w:val="0072BC"/>
            <w:sz w:val="20"/>
          </w:rPr>
          <w:t xml:space="preserve">Çela </w:t>
        </w:r>
        <w:proofErr w:type="spellStart"/>
        <w:r>
          <w:rPr>
            <w:i/>
            <w:color w:val="0072BC"/>
            <w:sz w:val="20"/>
          </w:rPr>
          <w:t>przeciwko</w:t>
        </w:r>
        <w:proofErr w:type="spellEnd"/>
        <w:r>
          <w:rPr>
            <w:i/>
            <w:color w:val="0072BC"/>
            <w:sz w:val="20"/>
          </w:rPr>
          <w:t xml:space="preserve"> </w:t>
        </w:r>
        <w:proofErr w:type="spellStart"/>
        <w:r>
          <w:rPr>
            <w:i/>
            <w:color w:val="0072BC"/>
            <w:sz w:val="20"/>
          </w:rPr>
          <w:t>Albanii</w:t>
        </w:r>
        <w:proofErr w:type="spellEnd"/>
      </w:hyperlink>
      <w:r>
        <w:rPr>
          <w:sz w:val="20"/>
        </w:rPr>
        <w:t>, 2022</w:t>
      </w:r>
      <w:r w:rsidR="002C6BC6">
        <w:rPr>
          <w:sz w:val="20"/>
        </w:rPr>
        <w:t xml:space="preserve"> r.</w:t>
      </w:r>
      <w:r>
        <w:rPr>
          <w:sz w:val="20"/>
        </w:rPr>
        <w:t xml:space="preserve">: </w:t>
      </w:r>
      <w:proofErr w:type="spellStart"/>
      <w:r>
        <w:rPr>
          <w:sz w:val="20"/>
        </w:rPr>
        <w:t>Oddalenie</w:t>
      </w:r>
      <w:proofErr w:type="spellEnd"/>
      <w:r>
        <w:rPr>
          <w:sz w:val="20"/>
        </w:rPr>
        <w:t xml:space="preserve"> </w:t>
      </w:r>
      <w:proofErr w:type="spellStart"/>
      <w:r>
        <w:rPr>
          <w:sz w:val="20"/>
        </w:rPr>
        <w:t>skargi</w:t>
      </w:r>
      <w:proofErr w:type="spellEnd"/>
      <w:r>
        <w:rPr>
          <w:sz w:val="20"/>
        </w:rPr>
        <w:t xml:space="preserve"> </w:t>
      </w:r>
      <w:proofErr w:type="spellStart"/>
      <w:r>
        <w:rPr>
          <w:sz w:val="20"/>
        </w:rPr>
        <w:t>konstytucyjnej</w:t>
      </w:r>
      <w:proofErr w:type="spellEnd"/>
      <w:r>
        <w:rPr>
          <w:sz w:val="20"/>
        </w:rPr>
        <w:t xml:space="preserve"> z </w:t>
      </w:r>
      <w:proofErr w:type="spellStart"/>
      <w:r>
        <w:rPr>
          <w:sz w:val="20"/>
        </w:rPr>
        <w:t>powodu</w:t>
      </w:r>
      <w:proofErr w:type="spellEnd"/>
      <w:r>
        <w:rPr>
          <w:sz w:val="20"/>
        </w:rPr>
        <w:t xml:space="preserve"> </w:t>
      </w:r>
      <w:proofErr w:type="spellStart"/>
      <w:r>
        <w:rPr>
          <w:sz w:val="20"/>
        </w:rPr>
        <w:t>nieprzewidzianego</w:t>
      </w:r>
      <w:proofErr w:type="spellEnd"/>
      <w:r>
        <w:rPr>
          <w:sz w:val="20"/>
        </w:rPr>
        <w:t xml:space="preserve"> </w:t>
      </w:r>
      <w:proofErr w:type="spellStart"/>
      <w:r>
        <w:rPr>
          <w:sz w:val="20"/>
        </w:rPr>
        <w:t>zastosowania</w:t>
      </w:r>
      <w:proofErr w:type="spellEnd"/>
      <w:r>
        <w:rPr>
          <w:sz w:val="20"/>
        </w:rPr>
        <w:t xml:space="preserve"> </w:t>
      </w:r>
      <w:proofErr w:type="spellStart"/>
      <w:r>
        <w:rPr>
          <w:sz w:val="20"/>
        </w:rPr>
        <w:t>nowego</w:t>
      </w:r>
      <w:proofErr w:type="spellEnd"/>
      <w:r>
        <w:rPr>
          <w:sz w:val="20"/>
        </w:rPr>
        <w:t xml:space="preserve"> </w:t>
      </w:r>
      <w:proofErr w:type="spellStart"/>
      <w:r>
        <w:rPr>
          <w:sz w:val="20"/>
        </w:rPr>
        <w:t>terminu</w:t>
      </w:r>
      <w:proofErr w:type="spellEnd"/>
      <w:r>
        <w:rPr>
          <w:sz w:val="20"/>
        </w:rPr>
        <w:t xml:space="preserve"> (od </w:t>
      </w:r>
      <w:proofErr w:type="spellStart"/>
      <w:r>
        <w:rPr>
          <w:sz w:val="20"/>
        </w:rPr>
        <w:t>dwóch</w:t>
      </w:r>
      <w:proofErr w:type="spellEnd"/>
      <w:r>
        <w:rPr>
          <w:sz w:val="20"/>
        </w:rPr>
        <w:t xml:space="preserve"> </w:t>
      </w:r>
      <w:proofErr w:type="spellStart"/>
      <w:r>
        <w:rPr>
          <w:sz w:val="20"/>
        </w:rPr>
        <w:t>lat</w:t>
      </w:r>
      <w:proofErr w:type="spellEnd"/>
      <w:r>
        <w:rPr>
          <w:sz w:val="20"/>
        </w:rPr>
        <w:t xml:space="preserve"> do </w:t>
      </w:r>
      <w:proofErr w:type="spellStart"/>
      <w:r>
        <w:rPr>
          <w:sz w:val="20"/>
        </w:rPr>
        <w:t>czterech</w:t>
      </w:r>
      <w:proofErr w:type="spellEnd"/>
      <w:r>
        <w:rPr>
          <w:sz w:val="20"/>
        </w:rPr>
        <w:t xml:space="preserve"> </w:t>
      </w:r>
      <w:proofErr w:type="spellStart"/>
      <w:r>
        <w:rPr>
          <w:sz w:val="20"/>
        </w:rPr>
        <w:t>miesięcy</w:t>
      </w:r>
      <w:proofErr w:type="spellEnd"/>
      <w:r>
        <w:rPr>
          <w:sz w:val="20"/>
        </w:rPr>
        <w:t xml:space="preserve">) </w:t>
      </w:r>
      <w:proofErr w:type="spellStart"/>
      <w:r>
        <w:rPr>
          <w:sz w:val="20"/>
        </w:rPr>
        <w:t>wprowadzonego</w:t>
      </w:r>
      <w:proofErr w:type="spellEnd"/>
      <w:r>
        <w:rPr>
          <w:sz w:val="20"/>
        </w:rPr>
        <w:t xml:space="preserve"> po </w:t>
      </w:r>
      <w:proofErr w:type="spellStart"/>
      <w:r>
        <w:rPr>
          <w:sz w:val="20"/>
        </w:rPr>
        <w:t>złożeniu</w:t>
      </w:r>
      <w:proofErr w:type="spellEnd"/>
      <w:r>
        <w:rPr>
          <w:sz w:val="20"/>
        </w:rPr>
        <w:t xml:space="preserve"> </w:t>
      </w:r>
      <w:proofErr w:type="spellStart"/>
      <w:r>
        <w:rPr>
          <w:sz w:val="20"/>
        </w:rPr>
        <w:t>skargi</w:t>
      </w:r>
      <w:proofErr w:type="spellEnd"/>
      <w:r>
        <w:rPr>
          <w:sz w:val="20"/>
        </w:rPr>
        <w:t xml:space="preserve"> (</w:t>
      </w:r>
      <w:proofErr w:type="spellStart"/>
      <w:r>
        <w:rPr>
          <w:sz w:val="20"/>
        </w:rPr>
        <w:t>naruszenie</w:t>
      </w:r>
      <w:proofErr w:type="spellEnd"/>
      <w:r>
        <w:rPr>
          <w:sz w:val="20"/>
        </w:rPr>
        <w:t>).</w:t>
      </w:r>
    </w:p>
    <w:p w14:paraId="2D87C49A" w14:textId="20CC3089" w:rsidR="004D1679" w:rsidRDefault="004D1679">
      <w:pPr>
        <w:pStyle w:val="Akapitzlist"/>
        <w:numPr>
          <w:ilvl w:val="0"/>
          <w:numId w:val="1"/>
        </w:numPr>
        <w:tabs>
          <w:tab w:val="left" w:pos="1583"/>
        </w:tabs>
        <w:ind w:right="731" w:hanging="284"/>
        <w:jc w:val="both"/>
        <w:rPr>
          <w:rFonts w:ascii="Arial" w:hAnsi="Arial"/>
          <w:color w:val="0072BC"/>
        </w:rPr>
      </w:pPr>
      <w:hyperlink r:id="rId55">
        <w:r>
          <w:rPr>
            <w:i/>
            <w:color w:val="0072BC"/>
            <w:sz w:val="20"/>
          </w:rPr>
          <w:t xml:space="preserve">Olivares Zúñiga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2022</w:t>
      </w:r>
      <w:r w:rsidR="002C6BC6">
        <w:rPr>
          <w:sz w:val="20"/>
        </w:rPr>
        <w:t xml:space="preserve"> r.</w:t>
      </w:r>
      <w:r>
        <w:rPr>
          <w:sz w:val="20"/>
        </w:rPr>
        <w:t xml:space="preserve">: </w:t>
      </w:r>
      <w:proofErr w:type="spellStart"/>
      <w:r>
        <w:rPr>
          <w:sz w:val="20"/>
        </w:rPr>
        <w:t>skarga</w:t>
      </w:r>
      <w:proofErr w:type="spellEnd"/>
      <w:r>
        <w:rPr>
          <w:sz w:val="20"/>
        </w:rPr>
        <w:t xml:space="preserve"> </w:t>
      </w:r>
      <w:proofErr w:type="spellStart"/>
      <w:r>
        <w:rPr>
          <w:sz w:val="20"/>
        </w:rPr>
        <w:t>uznana</w:t>
      </w:r>
      <w:proofErr w:type="spellEnd"/>
      <w:r>
        <w:rPr>
          <w:sz w:val="20"/>
        </w:rPr>
        <w:t xml:space="preserve"> za </w:t>
      </w:r>
      <w:proofErr w:type="spellStart"/>
      <w:r>
        <w:rPr>
          <w:sz w:val="20"/>
        </w:rPr>
        <w:t>niedopuszczalną</w:t>
      </w:r>
      <w:proofErr w:type="spellEnd"/>
      <w:r>
        <w:rPr>
          <w:sz w:val="20"/>
        </w:rPr>
        <w:t xml:space="preserve"> z </w:t>
      </w:r>
      <w:proofErr w:type="spellStart"/>
      <w:r>
        <w:rPr>
          <w:sz w:val="20"/>
        </w:rPr>
        <w:t>powodu</w:t>
      </w:r>
      <w:proofErr w:type="spellEnd"/>
      <w:r>
        <w:rPr>
          <w:sz w:val="20"/>
        </w:rPr>
        <w:t xml:space="preserve"> </w:t>
      </w:r>
      <w:proofErr w:type="spellStart"/>
      <w:r>
        <w:rPr>
          <w:sz w:val="20"/>
        </w:rPr>
        <w:t>nieprzewidzianego</w:t>
      </w:r>
      <w:proofErr w:type="spellEnd"/>
      <w:r>
        <w:rPr>
          <w:sz w:val="20"/>
        </w:rPr>
        <w:t xml:space="preserve"> </w:t>
      </w:r>
      <w:proofErr w:type="spellStart"/>
      <w:r>
        <w:rPr>
          <w:sz w:val="20"/>
        </w:rPr>
        <w:t>wymogu</w:t>
      </w:r>
      <w:proofErr w:type="spellEnd"/>
      <w:r>
        <w:rPr>
          <w:sz w:val="20"/>
        </w:rPr>
        <w:t xml:space="preserve"> </w:t>
      </w:r>
      <w:proofErr w:type="spellStart"/>
      <w:r>
        <w:rPr>
          <w:sz w:val="20"/>
        </w:rPr>
        <w:t>wyczerpania</w:t>
      </w:r>
      <w:proofErr w:type="spellEnd"/>
      <w:r>
        <w:rPr>
          <w:sz w:val="20"/>
        </w:rPr>
        <w:t xml:space="preserve"> </w:t>
      </w:r>
      <w:proofErr w:type="spellStart"/>
      <w:r>
        <w:rPr>
          <w:sz w:val="20"/>
        </w:rPr>
        <w:t>wcześniejszego</w:t>
      </w:r>
      <w:proofErr w:type="spellEnd"/>
      <w:r>
        <w:rPr>
          <w:sz w:val="20"/>
        </w:rPr>
        <w:t xml:space="preserve"> </w:t>
      </w:r>
      <w:proofErr w:type="spellStart"/>
      <w:r>
        <w:rPr>
          <w:sz w:val="20"/>
        </w:rPr>
        <w:t>środka</w:t>
      </w:r>
      <w:proofErr w:type="spellEnd"/>
      <w:r>
        <w:rPr>
          <w:sz w:val="20"/>
        </w:rPr>
        <w:t xml:space="preserve"> </w:t>
      </w:r>
      <w:proofErr w:type="spellStart"/>
      <w:r>
        <w:rPr>
          <w:sz w:val="20"/>
        </w:rPr>
        <w:t>odwoławczego</w:t>
      </w:r>
      <w:proofErr w:type="spellEnd"/>
      <w:r>
        <w:rPr>
          <w:sz w:val="20"/>
        </w:rPr>
        <w:t xml:space="preserve"> (</w:t>
      </w:r>
      <w:proofErr w:type="spellStart"/>
      <w:r>
        <w:rPr>
          <w:sz w:val="20"/>
        </w:rPr>
        <w:t>naruszenie</w:t>
      </w:r>
      <w:proofErr w:type="spellEnd"/>
      <w:r>
        <w:rPr>
          <w:sz w:val="20"/>
        </w:rPr>
        <w:t>).</w:t>
      </w:r>
    </w:p>
    <w:p w14:paraId="4C8E162C" w14:textId="1E0B3C7A" w:rsidR="004D1679" w:rsidRDefault="004D1679">
      <w:pPr>
        <w:pStyle w:val="Akapitzlist"/>
        <w:numPr>
          <w:ilvl w:val="0"/>
          <w:numId w:val="1"/>
        </w:numPr>
        <w:tabs>
          <w:tab w:val="left" w:pos="1583"/>
        </w:tabs>
        <w:ind w:right="730" w:hanging="284"/>
        <w:jc w:val="both"/>
        <w:rPr>
          <w:rFonts w:ascii="Arial" w:hAnsi="Arial"/>
          <w:color w:val="0072BC"/>
        </w:rPr>
      </w:pPr>
      <w:hyperlink r:id="rId56">
        <w:proofErr w:type="spellStart"/>
        <w:r>
          <w:rPr>
            <w:i/>
            <w:color w:val="0072BC"/>
            <w:sz w:val="20"/>
          </w:rPr>
          <w:t>Supergrav</w:t>
        </w:r>
        <w:proofErr w:type="spellEnd"/>
        <w:r>
          <w:rPr>
            <w:i/>
            <w:color w:val="0072BC"/>
            <w:sz w:val="20"/>
          </w:rPr>
          <w:t xml:space="preserve"> Albania </w:t>
        </w:r>
        <w:proofErr w:type="spellStart"/>
        <w:r>
          <w:rPr>
            <w:i/>
            <w:color w:val="0072BC"/>
            <w:sz w:val="20"/>
          </w:rPr>
          <w:t>Shpk</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Albanii</w:t>
        </w:r>
        <w:proofErr w:type="spellEnd"/>
      </w:hyperlink>
      <w:r>
        <w:rPr>
          <w:sz w:val="20"/>
        </w:rPr>
        <w:t>, 2023</w:t>
      </w:r>
      <w:r w:rsidR="002C6BC6">
        <w:rPr>
          <w:sz w:val="20"/>
        </w:rPr>
        <w:t xml:space="preserve"> r.</w:t>
      </w:r>
      <w:r>
        <w:rPr>
          <w:sz w:val="20"/>
        </w:rPr>
        <w:t xml:space="preserve">: </w:t>
      </w:r>
      <w:proofErr w:type="spellStart"/>
      <w:r w:rsidRPr="000C4EB9">
        <w:rPr>
          <w:sz w:val="20"/>
        </w:rPr>
        <w:t>Odrzucenie</w:t>
      </w:r>
      <w:proofErr w:type="spellEnd"/>
      <w:r>
        <w:rPr>
          <w:sz w:val="20"/>
        </w:rPr>
        <w:t xml:space="preserve"> </w:t>
      </w:r>
      <w:proofErr w:type="spellStart"/>
      <w:r>
        <w:rPr>
          <w:sz w:val="20"/>
        </w:rPr>
        <w:t>skargi</w:t>
      </w:r>
      <w:proofErr w:type="spellEnd"/>
      <w:r>
        <w:rPr>
          <w:sz w:val="20"/>
        </w:rPr>
        <w:t xml:space="preserve"> </w:t>
      </w:r>
      <w:proofErr w:type="spellStart"/>
      <w:r>
        <w:rPr>
          <w:sz w:val="20"/>
        </w:rPr>
        <w:t>konstytucyjnej</w:t>
      </w:r>
      <w:proofErr w:type="spellEnd"/>
      <w:r>
        <w:rPr>
          <w:sz w:val="20"/>
        </w:rPr>
        <w:t xml:space="preserve"> </w:t>
      </w:r>
      <w:proofErr w:type="spellStart"/>
      <w:r>
        <w:rPr>
          <w:sz w:val="20"/>
        </w:rPr>
        <w:t>skarżącej</w:t>
      </w:r>
      <w:proofErr w:type="spellEnd"/>
      <w:r>
        <w:rPr>
          <w:sz w:val="20"/>
        </w:rPr>
        <w:t xml:space="preserve"> </w:t>
      </w:r>
      <w:proofErr w:type="spellStart"/>
      <w:r>
        <w:rPr>
          <w:sz w:val="20"/>
        </w:rPr>
        <w:t>jako</w:t>
      </w:r>
      <w:proofErr w:type="spellEnd"/>
      <w:r>
        <w:rPr>
          <w:sz w:val="20"/>
        </w:rPr>
        <w:t xml:space="preserve"> </w:t>
      </w:r>
      <w:proofErr w:type="spellStart"/>
      <w:r>
        <w:rPr>
          <w:sz w:val="20"/>
        </w:rPr>
        <w:t>wniesionej</w:t>
      </w:r>
      <w:proofErr w:type="spellEnd"/>
      <w:r>
        <w:rPr>
          <w:sz w:val="20"/>
        </w:rPr>
        <w:t xml:space="preserve"> z </w:t>
      </w:r>
      <w:proofErr w:type="spellStart"/>
      <w:r>
        <w:rPr>
          <w:sz w:val="20"/>
        </w:rPr>
        <w:t>przekroczeniem</w:t>
      </w:r>
      <w:proofErr w:type="spellEnd"/>
      <w:r>
        <w:rPr>
          <w:sz w:val="20"/>
        </w:rPr>
        <w:t xml:space="preserve"> </w:t>
      </w:r>
      <w:proofErr w:type="spellStart"/>
      <w:r>
        <w:rPr>
          <w:sz w:val="20"/>
        </w:rPr>
        <w:t>czteromiesięcznego</w:t>
      </w:r>
      <w:proofErr w:type="spellEnd"/>
      <w:r>
        <w:rPr>
          <w:sz w:val="20"/>
        </w:rPr>
        <w:t xml:space="preserve"> </w:t>
      </w:r>
      <w:proofErr w:type="spellStart"/>
      <w:r>
        <w:rPr>
          <w:sz w:val="20"/>
        </w:rPr>
        <w:t>terminu</w:t>
      </w:r>
      <w:proofErr w:type="spellEnd"/>
      <w:r>
        <w:rPr>
          <w:sz w:val="20"/>
        </w:rPr>
        <w:t xml:space="preserve"> </w:t>
      </w:r>
      <w:proofErr w:type="spellStart"/>
      <w:r>
        <w:rPr>
          <w:sz w:val="20"/>
        </w:rPr>
        <w:t>liczonego</w:t>
      </w:r>
      <w:proofErr w:type="spellEnd"/>
      <w:r>
        <w:rPr>
          <w:sz w:val="20"/>
        </w:rPr>
        <w:t xml:space="preserve"> </w:t>
      </w:r>
      <w:proofErr w:type="spellStart"/>
      <w:r>
        <w:rPr>
          <w:sz w:val="20"/>
        </w:rPr>
        <w:t>od</w:t>
      </w:r>
      <w:proofErr w:type="spellEnd"/>
      <w:r>
        <w:rPr>
          <w:sz w:val="20"/>
        </w:rPr>
        <w:t xml:space="preserve"> </w:t>
      </w:r>
      <w:proofErr w:type="spellStart"/>
      <w:r>
        <w:rPr>
          <w:sz w:val="20"/>
        </w:rPr>
        <w:t>daty</w:t>
      </w:r>
      <w:proofErr w:type="spellEnd"/>
      <w:r>
        <w:rPr>
          <w:sz w:val="20"/>
        </w:rPr>
        <w:t xml:space="preserve"> </w:t>
      </w:r>
      <w:proofErr w:type="spellStart"/>
      <w:r>
        <w:rPr>
          <w:sz w:val="20"/>
        </w:rPr>
        <w:t>przyjęcia</w:t>
      </w:r>
      <w:proofErr w:type="spellEnd"/>
      <w:r>
        <w:rPr>
          <w:sz w:val="20"/>
        </w:rPr>
        <w:t xml:space="preserve"> </w:t>
      </w:r>
      <w:proofErr w:type="spellStart"/>
      <w:r>
        <w:rPr>
          <w:sz w:val="20"/>
        </w:rPr>
        <w:t>decyzji</w:t>
      </w:r>
      <w:proofErr w:type="spellEnd"/>
      <w:r>
        <w:rPr>
          <w:sz w:val="20"/>
        </w:rPr>
        <w:t xml:space="preserve"> </w:t>
      </w:r>
      <w:proofErr w:type="spellStart"/>
      <w:r>
        <w:rPr>
          <w:sz w:val="20"/>
        </w:rPr>
        <w:t>Sądu</w:t>
      </w:r>
      <w:proofErr w:type="spellEnd"/>
      <w:r>
        <w:rPr>
          <w:sz w:val="20"/>
        </w:rPr>
        <w:t xml:space="preserve"> </w:t>
      </w:r>
      <w:proofErr w:type="spellStart"/>
      <w:r>
        <w:rPr>
          <w:sz w:val="20"/>
        </w:rPr>
        <w:t>Najwyższego</w:t>
      </w:r>
      <w:proofErr w:type="spellEnd"/>
      <w:r>
        <w:rPr>
          <w:sz w:val="20"/>
        </w:rPr>
        <w:t xml:space="preserve">, a </w:t>
      </w:r>
      <w:proofErr w:type="spellStart"/>
      <w:r>
        <w:rPr>
          <w:sz w:val="20"/>
        </w:rPr>
        <w:t>nie</w:t>
      </w:r>
      <w:proofErr w:type="spellEnd"/>
      <w:r>
        <w:rPr>
          <w:sz w:val="20"/>
        </w:rPr>
        <w:t xml:space="preserve"> od </w:t>
      </w:r>
      <w:proofErr w:type="spellStart"/>
      <w:r>
        <w:rPr>
          <w:sz w:val="20"/>
        </w:rPr>
        <w:t>daty</w:t>
      </w:r>
      <w:proofErr w:type="spellEnd"/>
      <w:r>
        <w:rPr>
          <w:sz w:val="20"/>
        </w:rPr>
        <w:t xml:space="preserve"> </w:t>
      </w:r>
      <w:proofErr w:type="spellStart"/>
      <w:r>
        <w:rPr>
          <w:sz w:val="20"/>
        </w:rPr>
        <w:t>doręczenia</w:t>
      </w:r>
      <w:proofErr w:type="spellEnd"/>
      <w:r>
        <w:rPr>
          <w:sz w:val="20"/>
        </w:rPr>
        <w:t xml:space="preserve"> </w:t>
      </w:r>
      <w:proofErr w:type="spellStart"/>
      <w:r>
        <w:rPr>
          <w:sz w:val="20"/>
        </w:rPr>
        <w:t>decyzji</w:t>
      </w:r>
      <w:proofErr w:type="spellEnd"/>
      <w:r>
        <w:rPr>
          <w:sz w:val="20"/>
        </w:rPr>
        <w:t xml:space="preserve"> z </w:t>
      </w:r>
      <w:proofErr w:type="spellStart"/>
      <w:r>
        <w:rPr>
          <w:sz w:val="20"/>
        </w:rPr>
        <w:t>pełnym</w:t>
      </w:r>
      <w:proofErr w:type="spellEnd"/>
      <w:r>
        <w:rPr>
          <w:sz w:val="20"/>
        </w:rPr>
        <w:t xml:space="preserve"> </w:t>
      </w:r>
      <w:proofErr w:type="spellStart"/>
      <w:r>
        <w:rPr>
          <w:sz w:val="20"/>
        </w:rPr>
        <w:t>uzasadnieniem</w:t>
      </w:r>
      <w:proofErr w:type="spellEnd"/>
      <w:r>
        <w:rPr>
          <w:sz w:val="20"/>
        </w:rPr>
        <w:t xml:space="preserve"> (</w:t>
      </w:r>
      <w:proofErr w:type="spellStart"/>
      <w:r>
        <w:rPr>
          <w:sz w:val="20"/>
        </w:rPr>
        <w:t>naruszenie</w:t>
      </w:r>
      <w:proofErr w:type="spellEnd"/>
      <w:r>
        <w:rPr>
          <w:sz w:val="20"/>
        </w:rPr>
        <w:t>).</w:t>
      </w:r>
    </w:p>
    <w:p w14:paraId="01F561BE" w14:textId="77777777" w:rsidR="004D1679" w:rsidRDefault="004D1679">
      <w:pPr>
        <w:pStyle w:val="Akapitzlist"/>
        <w:jc w:val="both"/>
        <w:rPr>
          <w:rFonts w:ascii="Arial" w:hAnsi="Arial"/>
        </w:rPr>
        <w:sectPr w:rsidR="004D1679">
          <w:pgSz w:w="11910" w:h="16840"/>
          <w:pgMar w:top="1080" w:right="708" w:bottom="860" w:left="708" w:header="698" w:footer="677" w:gutter="0"/>
          <w:cols w:space="708"/>
        </w:sectPr>
      </w:pPr>
    </w:p>
    <w:p w14:paraId="3DB35BA3" w14:textId="77777777" w:rsidR="004D1679" w:rsidRDefault="004D1679">
      <w:pPr>
        <w:pStyle w:val="Tekstpodstawowy"/>
        <w:spacing w:before="0"/>
        <w:ind w:left="0" w:right="0" w:firstLine="0"/>
        <w:jc w:val="left"/>
      </w:pPr>
    </w:p>
    <w:p w14:paraId="24CF5D1A" w14:textId="77777777" w:rsidR="004D1679" w:rsidRDefault="004D1679">
      <w:pPr>
        <w:pStyle w:val="Tekstpodstawowy"/>
        <w:spacing w:before="0"/>
        <w:ind w:left="0" w:right="0" w:firstLine="0"/>
        <w:jc w:val="left"/>
      </w:pPr>
    </w:p>
    <w:p w14:paraId="4233739B" w14:textId="37CBCCF3" w:rsidR="004D1679" w:rsidRDefault="004D1679">
      <w:pPr>
        <w:pStyle w:val="Akapitzlist"/>
        <w:numPr>
          <w:ilvl w:val="0"/>
          <w:numId w:val="1"/>
        </w:numPr>
        <w:tabs>
          <w:tab w:val="left" w:pos="1583"/>
        </w:tabs>
        <w:spacing w:before="0"/>
        <w:ind w:right="729" w:hanging="284"/>
        <w:jc w:val="both"/>
        <w:rPr>
          <w:rFonts w:ascii="Arial" w:hAnsi="Arial"/>
          <w:color w:val="0072BC"/>
        </w:rPr>
      </w:pPr>
      <w:hyperlink r:id="rId57">
        <w:r>
          <w:rPr>
            <w:i/>
            <w:color w:val="0072BC"/>
            <w:sz w:val="20"/>
          </w:rPr>
          <w:t xml:space="preserve">Lorenzo Bragado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2023</w:t>
      </w:r>
      <w:r w:rsidR="002C6BC6">
        <w:rPr>
          <w:sz w:val="20"/>
        </w:rPr>
        <w:t xml:space="preserve"> r.</w:t>
      </w:r>
      <w:r>
        <w:rPr>
          <w:sz w:val="20"/>
        </w:rPr>
        <w:t xml:space="preserve">: </w:t>
      </w:r>
      <w:proofErr w:type="spellStart"/>
      <w:r w:rsidRPr="000C4EB9">
        <w:rPr>
          <w:sz w:val="20"/>
        </w:rPr>
        <w:t>Oddalenie</w:t>
      </w:r>
      <w:proofErr w:type="spellEnd"/>
      <w:r>
        <w:rPr>
          <w:sz w:val="20"/>
        </w:rPr>
        <w:t xml:space="preserve"> </w:t>
      </w:r>
      <w:proofErr w:type="spellStart"/>
      <w:r>
        <w:rPr>
          <w:sz w:val="20"/>
        </w:rPr>
        <w:t>skargi</w:t>
      </w:r>
      <w:proofErr w:type="spellEnd"/>
      <w:r>
        <w:rPr>
          <w:sz w:val="20"/>
        </w:rPr>
        <w:t xml:space="preserve"> amparo, </w:t>
      </w:r>
      <w:proofErr w:type="spellStart"/>
      <w:r>
        <w:rPr>
          <w:sz w:val="20"/>
        </w:rPr>
        <w:t>jako</w:t>
      </w:r>
      <w:proofErr w:type="spellEnd"/>
      <w:r>
        <w:rPr>
          <w:sz w:val="20"/>
        </w:rPr>
        <w:t xml:space="preserve"> </w:t>
      </w:r>
      <w:proofErr w:type="spellStart"/>
      <w:r>
        <w:rPr>
          <w:sz w:val="20"/>
        </w:rPr>
        <w:t>wniesionej</w:t>
      </w:r>
      <w:proofErr w:type="spellEnd"/>
      <w:r>
        <w:rPr>
          <w:sz w:val="20"/>
        </w:rPr>
        <w:t xml:space="preserve"> po </w:t>
      </w:r>
      <w:proofErr w:type="spellStart"/>
      <w:r>
        <w:rPr>
          <w:sz w:val="20"/>
        </w:rPr>
        <w:t>terminie</w:t>
      </w:r>
      <w:proofErr w:type="spellEnd"/>
      <w:r>
        <w:rPr>
          <w:sz w:val="20"/>
        </w:rPr>
        <w:t xml:space="preserve"> </w:t>
      </w:r>
      <w:proofErr w:type="spellStart"/>
      <w:r>
        <w:rPr>
          <w:sz w:val="20"/>
        </w:rPr>
        <w:t>i</w:t>
      </w:r>
      <w:proofErr w:type="spellEnd"/>
      <w:r>
        <w:rPr>
          <w:sz w:val="20"/>
        </w:rPr>
        <w:t xml:space="preserve"> bez </w:t>
      </w:r>
      <w:proofErr w:type="spellStart"/>
      <w:r>
        <w:rPr>
          <w:sz w:val="20"/>
        </w:rPr>
        <w:t>zbadania</w:t>
      </w:r>
      <w:proofErr w:type="spellEnd"/>
      <w:r>
        <w:rPr>
          <w:sz w:val="20"/>
        </w:rPr>
        <w:t xml:space="preserve"> </w:t>
      </w:r>
      <w:proofErr w:type="spellStart"/>
      <w:r>
        <w:rPr>
          <w:sz w:val="20"/>
        </w:rPr>
        <w:t>istoty</w:t>
      </w:r>
      <w:proofErr w:type="spellEnd"/>
      <w:r>
        <w:rPr>
          <w:sz w:val="20"/>
        </w:rPr>
        <w:t xml:space="preserve"> </w:t>
      </w:r>
      <w:proofErr w:type="spellStart"/>
      <w:r>
        <w:rPr>
          <w:sz w:val="20"/>
        </w:rPr>
        <w:t>sprawy</w:t>
      </w:r>
      <w:proofErr w:type="spellEnd"/>
      <w:r>
        <w:rPr>
          <w:sz w:val="20"/>
        </w:rPr>
        <w:t xml:space="preserve">, </w:t>
      </w:r>
      <w:proofErr w:type="spellStart"/>
      <w:r>
        <w:rPr>
          <w:sz w:val="20"/>
        </w:rPr>
        <w:t>przeciwko</w:t>
      </w:r>
      <w:proofErr w:type="spellEnd"/>
      <w:r>
        <w:rPr>
          <w:sz w:val="20"/>
        </w:rPr>
        <w:t xml:space="preserve"> </w:t>
      </w:r>
      <w:proofErr w:type="spellStart"/>
      <w:r>
        <w:rPr>
          <w:sz w:val="20"/>
        </w:rPr>
        <w:t>nieprzeprowadzeniu</w:t>
      </w:r>
      <w:proofErr w:type="spellEnd"/>
      <w:r>
        <w:rPr>
          <w:sz w:val="20"/>
        </w:rPr>
        <w:t xml:space="preserve"> </w:t>
      </w:r>
      <w:proofErr w:type="spellStart"/>
      <w:r>
        <w:rPr>
          <w:sz w:val="20"/>
        </w:rPr>
        <w:t>przez</w:t>
      </w:r>
      <w:proofErr w:type="spellEnd"/>
      <w:r>
        <w:rPr>
          <w:sz w:val="20"/>
        </w:rPr>
        <w:t xml:space="preserve"> </w:t>
      </w:r>
      <w:proofErr w:type="spellStart"/>
      <w:r>
        <w:rPr>
          <w:sz w:val="20"/>
        </w:rPr>
        <w:t>Parlament</w:t>
      </w:r>
      <w:proofErr w:type="spellEnd"/>
      <w:r>
        <w:rPr>
          <w:sz w:val="20"/>
        </w:rPr>
        <w:t xml:space="preserve"> </w:t>
      </w:r>
      <w:proofErr w:type="spellStart"/>
      <w:r>
        <w:rPr>
          <w:sz w:val="20"/>
        </w:rPr>
        <w:t>procedury</w:t>
      </w:r>
      <w:proofErr w:type="spellEnd"/>
      <w:r>
        <w:rPr>
          <w:sz w:val="20"/>
        </w:rPr>
        <w:t xml:space="preserve"> </w:t>
      </w:r>
      <w:proofErr w:type="spellStart"/>
      <w:r>
        <w:rPr>
          <w:sz w:val="20"/>
        </w:rPr>
        <w:t>powołania</w:t>
      </w:r>
      <w:proofErr w:type="spellEnd"/>
      <w:r>
        <w:rPr>
          <w:sz w:val="20"/>
        </w:rPr>
        <w:t xml:space="preserve"> </w:t>
      </w:r>
      <w:proofErr w:type="spellStart"/>
      <w:r>
        <w:rPr>
          <w:sz w:val="20"/>
        </w:rPr>
        <w:t>nowej</w:t>
      </w:r>
      <w:proofErr w:type="spellEnd"/>
      <w:r>
        <w:rPr>
          <w:sz w:val="20"/>
        </w:rPr>
        <w:t xml:space="preserve"> Rady </w:t>
      </w:r>
      <w:proofErr w:type="spellStart"/>
      <w:r>
        <w:rPr>
          <w:sz w:val="20"/>
        </w:rPr>
        <w:t>Generalnej</w:t>
      </w:r>
      <w:proofErr w:type="spellEnd"/>
      <w:r>
        <w:rPr>
          <w:sz w:val="20"/>
        </w:rPr>
        <w:t xml:space="preserve"> </w:t>
      </w:r>
      <w:proofErr w:type="spellStart"/>
      <w:r>
        <w:rPr>
          <w:sz w:val="20"/>
        </w:rPr>
        <w:t>Sądownictwa</w:t>
      </w:r>
      <w:proofErr w:type="spellEnd"/>
      <w:r>
        <w:rPr>
          <w:sz w:val="20"/>
        </w:rPr>
        <w:t xml:space="preserve"> </w:t>
      </w:r>
      <w:proofErr w:type="spellStart"/>
      <w:r>
        <w:rPr>
          <w:sz w:val="20"/>
        </w:rPr>
        <w:t>przez</w:t>
      </w:r>
      <w:proofErr w:type="spellEnd"/>
      <w:r>
        <w:rPr>
          <w:sz w:val="20"/>
        </w:rPr>
        <w:t xml:space="preserve"> </w:t>
      </w:r>
      <w:proofErr w:type="spellStart"/>
      <w:r>
        <w:rPr>
          <w:sz w:val="20"/>
        </w:rPr>
        <w:t>sędziów</w:t>
      </w:r>
      <w:proofErr w:type="spellEnd"/>
      <w:r>
        <w:rPr>
          <w:sz w:val="20"/>
        </w:rPr>
        <w:t xml:space="preserve"> z </w:t>
      </w:r>
      <w:proofErr w:type="spellStart"/>
      <w:r>
        <w:rPr>
          <w:sz w:val="20"/>
        </w:rPr>
        <w:t>ostatecznej</w:t>
      </w:r>
      <w:proofErr w:type="spellEnd"/>
      <w:r>
        <w:rPr>
          <w:sz w:val="20"/>
        </w:rPr>
        <w:t xml:space="preserve"> </w:t>
      </w:r>
      <w:proofErr w:type="spellStart"/>
      <w:r>
        <w:rPr>
          <w:sz w:val="20"/>
        </w:rPr>
        <w:t>listy</w:t>
      </w:r>
      <w:proofErr w:type="spellEnd"/>
      <w:r>
        <w:rPr>
          <w:sz w:val="20"/>
        </w:rPr>
        <w:t xml:space="preserve"> </w:t>
      </w:r>
      <w:proofErr w:type="spellStart"/>
      <w:r>
        <w:rPr>
          <w:sz w:val="20"/>
        </w:rPr>
        <w:t>kandydatów</w:t>
      </w:r>
      <w:proofErr w:type="spellEnd"/>
      <w:r>
        <w:rPr>
          <w:sz w:val="20"/>
        </w:rPr>
        <w:t xml:space="preserve"> (</w:t>
      </w:r>
      <w:proofErr w:type="spellStart"/>
      <w:r>
        <w:rPr>
          <w:sz w:val="20"/>
        </w:rPr>
        <w:t>naruszenie</w:t>
      </w:r>
      <w:proofErr w:type="spellEnd"/>
      <w:r>
        <w:rPr>
          <w:sz w:val="20"/>
        </w:rPr>
        <w:t>).</w:t>
      </w:r>
    </w:p>
    <w:p w14:paraId="4AE6CDE3" w14:textId="2CA3D4E9" w:rsidR="004D1679" w:rsidRDefault="004D1679">
      <w:pPr>
        <w:pStyle w:val="Akapitzlist"/>
        <w:numPr>
          <w:ilvl w:val="0"/>
          <w:numId w:val="1"/>
        </w:numPr>
        <w:tabs>
          <w:tab w:val="left" w:pos="1583"/>
        </w:tabs>
        <w:ind w:right="729" w:hanging="284"/>
        <w:jc w:val="both"/>
        <w:rPr>
          <w:rFonts w:ascii="Arial" w:hAnsi="Arial"/>
          <w:color w:val="0072BC"/>
        </w:rPr>
      </w:pPr>
      <w:hyperlink r:id="rId58">
        <w:r>
          <w:rPr>
            <w:i/>
            <w:color w:val="0072BC"/>
            <w:sz w:val="20"/>
          </w:rPr>
          <w:t xml:space="preserve">Jarre </w:t>
        </w:r>
        <w:proofErr w:type="spellStart"/>
        <w:r>
          <w:rPr>
            <w:i/>
            <w:color w:val="0072BC"/>
            <w:sz w:val="20"/>
          </w:rPr>
          <w:t>przeciwko</w:t>
        </w:r>
        <w:proofErr w:type="spellEnd"/>
        <w:r>
          <w:rPr>
            <w:i/>
            <w:color w:val="0072BC"/>
            <w:sz w:val="20"/>
          </w:rPr>
          <w:t xml:space="preserve"> </w:t>
        </w:r>
        <w:proofErr w:type="spellStart"/>
        <w:r>
          <w:rPr>
            <w:i/>
            <w:color w:val="0072BC"/>
            <w:sz w:val="20"/>
          </w:rPr>
          <w:t>Francji</w:t>
        </w:r>
        <w:proofErr w:type="spellEnd"/>
      </w:hyperlink>
      <w:r>
        <w:rPr>
          <w:sz w:val="20"/>
        </w:rPr>
        <w:t>, 2023</w:t>
      </w:r>
      <w:r w:rsidR="002C6BC6">
        <w:rPr>
          <w:sz w:val="20"/>
        </w:rPr>
        <w:t xml:space="preserve"> r.</w:t>
      </w:r>
      <w:r>
        <w:rPr>
          <w:sz w:val="20"/>
        </w:rPr>
        <w:t xml:space="preserve">: </w:t>
      </w:r>
      <w:proofErr w:type="spellStart"/>
      <w:r w:rsidRPr="003D0CE1">
        <w:rPr>
          <w:sz w:val="20"/>
        </w:rPr>
        <w:t>skarga</w:t>
      </w:r>
      <w:proofErr w:type="spellEnd"/>
      <w:r w:rsidRPr="003D0CE1">
        <w:rPr>
          <w:sz w:val="20"/>
        </w:rPr>
        <w:t xml:space="preserve"> </w:t>
      </w:r>
      <w:proofErr w:type="spellStart"/>
      <w:r w:rsidRPr="003D0CE1">
        <w:rPr>
          <w:sz w:val="20"/>
        </w:rPr>
        <w:t>skarżących</w:t>
      </w:r>
      <w:proofErr w:type="spellEnd"/>
      <w:r w:rsidR="000C4EB9" w:rsidRPr="003D0CE1">
        <w:rPr>
          <w:sz w:val="20"/>
        </w:rPr>
        <w:t xml:space="preserve"> </w:t>
      </w:r>
      <w:proofErr w:type="spellStart"/>
      <w:r w:rsidR="000C4EB9">
        <w:rPr>
          <w:sz w:val="20"/>
        </w:rPr>
        <w:t>została</w:t>
      </w:r>
      <w:proofErr w:type="spellEnd"/>
      <w:r>
        <w:rPr>
          <w:sz w:val="20"/>
        </w:rPr>
        <w:t xml:space="preserve"> </w:t>
      </w:r>
      <w:proofErr w:type="spellStart"/>
      <w:r>
        <w:rPr>
          <w:sz w:val="20"/>
        </w:rPr>
        <w:t>oddalona</w:t>
      </w:r>
      <w:proofErr w:type="spellEnd"/>
      <w:r>
        <w:rPr>
          <w:sz w:val="20"/>
        </w:rPr>
        <w:t xml:space="preserve"> w </w:t>
      </w:r>
      <w:proofErr w:type="spellStart"/>
      <w:r>
        <w:rPr>
          <w:sz w:val="20"/>
        </w:rPr>
        <w:t>następstwie</w:t>
      </w:r>
      <w:proofErr w:type="spellEnd"/>
      <w:r>
        <w:rPr>
          <w:sz w:val="20"/>
        </w:rPr>
        <w:t xml:space="preserve"> </w:t>
      </w:r>
      <w:proofErr w:type="spellStart"/>
      <w:r>
        <w:rPr>
          <w:sz w:val="20"/>
        </w:rPr>
        <w:t>decyzji</w:t>
      </w:r>
      <w:proofErr w:type="spellEnd"/>
      <w:r>
        <w:rPr>
          <w:sz w:val="20"/>
        </w:rPr>
        <w:t xml:space="preserve"> Rady </w:t>
      </w:r>
      <w:proofErr w:type="spellStart"/>
      <w:r>
        <w:rPr>
          <w:sz w:val="20"/>
        </w:rPr>
        <w:t>Konstytucyjnej</w:t>
      </w:r>
      <w:proofErr w:type="spellEnd"/>
      <w:r>
        <w:rPr>
          <w:sz w:val="20"/>
        </w:rPr>
        <w:t xml:space="preserve"> </w:t>
      </w:r>
      <w:proofErr w:type="spellStart"/>
      <w:r w:rsidR="00181FB5">
        <w:rPr>
          <w:sz w:val="20"/>
        </w:rPr>
        <w:t>która</w:t>
      </w:r>
      <w:proofErr w:type="spellEnd"/>
      <w:r w:rsidR="00181FB5">
        <w:rPr>
          <w:sz w:val="20"/>
        </w:rPr>
        <w:t xml:space="preserve"> </w:t>
      </w:r>
      <w:proofErr w:type="spellStart"/>
      <w:r w:rsidR="00181FB5">
        <w:rPr>
          <w:sz w:val="20"/>
        </w:rPr>
        <w:t>uchyliła</w:t>
      </w:r>
      <w:proofErr w:type="spellEnd"/>
      <w:r>
        <w:rPr>
          <w:sz w:val="20"/>
        </w:rPr>
        <w:t xml:space="preserve">, w </w:t>
      </w:r>
      <w:proofErr w:type="spellStart"/>
      <w:r>
        <w:rPr>
          <w:sz w:val="20"/>
        </w:rPr>
        <w:t>toku</w:t>
      </w:r>
      <w:proofErr w:type="spellEnd"/>
      <w:r>
        <w:rPr>
          <w:sz w:val="20"/>
        </w:rPr>
        <w:t xml:space="preserve"> </w:t>
      </w:r>
      <w:proofErr w:type="spellStart"/>
      <w:r>
        <w:rPr>
          <w:sz w:val="20"/>
        </w:rPr>
        <w:t>postępowania</w:t>
      </w:r>
      <w:proofErr w:type="spellEnd"/>
      <w:r>
        <w:rPr>
          <w:sz w:val="20"/>
        </w:rPr>
        <w:t xml:space="preserve">, </w:t>
      </w:r>
      <w:proofErr w:type="spellStart"/>
      <w:r>
        <w:rPr>
          <w:sz w:val="20"/>
        </w:rPr>
        <w:t>przepis</w:t>
      </w:r>
      <w:proofErr w:type="spellEnd"/>
      <w:r>
        <w:rPr>
          <w:sz w:val="20"/>
        </w:rPr>
        <w:t xml:space="preserve"> </w:t>
      </w:r>
      <w:proofErr w:type="spellStart"/>
      <w:r>
        <w:rPr>
          <w:sz w:val="20"/>
        </w:rPr>
        <w:t>stanowiący</w:t>
      </w:r>
      <w:proofErr w:type="spellEnd"/>
      <w:r>
        <w:rPr>
          <w:sz w:val="20"/>
        </w:rPr>
        <w:t xml:space="preserve"> </w:t>
      </w:r>
      <w:proofErr w:type="spellStart"/>
      <w:r>
        <w:rPr>
          <w:sz w:val="20"/>
        </w:rPr>
        <w:t>podstawę</w:t>
      </w:r>
      <w:proofErr w:type="spellEnd"/>
      <w:r>
        <w:rPr>
          <w:sz w:val="20"/>
        </w:rPr>
        <w:t xml:space="preserve"> </w:t>
      </w:r>
      <w:proofErr w:type="spellStart"/>
      <w:r>
        <w:rPr>
          <w:sz w:val="20"/>
        </w:rPr>
        <w:t>prawną</w:t>
      </w:r>
      <w:proofErr w:type="spellEnd"/>
      <w:r>
        <w:rPr>
          <w:sz w:val="20"/>
        </w:rPr>
        <w:t xml:space="preserve"> </w:t>
      </w:r>
      <w:proofErr w:type="spellStart"/>
      <w:r>
        <w:rPr>
          <w:sz w:val="20"/>
        </w:rPr>
        <w:t>roszczenia</w:t>
      </w:r>
      <w:proofErr w:type="spellEnd"/>
      <w:r>
        <w:rPr>
          <w:sz w:val="20"/>
        </w:rPr>
        <w:t xml:space="preserve"> </w:t>
      </w:r>
      <w:proofErr w:type="spellStart"/>
      <w:r>
        <w:rPr>
          <w:sz w:val="20"/>
        </w:rPr>
        <w:t>skarżących</w:t>
      </w:r>
      <w:proofErr w:type="spellEnd"/>
      <w:r>
        <w:rPr>
          <w:sz w:val="20"/>
        </w:rPr>
        <w:t xml:space="preserve"> (</w:t>
      </w:r>
      <w:proofErr w:type="spellStart"/>
      <w:r>
        <w:rPr>
          <w:sz w:val="20"/>
        </w:rPr>
        <w:t>brak</w:t>
      </w:r>
      <w:proofErr w:type="spellEnd"/>
      <w:r>
        <w:rPr>
          <w:sz w:val="20"/>
        </w:rPr>
        <w:t xml:space="preserve"> </w:t>
      </w:r>
      <w:proofErr w:type="spellStart"/>
      <w:r>
        <w:rPr>
          <w:sz w:val="20"/>
        </w:rPr>
        <w:t>naruszenia</w:t>
      </w:r>
      <w:proofErr w:type="spellEnd"/>
      <w:r>
        <w:rPr>
          <w:sz w:val="20"/>
        </w:rPr>
        <w:t>).</w:t>
      </w:r>
    </w:p>
    <w:p w14:paraId="1375495F" w14:textId="44AFE606" w:rsidR="004D1679" w:rsidRDefault="00A850CC">
      <w:pPr>
        <w:pStyle w:val="Akapitzlist"/>
        <w:numPr>
          <w:ilvl w:val="0"/>
          <w:numId w:val="1"/>
        </w:numPr>
        <w:tabs>
          <w:tab w:val="left" w:pos="1583"/>
        </w:tabs>
        <w:ind w:right="729" w:hanging="284"/>
        <w:jc w:val="both"/>
        <w:rPr>
          <w:rFonts w:ascii="Arial" w:hAnsi="Arial"/>
          <w:color w:val="0072BC"/>
        </w:rPr>
      </w:pPr>
      <w:hyperlink r:id="rId59">
        <w:proofErr w:type="spellStart"/>
        <w:r>
          <w:rPr>
            <w:i/>
            <w:color w:val="0072BC"/>
            <w:sz w:val="20"/>
          </w:rPr>
          <w:t>Gyulumyan</w:t>
        </w:r>
        <w:proofErr w:type="spellEnd"/>
        <w:r>
          <w:rPr>
            <w:i/>
            <w:color w:val="0072BC"/>
            <w:sz w:val="20"/>
          </w:rPr>
          <w:t xml:space="preserve">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Armenii</w:t>
        </w:r>
        <w:proofErr w:type="spellEnd"/>
      </w:hyperlink>
      <w:r w:rsidR="004D1679">
        <w:rPr>
          <w:sz w:val="20"/>
        </w:rPr>
        <w:t xml:space="preserve"> (dec.), 2023</w:t>
      </w:r>
      <w:r w:rsidR="002C6BC6">
        <w:rPr>
          <w:sz w:val="20"/>
        </w:rPr>
        <w:t xml:space="preserve"> r.</w:t>
      </w:r>
      <w:r w:rsidR="004D1679">
        <w:rPr>
          <w:sz w:val="20"/>
        </w:rPr>
        <w:t xml:space="preserve">: </w:t>
      </w:r>
      <w:proofErr w:type="spellStart"/>
      <w:r w:rsidR="004D1679">
        <w:rPr>
          <w:sz w:val="20"/>
        </w:rPr>
        <w:t>zakończenie</w:t>
      </w:r>
      <w:proofErr w:type="spellEnd"/>
      <w:r w:rsidR="004D1679">
        <w:rPr>
          <w:sz w:val="20"/>
        </w:rPr>
        <w:t xml:space="preserve"> </w:t>
      </w:r>
      <w:proofErr w:type="spellStart"/>
      <w:r w:rsidR="004D1679">
        <w:rPr>
          <w:sz w:val="20"/>
        </w:rPr>
        <w:t>kadencji</w:t>
      </w:r>
      <w:proofErr w:type="spellEnd"/>
      <w:r w:rsidR="004D1679">
        <w:rPr>
          <w:sz w:val="20"/>
        </w:rPr>
        <w:t xml:space="preserve"> </w:t>
      </w:r>
      <w:proofErr w:type="spellStart"/>
      <w:r w:rsidR="004D1679">
        <w:rPr>
          <w:sz w:val="20"/>
        </w:rPr>
        <w:t>sędziów</w:t>
      </w:r>
      <w:proofErr w:type="spellEnd"/>
      <w:r w:rsidR="004D1679">
        <w:rPr>
          <w:sz w:val="20"/>
        </w:rPr>
        <w:t xml:space="preserve"> </w:t>
      </w:r>
      <w:proofErr w:type="spellStart"/>
      <w:r w:rsidR="004D1679">
        <w:rPr>
          <w:sz w:val="20"/>
        </w:rPr>
        <w:t>Trybunału</w:t>
      </w:r>
      <w:proofErr w:type="spellEnd"/>
      <w:r w:rsidR="004D1679">
        <w:rPr>
          <w:sz w:val="20"/>
        </w:rPr>
        <w:t xml:space="preserve"> </w:t>
      </w:r>
      <w:proofErr w:type="spellStart"/>
      <w:r w:rsidR="004D1679">
        <w:rPr>
          <w:sz w:val="20"/>
        </w:rPr>
        <w:t>Konstytucyjnego</w:t>
      </w:r>
      <w:proofErr w:type="spellEnd"/>
      <w:r w:rsidR="004D1679">
        <w:rPr>
          <w:sz w:val="20"/>
        </w:rPr>
        <w:t xml:space="preserve"> </w:t>
      </w:r>
      <w:proofErr w:type="spellStart"/>
      <w:r w:rsidR="004D1679">
        <w:rPr>
          <w:sz w:val="20"/>
        </w:rPr>
        <w:t>i</w:t>
      </w:r>
      <w:proofErr w:type="spellEnd"/>
      <w:r w:rsidR="004D1679">
        <w:rPr>
          <w:sz w:val="20"/>
        </w:rPr>
        <w:t xml:space="preserve"> </w:t>
      </w:r>
      <w:proofErr w:type="spellStart"/>
      <w:r w:rsidR="006131FF" w:rsidRPr="009E35EA">
        <w:rPr>
          <w:color w:val="000000" w:themeColor="text1"/>
          <w:sz w:val="20"/>
        </w:rPr>
        <w:t>P</w:t>
      </w:r>
      <w:r w:rsidR="006131FF">
        <w:rPr>
          <w:sz w:val="20"/>
        </w:rPr>
        <w:t>rezydenta</w:t>
      </w:r>
      <w:proofErr w:type="spellEnd"/>
      <w:r w:rsidR="004D1679">
        <w:rPr>
          <w:sz w:val="20"/>
        </w:rPr>
        <w:t xml:space="preserve">, </w:t>
      </w:r>
      <w:proofErr w:type="spellStart"/>
      <w:r w:rsidR="004D1679">
        <w:rPr>
          <w:sz w:val="20"/>
        </w:rPr>
        <w:t>powołanych</w:t>
      </w:r>
      <w:proofErr w:type="spellEnd"/>
      <w:r w:rsidR="004D1679">
        <w:rPr>
          <w:sz w:val="20"/>
        </w:rPr>
        <w:t xml:space="preserve"> </w:t>
      </w:r>
      <w:proofErr w:type="spellStart"/>
      <w:r w:rsidR="004D1679">
        <w:rPr>
          <w:sz w:val="20"/>
        </w:rPr>
        <w:t>na</w:t>
      </w:r>
      <w:proofErr w:type="spellEnd"/>
      <w:r w:rsidR="004D1679">
        <w:rPr>
          <w:sz w:val="20"/>
        </w:rPr>
        <w:t xml:space="preserve"> </w:t>
      </w:r>
      <w:proofErr w:type="spellStart"/>
      <w:r w:rsidR="004D1679">
        <w:rPr>
          <w:sz w:val="20"/>
        </w:rPr>
        <w:t>dożywotnią</w:t>
      </w:r>
      <w:proofErr w:type="spellEnd"/>
      <w:r w:rsidR="004D1679">
        <w:rPr>
          <w:sz w:val="20"/>
        </w:rPr>
        <w:t xml:space="preserve"> </w:t>
      </w:r>
      <w:proofErr w:type="spellStart"/>
      <w:r w:rsidR="004D1679">
        <w:rPr>
          <w:sz w:val="20"/>
        </w:rPr>
        <w:t>kadencję</w:t>
      </w:r>
      <w:proofErr w:type="spellEnd"/>
      <w:r w:rsidR="004D1679">
        <w:rPr>
          <w:sz w:val="20"/>
        </w:rPr>
        <w:t xml:space="preserve">, </w:t>
      </w:r>
      <w:proofErr w:type="spellStart"/>
      <w:r w:rsidR="004D1679">
        <w:rPr>
          <w:sz w:val="20"/>
        </w:rPr>
        <w:t>poprzez</w:t>
      </w:r>
      <w:proofErr w:type="spellEnd"/>
      <w:r w:rsidR="004D1679">
        <w:rPr>
          <w:sz w:val="20"/>
        </w:rPr>
        <w:t xml:space="preserve"> </w:t>
      </w:r>
      <w:proofErr w:type="spellStart"/>
      <w:r w:rsidR="004D1679">
        <w:rPr>
          <w:sz w:val="20"/>
        </w:rPr>
        <w:t>zmiany</w:t>
      </w:r>
      <w:proofErr w:type="spellEnd"/>
      <w:r w:rsidR="004D1679">
        <w:rPr>
          <w:sz w:val="20"/>
        </w:rPr>
        <w:t xml:space="preserve"> </w:t>
      </w:r>
      <w:proofErr w:type="spellStart"/>
      <w:r w:rsidR="004D1679">
        <w:rPr>
          <w:sz w:val="20"/>
        </w:rPr>
        <w:t>konstytuc</w:t>
      </w:r>
      <w:r w:rsidR="006131FF">
        <w:rPr>
          <w:sz w:val="20"/>
        </w:rPr>
        <w:t>yjne</w:t>
      </w:r>
      <w:proofErr w:type="spellEnd"/>
      <w:r w:rsidR="00996B0A">
        <w:rPr>
          <w:sz w:val="20"/>
        </w:rPr>
        <w:t xml:space="preserve"> </w:t>
      </w:r>
      <w:proofErr w:type="spellStart"/>
      <w:r w:rsidR="004D1679">
        <w:rPr>
          <w:sz w:val="20"/>
        </w:rPr>
        <w:t>niepodlegające</w:t>
      </w:r>
      <w:proofErr w:type="spellEnd"/>
      <w:r w:rsidR="004D1679">
        <w:rPr>
          <w:sz w:val="20"/>
        </w:rPr>
        <w:t xml:space="preserve"> </w:t>
      </w:r>
      <w:proofErr w:type="spellStart"/>
      <w:r w:rsidR="004D1679">
        <w:rPr>
          <w:sz w:val="20"/>
        </w:rPr>
        <w:t>kontroli</w:t>
      </w:r>
      <w:proofErr w:type="spellEnd"/>
      <w:r w:rsidR="004D1679">
        <w:rPr>
          <w:sz w:val="20"/>
        </w:rPr>
        <w:t xml:space="preserve"> </w:t>
      </w:r>
      <w:proofErr w:type="spellStart"/>
      <w:r w:rsidR="004D1679">
        <w:rPr>
          <w:sz w:val="20"/>
        </w:rPr>
        <w:t>sądowej</w:t>
      </w:r>
      <w:proofErr w:type="spellEnd"/>
      <w:r w:rsidR="004D1679">
        <w:rPr>
          <w:sz w:val="20"/>
        </w:rPr>
        <w:t xml:space="preserve"> (</w:t>
      </w:r>
      <w:proofErr w:type="spellStart"/>
      <w:r w:rsidR="004D1679">
        <w:rPr>
          <w:sz w:val="20"/>
        </w:rPr>
        <w:t>niedopuszczaln</w:t>
      </w:r>
      <w:r w:rsidR="00181FB5">
        <w:rPr>
          <w:sz w:val="20"/>
        </w:rPr>
        <w:t>ość</w:t>
      </w:r>
      <w:proofErr w:type="spellEnd"/>
      <w:r w:rsidR="004D1679">
        <w:rPr>
          <w:sz w:val="20"/>
        </w:rPr>
        <w:t xml:space="preserve"> - </w:t>
      </w:r>
      <w:proofErr w:type="spellStart"/>
      <w:r w:rsidR="004D1679">
        <w:rPr>
          <w:sz w:val="20"/>
        </w:rPr>
        <w:t>niezgodn</w:t>
      </w:r>
      <w:r w:rsidR="00181FB5">
        <w:rPr>
          <w:sz w:val="20"/>
        </w:rPr>
        <w:t>a</w:t>
      </w:r>
      <w:proofErr w:type="spellEnd"/>
      <w:r w:rsidR="004D1679">
        <w:rPr>
          <w:sz w:val="20"/>
        </w:rPr>
        <w:t xml:space="preserve"> </w:t>
      </w:r>
      <w:r w:rsidR="004D1679">
        <w:rPr>
          <w:i/>
          <w:sz w:val="20"/>
        </w:rPr>
        <w:t xml:space="preserve">ratione </w:t>
      </w:r>
      <w:proofErr w:type="spellStart"/>
      <w:r w:rsidR="004D1679">
        <w:rPr>
          <w:i/>
          <w:spacing w:val="-2"/>
          <w:sz w:val="20"/>
        </w:rPr>
        <w:t>materiae</w:t>
      </w:r>
      <w:proofErr w:type="spellEnd"/>
      <w:r w:rsidR="004D1679">
        <w:rPr>
          <w:spacing w:val="-2"/>
          <w:sz w:val="20"/>
        </w:rPr>
        <w:t>).</w:t>
      </w:r>
    </w:p>
    <w:p w14:paraId="158C7511" w14:textId="77777777" w:rsidR="004D1679" w:rsidRDefault="00000000">
      <w:pPr>
        <w:pStyle w:val="Nagwek3"/>
      </w:pPr>
      <w:proofErr w:type="spellStart"/>
      <w:r>
        <w:rPr>
          <w:color w:val="2F2F2F"/>
          <w:spacing w:val="-2"/>
          <w:sz w:val="26"/>
        </w:rPr>
        <w:t>Bezstronność</w:t>
      </w:r>
      <w:proofErr w:type="spellEnd"/>
      <w:r>
        <w:rPr>
          <w:color w:val="2F2F2F"/>
          <w:spacing w:val="-2"/>
          <w:sz w:val="26"/>
        </w:rPr>
        <w:t>:</w:t>
      </w:r>
    </w:p>
    <w:p w14:paraId="4873BF74" w14:textId="7D33B2BF" w:rsidR="004D1679" w:rsidRDefault="004D1679">
      <w:pPr>
        <w:pStyle w:val="Akapitzlist"/>
        <w:numPr>
          <w:ilvl w:val="0"/>
          <w:numId w:val="1"/>
        </w:numPr>
        <w:tabs>
          <w:tab w:val="left" w:pos="1583"/>
        </w:tabs>
        <w:spacing w:before="76"/>
        <w:ind w:right="729" w:hanging="284"/>
        <w:jc w:val="both"/>
        <w:rPr>
          <w:rFonts w:ascii="Arial" w:hAnsi="Arial"/>
          <w:color w:val="0072BC"/>
        </w:rPr>
      </w:pPr>
      <w:hyperlink r:id="rId60">
        <w:r>
          <w:rPr>
            <w:i/>
            <w:color w:val="0072BC"/>
            <w:sz w:val="20"/>
          </w:rPr>
          <w:t xml:space="preserve">Steck-Risch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Liechtensteinowi</w:t>
        </w:r>
        <w:proofErr w:type="spellEnd"/>
      </w:hyperlink>
      <w:r>
        <w:rPr>
          <w:sz w:val="20"/>
        </w:rPr>
        <w:t>, 2005</w:t>
      </w:r>
      <w:r w:rsidR="002C6BC6">
        <w:rPr>
          <w:sz w:val="20"/>
        </w:rPr>
        <w:t xml:space="preserve"> r.</w:t>
      </w:r>
      <w:r>
        <w:rPr>
          <w:sz w:val="20"/>
        </w:rPr>
        <w:t xml:space="preserve">: </w:t>
      </w:r>
      <w:proofErr w:type="spellStart"/>
      <w:r>
        <w:rPr>
          <w:sz w:val="20"/>
        </w:rPr>
        <w:t>Bezstronność</w:t>
      </w:r>
      <w:proofErr w:type="spellEnd"/>
      <w:r>
        <w:rPr>
          <w:sz w:val="20"/>
        </w:rPr>
        <w:t xml:space="preserve"> </w:t>
      </w:r>
      <w:proofErr w:type="spellStart"/>
      <w:r>
        <w:rPr>
          <w:sz w:val="20"/>
        </w:rPr>
        <w:t>sędziego</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 </w:t>
      </w:r>
      <w:proofErr w:type="spellStart"/>
      <w:r>
        <w:rPr>
          <w:sz w:val="20"/>
        </w:rPr>
        <w:t>małym</w:t>
      </w:r>
      <w:proofErr w:type="spellEnd"/>
      <w:r>
        <w:rPr>
          <w:sz w:val="20"/>
        </w:rPr>
        <w:t xml:space="preserve"> </w:t>
      </w:r>
      <w:proofErr w:type="spellStart"/>
      <w:r>
        <w:rPr>
          <w:sz w:val="20"/>
        </w:rPr>
        <w:t>kraju</w:t>
      </w:r>
      <w:proofErr w:type="spellEnd"/>
      <w:r>
        <w:rPr>
          <w:sz w:val="20"/>
        </w:rPr>
        <w:t xml:space="preserve">, w </w:t>
      </w:r>
      <w:proofErr w:type="spellStart"/>
      <w:r>
        <w:rPr>
          <w:sz w:val="20"/>
        </w:rPr>
        <w:t>którym</w:t>
      </w:r>
      <w:proofErr w:type="spellEnd"/>
      <w:r>
        <w:rPr>
          <w:sz w:val="20"/>
        </w:rPr>
        <w:t xml:space="preserve"> </w:t>
      </w:r>
      <w:proofErr w:type="spellStart"/>
      <w:r>
        <w:rPr>
          <w:sz w:val="20"/>
        </w:rPr>
        <w:t>sądownictwo</w:t>
      </w:r>
      <w:proofErr w:type="spellEnd"/>
      <w:r>
        <w:rPr>
          <w:sz w:val="20"/>
        </w:rPr>
        <w:t xml:space="preserve"> </w:t>
      </w:r>
      <w:proofErr w:type="spellStart"/>
      <w:r>
        <w:rPr>
          <w:sz w:val="20"/>
        </w:rPr>
        <w:t>działa</w:t>
      </w:r>
      <w:proofErr w:type="spellEnd"/>
      <w:r>
        <w:rPr>
          <w:sz w:val="20"/>
        </w:rPr>
        <w:t xml:space="preserve"> w </w:t>
      </w:r>
      <w:proofErr w:type="spellStart"/>
      <w:r>
        <w:rPr>
          <w:sz w:val="20"/>
        </w:rPr>
        <w:t>niepełnym</w:t>
      </w:r>
      <w:proofErr w:type="spellEnd"/>
      <w:r>
        <w:rPr>
          <w:sz w:val="20"/>
        </w:rPr>
        <w:t xml:space="preserve"> </w:t>
      </w:r>
      <w:proofErr w:type="spellStart"/>
      <w:r>
        <w:rPr>
          <w:sz w:val="20"/>
        </w:rPr>
        <w:t>wymiarze</w:t>
      </w:r>
      <w:proofErr w:type="spellEnd"/>
      <w:r>
        <w:rPr>
          <w:sz w:val="20"/>
        </w:rPr>
        <w:t xml:space="preserve"> </w:t>
      </w:r>
      <w:proofErr w:type="spellStart"/>
      <w:r>
        <w:rPr>
          <w:sz w:val="20"/>
        </w:rPr>
        <w:t>godzin</w:t>
      </w:r>
      <w:proofErr w:type="spellEnd"/>
      <w:r>
        <w:rPr>
          <w:sz w:val="20"/>
        </w:rPr>
        <w:t xml:space="preserve"> </w:t>
      </w:r>
      <w:proofErr w:type="spellStart"/>
      <w:r>
        <w:rPr>
          <w:sz w:val="20"/>
        </w:rPr>
        <w:t>i</w:t>
      </w:r>
      <w:proofErr w:type="spellEnd"/>
      <w:r>
        <w:rPr>
          <w:sz w:val="20"/>
        </w:rPr>
        <w:t xml:space="preserve"> w </w:t>
      </w:r>
      <w:proofErr w:type="spellStart"/>
      <w:r>
        <w:rPr>
          <w:sz w:val="20"/>
        </w:rPr>
        <w:t>którym</w:t>
      </w:r>
      <w:proofErr w:type="spellEnd"/>
      <w:r>
        <w:rPr>
          <w:sz w:val="20"/>
        </w:rPr>
        <w:t xml:space="preserve"> </w:t>
      </w:r>
      <w:proofErr w:type="spellStart"/>
      <w:r>
        <w:rPr>
          <w:sz w:val="20"/>
        </w:rPr>
        <w:t>te</w:t>
      </w:r>
      <w:proofErr w:type="spellEnd"/>
      <w:r>
        <w:rPr>
          <w:sz w:val="20"/>
        </w:rPr>
        <w:t xml:space="preserve"> same </w:t>
      </w:r>
      <w:proofErr w:type="spellStart"/>
      <w:r>
        <w:rPr>
          <w:sz w:val="20"/>
        </w:rPr>
        <w:t>osoby</w:t>
      </w:r>
      <w:proofErr w:type="spellEnd"/>
      <w:r>
        <w:rPr>
          <w:sz w:val="20"/>
        </w:rPr>
        <w:t xml:space="preserve"> </w:t>
      </w:r>
      <w:proofErr w:type="spellStart"/>
      <w:r>
        <w:rPr>
          <w:sz w:val="20"/>
        </w:rPr>
        <w:t>pełnią</w:t>
      </w:r>
      <w:proofErr w:type="spellEnd"/>
      <w:r>
        <w:rPr>
          <w:sz w:val="20"/>
        </w:rPr>
        <w:t xml:space="preserve"> </w:t>
      </w:r>
      <w:proofErr w:type="spellStart"/>
      <w:r>
        <w:rPr>
          <w:sz w:val="20"/>
        </w:rPr>
        <w:t>podwójne</w:t>
      </w:r>
      <w:proofErr w:type="spellEnd"/>
      <w:r>
        <w:rPr>
          <w:sz w:val="20"/>
        </w:rPr>
        <w:t xml:space="preserve"> </w:t>
      </w:r>
      <w:proofErr w:type="spellStart"/>
      <w:r>
        <w:rPr>
          <w:sz w:val="20"/>
        </w:rPr>
        <w:t>funkcje</w:t>
      </w:r>
      <w:proofErr w:type="spellEnd"/>
      <w:r>
        <w:rPr>
          <w:sz w:val="20"/>
        </w:rPr>
        <w:t xml:space="preserve"> </w:t>
      </w:r>
      <w:proofErr w:type="spellStart"/>
      <w:r>
        <w:rPr>
          <w:sz w:val="20"/>
        </w:rPr>
        <w:t>jako</w:t>
      </w:r>
      <w:proofErr w:type="spellEnd"/>
      <w:r>
        <w:rPr>
          <w:sz w:val="20"/>
        </w:rPr>
        <w:t xml:space="preserve"> </w:t>
      </w:r>
      <w:proofErr w:type="spellStart"/>
      <w:r>
        <w:rPr>
          <w:sz w:val="20"/>
        </w:rPr>
        <w:t>sędziowie</w:t>
      </w:r>
      <w:proofErr w:type="spellEnd"/>
      <w:r>
        <w:rPr>
          <w:sz w:val="20"/>
        </w:rPr>
        <w:t xml:space="preserve"> </w:t>
      </w:r>
      <w:proofErr w:type="spellStart"/>
      <w:r>
        <w:rPr>
          <w:sz w:val="20"/>
        </w:rPr>
        <w:t>i</w:t>
      </w:r>
      <w:proofErr w:type="spellEnd"/>
      <w:r>
        <w:rPr>
          <w:sz w:val="20"/>
        </w:rPr>
        <w:t xml:space="preserve"> </w:t>
      </w:r>
      <w:proofErr w:type="spellStart"/>
      <w:r>
        <w:rPr>
          <w:sz w:val="20"/>
        </w:rPr>
        <w:t>praktykujący</w:t>
      </w:r>
      <w:proofErr w:type="spellEnd"/>
      <w:r>
        <w:rPr>
          <w:sz w:val="20"/>
        </w:rPr>
        <w:t xml:space="preserve"> </w:t>
      </w:r>
      <w:proofErr w:type="spellStart"/>
      <w:r>
        <w:rPr>
          <w:sz w:val="20"/>
        </w:rPr>
        <w:t>prawnicy</w:t>
      </w:r>
      <w:proofErr w:type="spellEnd"/>
      <w:r>
        <w:rPr>
          <w:sz w:val="20"/>
        </w:rPr>
        <w:t xml:space="preserve"> (</w:t>
      </w:r>
      <w:proofErr w:type="spellStart"/>
      <w:r>
        <w:rPr>
          <w:sz w:val="20"/>
        </w:rPr>
        <w:t>brak</w:t>
      </w:r>
      <w:proofErr w:type="spellEnd"/>
      <w:r>
        <w:rPr>
          <w:sz w:val="20"/>
        </w:rPr>
        <w:t xml:space="preserve"> </w:t>
      </w:r>
      <w:proofErr w:type="spellStart"/>
      <w:r>
        <w:rPr>
          <w:sz w:val="20"/>
        </w:rPr>
        <w:t>naruszenia</w:t>
      </w:r>
      <w:proofErr w:type="spellEnd"/>
      <w:r>
        <w:rPr>
          <w:sz w:val="20"/>
        </w:rPr>
        <w:t>);</w:t>
      </w:r>
    </w:p>
    <w:p w14:paraId="1B849A69" w14:textId="1B82E75B" w:rsidR="004D1679" w:rsidRDefault="004D1679">
      <w:pPr>
        <w:pStyle w:val="Akapitzlist"/>
        <w:numPr>
          <w:ilvl w:val="0"/>
          <w:numId w:val="1"/>
        </w:numPr>
        <w:tabs>
          <w:tab w:val="left" w:pos="1583"/>
        </w:tabs>
        <w:ind w:right="728" w:hanging="284"/>
        <w:jc w:val="both"/>
        <w:rPr>
          <w:rFonts w:ascii="Arial" w:hAnsi="Arial"/>
          <w:color w:val="0072BC"/>
        </w:rPr>
      </w:pPr>
      <w:hyperlink r:id="rId61">
        <w:r>
          <w:rPr>
            <w:i/>
            <w:color w:val="0072BC"/>
            <w:sz w:val="20"/>
          </w:rPr>
          <w:t xml:space="preserve">Švarc </w:t>
        </w:r>
        <w:proofErr w:type="spellStart"/>
        <w:r>
          <w:rPr>
            <w:i/>
            <w:color w:val="0072BC"/>
            <w:sz w:val="20"/>
          </w:rPr>
          <w:t>i</w:t>
        </w:r>
        <w:proofErr w:type="spellEnd"/>
        <w:r>
          <w:rPr>
            <w:i/>
            <w:color w:val="0072BC"/>
            <w:sz w:val="20"/>
          </w:rPr>
          <w:t xml:space="preserve"> </w:t>
        </w:r>
        <w:proofErr w:type="spellStart"/>
        <w:r>
          <w:rPr>
            <w:i/>
            <w:color w:val="0072BC"/>
            <w:sz w:val="20"/>
          </w:rPr>
          <w:t>Kavnik</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Słowenii</w:t>
        </w:r>
        <w:proofErr w:type="spellEnd"/>
      </w:hyperlink>
      <w:r>
        <w:rPr>
          <w:sz w:val="20"/>
        </w:rPr>
        <w:t>, 2007</w:t>
      </w:r>
      <w:r w:rsidR="002C6BC6">
        <w:rPr>
          <w:sz w:val="20"/>
        </w:rPr>
        <w:t xml:space="preserve"> r.</w:t>
      </w:r>
      <w:r>
        <w:rPr>
          <w:sz w:val="20"/>
        </w:rPr>
        <w:t xml:space="preserve">: </w:t>
      </w:r>
      <w:proofErr w:type="spellStart"/>
      <w:r>
        <w:rPr>
          <w:sz w:val="20"/>
        </w:rPr>
        <w:t>Bezstronność</w:t>
      </w:r>
      <w:proofErr w:type="spellEnd"/>
      <w:r>
        <w:rPr>
          <w:sz w:val="20"/>
        </w:rPr>
        <w:t xml:space="preserve"> </w:t>
      </w:r>
      <w:proofErr w:type="spellStart"/>
      <w:r>
        <w:rPr>
          <w:sz w:val="20"/>
        </w:rPr>
        <w:t>sędziego</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który</w:t>
      </w:r>
      <w:proofErr w:type="spellEnd"/>
      <w:r>
        <w:rPr>
          <w:sz w:val="20"/>
        </w:rPr>
        <w:t xml:space="preserve"> </w:t>
      </w:r>
      <w:proofErr w:type="spellStart"/>
      <w:r>
        <w:rPr>
          <w:sz w:val="20"/>
        </w:rPr>
        <w:t>działał</w:t>
      </w:r>
      <w:proofErr w:type="spellEnd"/>
      <w:r>
        <w:rPr>
          <w:sz w:val="20"/>
        </w:rPr>
        <w:t xml:space="preserve"> </w:t>
      </w:r>
      <w:proofErr w:type="spellStart"/>
      <w:r>
        <w:rPr>
          <w:sz w:val="20"/>
        </w:rPr>
        <w:t>jako</w:t>
      </w:r>
      <w:proofErr w:type="spellEnd"/>
      <w:r>
        <w:rPr>
          <w:sz w:val="20"/>
        </w:rPr>
        <w:t xml:space="preserve"> </w:t>
      </w:r>
      <w:proofErr w:type="spellStart"/>
      <w:r>
        <w:rPr>
          <w:sz w:val="20"/>
        </w:rPr>
        <w:t>ekspert</w:t>
      </w:r>
      <w:proofErr w:type="spellEnd"/>
      <w:r>
        <w:rPr>
          <w:sz w:val="20"/>
        </w:rPr>
        <w:t xml:space="preserve"> prawny </w:t>
      </w:r>
      <w:proofErr w:type="spellStart"/>
      <w:r>
        <w:rPr>
          <w:sz w:val="20"/>
        </w:rPr>
        <w:t>przeciwnika</w:t>
      </w:r>
      <w:proofErr w:type="spellEnd"/>
      <w:r>
        <w:rPr>
          <w:sz w:val="20"/>
        </w:rPr>
        <w:t xml:space="preserve"> </w:t>
      </w:r>
      <w:proofErr w:type="spellStart"/>
      <w:r>
        <w:rPr>
          <w:sz w:val="20"/>
        </w:rPr>
        <w:t>skarżącego</w:t>
      </w:r>
      <w:proofErr w:type="spellEnd"/>
      <w:r>
        <w:rPr>
          <w:sz w:val="20"/>
        </w:rPr>
        <w:t xml:space="preserve"> w </w:t>
      </w:r>
      <w:proofErr w:type="spellStart"/>
      <w:r>
        <w:rPr>
          <w:sz w:val="20"/>
        </w:rPr>
        <w:t>postępowaniu</w:t>
      </w:r>
      <w:proofErr w:type="spellEnd"/>
      <w:r>
        <w:rPr>
          <w:sz w:val="20"/>
        </w:rPr>
        <w:t xml:space="preserve"> </w:t>
      </w:r>
      <w:proofErr w:type="spellStart"/>
      <w:r>
        <w:rPr>
          <w:sz w:val="20"/>
        </w:rPr>
        <w:t>cywilnym</w:t>
      </w:r>
      <w:proofErr w:type="spellEnd"/>
      <w:r>
        <w:rPr>
          <w:sz w:val="20"/>
        </w:rPr>
        <w:t xml:space="preserve"> w </w:t>
      </w:r>
      <w:proofErr w:type="spellStart"/>
      <w:r>
        <w:rPr>
          <w:sz w:val="20"/>
        </w:rPr>
        <w:t>pierwszej</w:t>
      </w:r>
      <w:proofErr w:type="spellEnd"/>
      <w:r>
        <w:rPr>
          <w:sz w:val="20"/>
        </w:rPr>
        <w:t xml:space="preserve"> </w:t>
      </w:r>
      <w:proofErr w:type="spellStart"/>
      <w:r>
        <w:rPr>
          <w:sz w:val="20"/>
        </w:rPr>
        <w:t>instancji</w:t>
      </w:r>
      <w:proofErr w:type="spellEnd"/>
      <w:r>
        <w:rPr>
          <w:sz w:val="20"/>
        </w:rPr>
        <w:t xml:space="preserve"> </w:t>
      </w:r>
      <w:r>
        <w:rPr>
          <w:spacing w:val="-2"/>
          <w:sz w:val="20"/>
        </w:rPr>
        <w:t>(</w:t>
      </w:r>
      <w:proofErr w:type="spellStart"/>
      <w:r>
        <w:rPr>
          <w:spacing w:val="-2"/>
          <w:sz w:val="20"/>
        </w:rPr>
        <w:t>naruszenie</w:t>
      </w:r>
      <w:proofErr w:type="spellEnd"/>
      <w:r>
        <w:rPr>
          <w:spacing w:val="-2"/>
          <w:sz w:val="20"/>
        </w:rPr>
        <w:t>);</w:t>
      </w:r>
    </w:p>
    <w:p w14:paraId="49247CBE" w14:textId="05C8D17B" w:rsidR="004D1679" w:rsidRDefault="004D1679">
      <w:pPr>
        <w:pStyle w:val="Akapitzlist"/>
        <w:numPr>
          <w:ilvl w:val="0"/>
          <w:numId w:val="1"/>
        </w:numPr>
        <w:tabs>
          <w:tab w:val="left" w:pos="1583"/>
        </w:tabs>
        <w:ind w:right="730" w:hanging="284"/>
        <w:jc w:val="both"/>
        <w:rPr>
          <w:rFonts w:ascii="Arial" w:hAnsi="Arial"/>
          <w:color w:val="0072BC"/>
        </w:rPr>
      </w:pPr>
      <w:hyperlink r:id="rId62">
        <w:r>
          <w:rPr>
            <w:i/>
            <w:color w:val="0072BC"/>
            <w:sz w:val="20"/>
          </w:rPr>
          <w:t xml:space="preserve">Bellizzi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2011</w:t>
      </w:r>
      <w:r w:rsidR="002C6BC6">
        <w:rPr>
          <w:sz w:val="20"/>
        </w:rPr>
        <w:t xml:space="preserve"> r.</w:t>
      </w:r>
      <w:r>
        <w:rPr>
          <w:sz w:val="20"/>
        </w:rPr>
        <w:t xml:space="preserve">: </w:t>
      </w:r>
      <w:proofErr w:type="spellStart"/>
      <w:r>
        <w:rPr>
          <w:sz w:val="20"/>
        </w:rPr>
        <w:t>Domniemany</w:t>
      </w:r>
      <w:proofErr w:type="spellEnd"/>
      <w:r>
        <w:rPr>
          <w:sz w:val="20"/>
        </w:rPr>
        <w:t xml:space="preserve"> </w:t>
      </w:r>
      <w:proofErr w:type="spellStart"/>
      <w:r>
        <w:rPr>
          <w:sz w:val="20"/>
        </w:rPr>
        <w:t>brak</w:t>
      </w:r>
      <w:proofErr w:type="spellEnd"/>
      <w:r>
        <w:rPr>
          <w:sz w:val="20"/>
        </w:rPr>
        <w:t xml:space="preserve"> </w:t>
      </w:r>
      <w:proofErr w:type="spellStart"/>
      <w:r>
        <w:rPr>
          <w:sz w:val="20"/>
        </w:rPr>
        <w:t>bezstronności</w:t>
      </w:r>
      <w:proofErr w:type="spellEnd"/>
      <w:r>
        <w:rPr>
          <w:sz w:val="20"/>
        </w:rPr>
        <w:t xml:space="preserve"> w </w:t>
      </w:r>
      <w:proofErr w:type="spellStart"/>
      <w:r>
        <w:rPr>
          <w:sz w:val="20"/>
        </w:rPr>
        <w:t>sytuacji</w:t>
      </w:r>
      <w:proofErr w:type="spellEnd"/>
      <w:r>
        <w:rPr>
          <w:sz w:val="20"/>
        </w:rPr>
        <w:t xml:space="preserve">, </w:t>
      </w:r>
      <w:proofErr w:type="spellStart"/>
      <w:r>
        <w:rPr>
          <w:sz w:val="20"/>
        </w:rPr>
        <w:t>gdy</w:t>
      </w:r>
      <w:proofErr w:type="spellEnd"/>
      <w:r>
        <w:rPr>
          <w:sz w:val="20"/>
        </w:rPr>
        <w:t xml:space="preserve"> </w:t>
      </w:r>
      <w:proofErr w:type="spellStart"/>
      <w:r>
        <w:rPr>
          <w:sz w:val="20"/>
        </w:rPr>
        <w:t>asystent</w:t>
      </w:r>
      <w:proofErr w:type="spellEnd"/>
      <w:r>
        <w:rPr>
          <w:sz w:val="20"/>
        </w:rPr>
        <w:t xml:space="preserve"> </w:t>
      </w:r>
      <w:proofErr w:type="spellStart"/>
      <w:r>
        <w:rPr>
          <w:sz w:val="20"/>
        </w:rPr>
        <w:t>sędziego</w:t>
      </w:r>
      <w:proofErr w:type="spellEnd"/>
      <w:r>
        <w:rPr>
          <w:sz w:val="20"/>
        </w:rPr>
        <w:t xml:space="preserve"> </w:t>
      </w:r>
      <w:proofErr w:type="spellStart"/>
      <w:r>
        <w:rPr>
          <w:sz w:val="20"/>
        </w:rPr>
        <w:t>prezesa</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działał</w:t>
      </w:r>
      <w:proofErr w:type="spellEnd"/>
      <w:r>
        <w:rPr>
          <w:sz w:val="20"/>
        </w:rPr>
        <w:t xml:space="preserve"> </w:t>
      </w:r>
      <w:proofErr w:type="spellStart"/>
      <w:r>
        <w:rPr>
          <w:sz w:val="20"/>
        </w:rPr>
        <w:t>na</w:t>
      </w:r>
      <w:proofErr w:type="spellEnd"/>
      <w:r>
        <w:rPr>
          <w:sz w:val="20"/>
        </w:rPr>
        <w:t xml:space="preserve"> </w:t>
      </w:r>
      <w:proofErr w:type="spellStart"/>
      <w:r>
        <w:rPr>
          <w:sz w:val="20"/>
        </w:rPr>
        <w:t>rzecz</w:t>
      </w:r>
      <w:proofErr w:type="spellEnd"/>
      <w:r>
        <w:rPr>
          <w:sz w:val="20"/>
        </w:rPr>
        <w:t xml:space="preserve"> </w:t>
      </w:r>
      <w:proofErr w:type="spellStart"/>
      <w:r>
        <w:rPr>
          <w:sz w:val="20"/>
        </w:rPr>
        <w:t>jednej</w:t>
      </w:r>
      <w:proofErr w:type="spellEnd"/>
      <w:r>
        <w:rPr>
          <w:sz w:val="20"/>
        </w:rPr>
        <w:t xml:space="preserve"> ze </w:t>
      </w:r>
      <w:proofErr w:type="spellStart"/>
      <w:r>
        <w:rPr>
          <w:sz w:val="20"/>
        </w:rPr>
        <w:t>stron</w:t>
      </w:r>
      <w:proofErr w:type="spellEnd"/>
      <w:r>
        <w:rPr>
          <w:sz w:val="20"/>
        </w:rPr>
        <w:t xml:space="preserve"> we </w:t>
      </w:r>
      <w:proofErr w:type="spellStart"/>
      <w:r>
        <w:rPr>
          <w:sz w:val="20"/>
        </w:rPr>
        <w:t>wcześniejszym</w:t>
      </w:r>
      <w:proofErr w:type="spellEnd"/>
      <w:r>
        <w:rPr>
          <w:sz w:val="20"/>
        </w:rPr>
        <w:t xml:space="preserve"> </w:t>
      </w:r>
      <w:proofErr w:type="spellStart"/>
      <w:r>
        <w:rPr>
          <w:sz w:val="20"/>
        </w:rPr>
        <w:t>postępowaniu</w:t>
      </w:r>
      <w:proofErr w:type="spellEnd"/>
      <w:r>
        <w:rPr>
          <w:sz w:val="20"/>
        </w:rPr>
        <w:t xml:space="preserve"> </w:t>
      </w:r>
      <w:proofErr w:type="spellStart"/>
      <w:r>
        <w:rPr>
          <w:sz w:val="20"/>
        </w:rPr>
        <w:t>cywilnym</w:t>
      </w:r>
      <w:proofErr w:type="spellEnd"/>
      <w:r>
        <w:rPr>
          <w:sz w:val="20"/>
        </w:rPr>
        <w:t xml:space="preserve"> w </w:t>
      </w:r>
      <w:proofErr w:type="spellStart"/>
      <w:r>
        <w:rPr>
          <w:sz w:val="20"/>
        </w:rPr>
        <w:t>tej</w:t>
      </w:r>
      <w:proofErr w:type="spellEnd"/>
      <w:r>
        <w:rPr>
          <w:sz w:val="20"/>
        </w:rPr>
        <w:t xml:space="preserve"> </w:t>
      </w:r>
      <w:proofErr w:type="spellStart"/>
      <w:r>
        <w:rPr>
          <w:sz w:val="20"/>
        </w:rPr>
        <w:t>samej</w:t>
      </w:r>
      <w:proofErr w:type="spellEnd"/>
      <w:r>
        <w:rPr>
          <w:sz w:val="20"/>
        </w:rPr>
        <w:t xml:space="preserve"> </w:t>
      </w:r>
      <w:proofErr w:type="spellStart"/>
      <w:r>
        <w:rPr>
          <w:sz w:val="20"/>
        </w:rPr>
        <w:t>sprawie</w:t>
      </w:r>
      <w:proofErr w:type="spellEnd"/>
      <w:r>
        <w:rPr>
          <w:sz w:val="20"/>
        </w:rPr>
        <w:t xml:space="preserve">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17D2739F" w14:textId="64838E83" w:rsidR="004D1679" w:rsidRDefault="004D1679">
      <w:pPr>
        <w:pStyle w:val="Akapitzlist"/>
        <w:numPr>
          <w:ilvl w:val="0"/>
          <w:numId w:val="1"/>
        </w:numPr>
        <w:tabs>
          <w:tab w:val="left" w:pos="1583"/>
        </w:tabs>
        <w:ind w:right="731" w:hanging="284"/>
        <w:jc w:val="both"/>
        <w:rPr>
          <w:rFonts w:ascii="Arial" w:hAnsi="Arial"/>
          <w:color w:val="0072BC"/>
        </w:rPr>
      </w:pPr>
      <w:hyperlink r:id="rId63">
        <w:r>
          <w:rPr>
            <w:i/>
            <w:color w:val="0072BC"/>
            <w:sz w:val="20"/>
          </w:rPr>
          <w:t xml:space="preserve">Dos Santos Calado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Portugalii</w:t>
        </w:r>
        <w:proofErr w:type="spellEnd"/>
      </w:hyperlink>
      <w:r>
        <w:rPr>
          <w:sz w:val="20"/>
        </w:rPr>
        <w:t>, 2020</w:t>
      </w:r>
      <w:r w:rsidR="002C6BC6">
        <w:rPr>
          <w:sz w:val="20"/>
        </w:rPr>
        <w:t xml:space="preserve"> r.</w:t>
      </w:r>
      <w:r>
        <w:rPr>
          <w:sz w:val="20"/>
        </w:rPr>
        <w:t xml:space="preserve">: </w:t>
      </w:r>
      <w:proofErr w:type="spellStart"/>
      <w:r>
        <w:rPr>
          <w:sz w:val="20"/>
        </w:rPr>
        <w:t>Bezstronność</w:t>
      </w:r>
      <w:proofErr w:type="spellEnd"/>
      <w:r>
        <w:rPr>
          <w:sz w:val="20"/>
        </w:rPr>
        <w:t xml:space="preserve"> </w:t>
      </w:r>
      <w:proofErr w:type="spellStart"/>
      <w:r w:rsidR="00497BA7">
        <w:rPr>
          <w:sz w:val="20"/>
        </w:rPr>
        <w:t>trzyosobowego</w:t>
      </w:r>
      <w:proofErr w:type="spellEnd"/>
      <w:r w:rsidR="00497BA7">
        <w:rPr>
          <w:sz w:val="20"/>
        </w:rPr>
        <w:t xml:space="preserve"> </w:t>
      </w:r>
      <w:proofErr w:type="spellStart"/>
      <w:r w:rsidR="00497BA7">
        <w:rPr>
          <w:sz w:val="20"/>
        </w:rPr>
        <w:t>składu</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rozpatrujące</w:t>
      </w:r>
      <w:r w:rsidR="00497BA7">
        <w:rPr>
          <w:sz w:val="20"/>
        </w:rPr>
        <w:t>go</w:t>
      </w:r>
      <w:proofErr w:type="spellEnd"/>
      <w:r>
        <w:rPr>
          <w:sz w:val="20"/>
        </w:rPr>
        <w:t xml:space="preserve"> </w:t>
      </w:r>
      <w:proofErr w:type="spellStart"/>
      <w:r>
        <w:rPr>
          <w:sz w:val="20"/>
        </w:rPr>
        <w:t>sprzeciw</w:t>
      </w:r>
      <w:proofErr w:type="spellEnd"/>
      <w:r>
        <w:rPr>
          <w:sz w:val="20"/>
        </w:rPr>
        <w:t xml:space="preserve"> </w:t>
      </w:r>
      <w:proofErr w:type="spellStart"/>
      <w:r>
        <w:rPr>
          <w:sz w:val="20"/>
        </w:rPr>
        <w:t>wobec</w:t>
      </w:r>
      <w:proofErr w:type="spellEnd"/>
      <w:r>
        <w:rPr>
          <w:sz w:val="20"/>
        </w:rPr>
        <w:t xml:space="preserve"> </w:t>
      </w:r>
      <w:proofErr w:type="spellStart"/>
      <w:r>
        <w:rPr>
          <w:sz w:val="20"/>
        </w:rPr>
        <w:t>decyzji</w:t>
      </w:r>
      <w:proofErr w:type="spellEnd"/>
      <w:r>
        <w:rPr>
          <w:sz w:val="20"/>
        </w:rPr>
        <w:t xml:space="preserve"> o </w:t>
      </w:r>
      <w:proofErr w:type="spellStart"/>
      <w:r>
        <w:rPr>
          <w:sz w:val="20"/>
        </w:rPr>
        <w:t>dopuszczalności</w:t>
      </w:r>
      <w:proofErr w:type="spellEnd"/>
      <w:r>
        <w:rPr>
          <w:sz w:val="20"/>
        </w:rPr>
        <w:t xml:space="preserve"> ze </w:t>
      </w:r>
      <w:proofErr w:type="spellStart"/>
      <w:r>
        <w:rPr>
          <w:sz w:val="20"/>
        </w:rPr>
        <w:t>względu</w:t>
      </w:r>
      <w:proofErr w:type="spellEnd"/>
      <w:r>
        <w:rPr>
          <w:sz w:val="20"/>
        </w:rPr>
        <w:t xml:space="preserve"> </w:t>
      </w:r>
      <w:proofErr w:type="spellStart"/>
      <w:r>
        <w:rPr>
          <w:sz w:val="20"/>
        </w:rPr>
        <w:t>na</w:t>
      </w:r>
      <w:proofErr w:type="spellEnd"/>
      <w:r>
        <w:rPr>
          <w:sz w:val="20"/>
        </w:rPr>
        <w:t xml:space="preserve"> </w:t>
      </w:r>
      <w:proofErr w:type="spellStart"/>
      <w:r>
        <w:rPr>
          <w:sz w:val="20"/>
        </w:rPr>
        <w:t>obecność</w:t>
      </w:r>
      <w:proofErr w:type="spellEnd"/>
      <w:r>
        <w:rPr>
          <w:sz w:val="20"/>
        </w:rPr>
        <w:t xml:space="preserve"> </w:t>
      </w:r>
      <w:proofErr w:type="spellStart"/>
      <w:r>
        <w:rPr>
          <w:sz w:val="20"/>
        </w:rPr>
        <w:t>sędziego</w:t>
      </w:r>
      <w:proofErr w:type="spellEnd"/>
      <w:r>
        <w:rPr>
          <w:sz w:val="20"/>
        </w:rPr>
        <w:t xml:space="preserve"> </w:t>
      </w:r>
      <w:proofErr w:type="spellStart"/>
      <w:r>
        <w:rPr>
          <w:sz w:val="20"/>
        </w:rPr>
        <w:t>sprawozdawcy</w:t>
      </w:r>
      <w:proofErr w:type="spellEnd"/>
      <w:r>
        <w:rPr>
          <w:sz w:val="20"/>
        </w:rPr>
        <w:t xml:space="preserve">, </w:t>
      </w:r>
      <w:proofErr w:type="spellStart"/>
      <w:r>
        <w:rPr>
          <w:sz w:val="20"/>
        </w:rPr>
        <w:t>który</w:t>
      </w:r>
      <w:proofErr w:type="spellEnd"/>
      <w:r>
        <w:rPr>
          <w:sz w:val="20"/>
        </w:rPr>
        <w:t xml:space="preserve"> </w:t>
      </w:r>
      <w:proofErr w:type="spellStart"/>
      <w:r>
        <w:rPr>
          <w:sz w:val="20"/>
        </w:rPr>
        <w:t>wydał</w:t>
      </w:r>
      <w:proofErr w:type="spellEnd"/>
      <w:r>
        <w:rPr>
          <w:sz w:val="20"/>
        </w:rPr>
        <w:t xml:space="preserve"> </w:t>
      </w:r>
      <w:proofErr w:type="spellStart"/>
      <w:r>
        <w:rPr>
          <w:sz w:val="20"/>
        </w:rPr>
        <w:t>decyzję</w:t>
      </w:r>
      <w:proofErr w:type="spellEnd"/>
      <w:r>
        <w:rPr>
          <w:sz w:val="20"/>
        </w:rPr>
        <w:t xml:space="preserve"> (</w:t>
      </w:r>
      <w:proofErr w:type="spellStart"/>
      <w:r>
        <w:rPr>
          <w:sz w:val="20"/>
        </w:rPr>
        <w:t>niedopuszczalność</w:t>
      </w:r>
      <w:proofErr w:type="spellEnd"/>
      <w:r>
        <w:rPr>
          <w:sz w:val="20"/>
        </w:rPr>
        <w:t>);</w:t>
      </w:r>
    </w:p>
    <w:p w14:paraId="7FAA5221" w14:textId="77777777" w:rsidR="004D1679" w:rsidRDefault="004D1679">
      <w:pPr>
        <w:pStyle w:val="Akapitzlist"/>
        <w:numPr>
          <w:ilvl w:val="0"/>
          <w:numId w:val="1"/>
        </w:numPr>
        <w:tabs>
          <w:tab w:val="left" w:pos="1583"/>
        </w:tabs>
        <w:ind w:right="730" w:hanging="284"/>
        <w:jc w:val="both"/>
        <w:rPr>
          <w:rFonts w:ascii="Arial" w:hAnsi="Arial"/>
          <w:color w:val="0072BC"/>
        </w:rPr>
      </w:pPr>
      <w:hyperlink r:id="rId64">
        <w:r>
          <w:rPr>
            <w:i/>
            <w:color w:val="0072BC"/>
            <w:sz w:val="20"/>
          </w:rPr>
          <w:t xml:space="preserve">Scerri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xml:space="preserve">, 2020 r: </w:t>
      </w:r>
      <w:proofErr w:type="spellStart"/>
      <w:r>
        <w:rPr>
          <w:sz w:val="20"/>
        </w:rPr>
        <w:t>Domniemany</w:t>
      </w:r>
      <w:proofErr w:type="spellEnd"/>
      <w:r>
        <w:rPr>
          <w:sz w:val="20"/>
        </w:rPr>
        <w:t xml:space="preserve"> </w:t>
      </w:r>
      <w:proofErr w:type="spellStart"/>
      <w:r>
        <w:rPr>
          <w:sz w:val="20"/>
        </w:rPr>
        <w:t>brak</w:t>
      </w:r>
      <w:proofErr w:type="spellEnd"/>
      <w:r>
        <w:rPr>
          <w:sz w:val="20"/>
        </w:rPr>
        <w:t xml:space="preserve"> </w:t>
      </w:r>
      <w:proofErr w:type="spellStart"/>
      <w:r>
        <w:rPr>
          <w:sz w:val="20"/>
        </w:rPr>
        <w:t>bezstronności</w:t>
      </w:r>
      <w:proofErr w:type="spellEnd"/>
      <w:r>
        <w:rPr>
          <w:sz w:val="20"/>
        </w:rPr>
        <w:t xml:space="preserve"> </w:t>
      </w:r>
      <w:proofErr w:type="spellStart"/>
      <w:r>
        <w:rPr>
          <w:sz w:val="20"/>
        </w:rPr>
        <w:t>trzech</w:t>
      </w:r>
      <w:proofErr w:type="spellEnd"/>
      <w:r>
        <w:rPr>
          <w:sz w:val="20"/>
        </w:rPr>
        <w:t xml:space="preserve"> </w:t>
      </w:r>
      <w:proofErr w:type="spellStart"/>
      <w:r>
        <w:rPr>
          <w:sz w:val="20"/>
        </w:rPr>
        <w:t>sędziów</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którzy</w:t>
      </w:r>
      <w:proofErr w:type="spellEnd"/>
      <w:r>
        <w:rPr>
          <w:sz w:val="20"/>
        </w:rPr>
        <w:t xml:space="preserve"> </w:t>
      </w:r>
      <w:proofErr w:type="spellStart"/>
      <w:r>
        <w:rPr>
          <w:sz w:val="20"/>
        </w:rPr>
        <w:t>wcześniej</w:t>
      </w:r>
      <w:proofErr w:type="spellEnd"/>
      <w:r>
        <w:rPr>
          <w:sz w:val="20"/>
        </w:rPr>
        <w:t xml:space="preserve"> </w:t>
      </w:r>
      <w:proofErr w:type="spellStart"/>
      <w:r>
        <w:rPr>
          <w:sz w:val="20"/>
        </w:rPr>
        <w:t>zasiadali</w:t>
      </w:r>
      <w:proofErr w:type="spellEnd"/>
      <w:r>
        <w:rPr>
          <w:sz w:val="20"/>
        </w:rPr>
        <w:t xml:space="preserve"> w </w:t>
      </w:r>
      <w:proofErr w:type="spellStart"/>
      <w:r>
        <w:rPr>
          <w:sz w:val="20"/>
        </w:rPr>
        <w:t>Sądzie</w:t>
      </w:r>
      <w:proofErr w:type="spellEnd"/>
      <w:r>
        <w:rPr>
          <w:sz w:val="20"/>
        </w:rPr>
        <w:t xml:space="preserve"> </w:t>
      </w:r>
      <w:proofErr w:type="spellStart"/>
      <w:r>
        <w:rPr>
          <w:sz w:val="20"/>
        </w:rPr>
        <w:t>Apelacyjnym</w:t>
      </w:r>
      <w:proofErr w:type="spellEnd"/>
      <w:r>
        <w:rPr>
          <w:sz w:val="20"/>
        </w:rPr>
        <w:t xml:space="preserve"> </w:t>
      </w:r>
      <w:proofErr w:type="spellStart"/>
      <w:r>
        <w:rPr>
          <w:sz w:val="20"/>
        </w:rPr>
        <w:t>orzekającym</w:t>
      </w:r>
      <w:proofErr w:type="spellEnd"/>
      <w:r>
        <w:rPr>
          <w:sz w:val="20"/>
        </w:rPr>
        <w:t xml:space="preserve"> w </w:t>
      </w:r>
      <w:proofErr w:type="spellStart"/>
      <w:r>
        <w:rPr>
          <w:sz w:val="20"/>
        </w:rPr>
        <w:t>sprawie</w:t>
      </w:r>
      <w:proofErr w:type="spellEnd"/>
      <w:r>
        <w:rPr>
          <w:sz w:val="20"/>
        </w:rPr>
        <w:t xml:space="preserve"> </w:t>
      </w:r>
      <w:proofErr w:type="spellStart"/>
      <w:r>
        <w:rPr>
          <w:sz w:val="20"/>
        </w:rPr>
        <w:t>odwołania</w:t>
      </w:r>
      <w:proofErr w:type="spellEnd"/>
      <w:r>
        <w:rPr>
          <w:sz w:val="20"/>
        </w:rPr>
        <w:t xml:space="preserve"> </w:t>
      </w:r>
      <w:proofErr w:type="spellStart"/>
      <w:r>
        <w:rPr>
          <w:sz w:val="20"/>
        </w:rPr>
        <w:t>skarżącego</w:t>
      </w:r>
      <w:proofErr w:type="spellEnd"/>
      <w:r>
        <w:rPr>
          <w:sz w:val="20"/>
        </w:rPr>
        <w:t xml:space="preserve">, a </w:t>
      </w:r>
      <w:proofErr w:type="spellStart"/>
      <w:r>
        <w:rPr>
          <w:sz w:val="20"/>
        </w:rPr>
        <w:t>także</w:t>
      </w:r>
      <w:proofErr w:type="spellEnd"/>
      <w:r>
        <w:rPr>
          <w:sz w:val="20"/>
        </w:rPr>
        <w:t xml:space="preserve"> </w:t>
      </w:r>
      <w:proofErr w:type="spellStart"/>
      <w:r>
        <w:rPr>
          <w:sz w:val="20"/>
        </w:rPr>
        <w:t>jego</w:t>
      </w:r>
      <w:proofErr w:type="spellEnd"/>
      <w:r>
        <w:rPr>
          <w:sz w:val="20"/>
        </w:rPr>
        <w:t xml:space="preserve"> </w:t>
      </w:r>
      <w:proofErr w:type="spellStart"/>
      <w:r>
        <w:rPr>
          <w:sz w:val="20"/>
        </w:rPr>
        <w:t>wniosku</w:t>
      </w:r>
      <w:proofErr w:type="spellEnd"/>
      <w:r>
        <w:rPr>
          <w:sz w:val="20"/>
        </w:rPr>
        <w:t xml:space="preserve"> o </w:t>
      </w:r>
      <w:proofErr w:type="spellStart"/>
      <w:r>
        <w:rPr>
          <w:sz w:val="20"/>
        </w:rPr>
        <w:t>odesłanie</w:t>
      </w:r>
      <w:proofErr w:type="spellEnd"/>
      <w:r>
        <w:rPr>
          <w:sz w:val="20"/>
        </w:rPr>
        <w:t xml:space="preserve"> do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naruszenie</w:t>
      </w:r>
      <w:proofErr w:type="spellEnd"/>
      <w:r>
        <w:rPr>
          <w:sz w:val="20"/>
        </w:rPr>
        <w:t>);</w:t>
      </w:r>
    </w:p>
    <w:p w14:paraId="441DC51B" w14:textId="47C19BF6" w:rsidR="004D1679" w:rsidRDefault="004D1679">
      <w:pPr>
        <w:pStyle w:val="Akapitzlist"/>
        <w:numPr>
          <w:ilvl w:val="0"/>
          <w:numId w:val="1"/>
        </w:numPr>
        <w:tabs>
          <w:tab w:val="left" w:pos="1583"/>
        </w:tabs>
        <w:ind w:right="729" w:hanging="284"/>
        <w:jc w:val="both"/>
        <w:rPr>
          <w:rFonts w:ascii="Arial" w:hAnsi="Arial"/>
          <w:color w:val="0072BC"/>
        </w:rPr>
      </w:pPr>
      <w:hyperlink r:id="rId65">
        <w:proofErr w:type="spellStart"/>
        <w:r>
          <w:rPr>
            <w:i/>
            <w:color w:val="0072BC"/>
            <w:sz w:val="20"/>
          </w:rPr>
          <w:t>Chorwacka</w:t>
        </w:r>
        <w:proofErr w:type="spellEnd"/>
        <w:r>
          <w:rPr>
            <w:i/>
            <w:color w:val="0072BC"/>
            <w:sz w:val="20"/>
          </w:rPr>
          <w:t xml:space="preserve"> </w:t>
        </w:r>
        <w:proofErr w:type="spellStart"/>
        <w:r>
          <w:rPr>
            <w:i/>
            <w:color w:val="0072BC"/>
            <w:sz w:val="20"/>
          </w:rPr>
          <w:t>Federacja</w:t>
        </w:r>
        <w:proofErr w:type="spellEnd"/>
        <w:r>
          <w:rPr>
            <w:i/>
            <w:color w:val="0072BC"/>
            <w:sz w:val="20"/>
          </w:rPr>
          <w:t xml:space="preserve"> </w:t>
        </w:r>
        <w:proofErr w:type="spellStart"/>
        <w:r>
          <w:rPr>
            <w:i/>
            <w:color w:val="0072BC"/>
            <w:sz w:val="20"/>
          </w:rPr>
          <w:t>Golfa</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2020</w:t>
      </w:r>
      <w:r w:rsidR="002C6BC6">
        <w:rPr>
          <w:sz w:val="20"/>
        </w:rPr>
        <w:t xml:space="preserve"> r.</w:t>
      </w:r>
      <w:r>
        <w:rPr>
          <w:sz w:val="20"/>
        </w:rPr>
        <w:t xml:space="preserve">: </w:t>
      </w:r>
      <w:proofErr w:type="spellStart"/>
      <w:r>
        <w:rPr>
          <w:sz w:val="20"/>
        </w:rPr>
        <w:t>Domniemany</w:t>
      </w:r>
      <w:proofErr w:type="spellEnd"/>
      <w:r>
        <w:rPr>
          <w:sz w:val="20"/>
        </w:rPr>
        <w:t xml:space="preserve"> </w:t>
      </w:r>
      <w:proofErr w:type="spellStart"/>
      <w:r>
        <w:rPr>
          <w:sz w:val="20"/>
        </w:rPr>
        <w:t>brak</w:t>
      </w:r>
      <w:proofErr w:type="spellEnd"/>
      <w:r>
        <w:rPr>
          <w:sz w:val="20"/>
        </w:rPr>
        <w:t xml:space="preserve"> </w:t>
      </w:r>
      <w:proofErr w:type="spellStart"/>
      <w:r>
        <w:rPr>
          <w:sz w:val="20"/>
        </w:rPr>
        <w:t>bezstronności</w:t>
      </w:r>
      <w:proofErr w:type="spellEnd"/>
      <w:r>
        <w:rPr>
          <w:sz w:val="20"/>
        </w:rPr>
        <w:t xml:space="preserve"> </w:t>
      </w:r>
      <w:proofErr w:type="spellStart"/>
      <w:r>
        <w:rPr>
          <w:sz w:val="20"/>
        </w:rPr>
        <w:t>sędziego</w:t>
      </w:r>
      <w:proofErr w:type="spellEnd"/>
      <w:r>
        <w:rPr>
          <w:sz w:val="20"/>
        </w:rPr>
        <w:t xml:space="preserve">, </w:t>
      </w:r>
      <w:proofErr w:type="spellStart"/>
      <w:r>
        <w:rPr>
          <w:sz w:val="20"/>
        </w:rPr>
        <w:t>który</w:t>
      </w:r>
      <w:proofErr w:type="spellEnd"/>
      <w:r>
        <w:rPr>
          <w:sz w:val="20"/>
        </w:rPr>
        <w:t xml:space="preserve"> </w:t>
      </w:r>
      <w:proofErr w:type="spellStart"/>
      <w:r>
        <w:rPr>
          <w:sz w:val="20"/>
        </w:rPr>
        <w:t>zasiadał</w:t>
      </w:r>
      <w:proofErr w:type="spellEnd"/>
      <w:r>
        <w:rPr>
          <w:sz w:val="20"/>
        </w:rPr>
        <w:t xml:space="preserve"> w </w:t>
      </w:r>
      <w:proofErr w:type="spellStart"/>
      <w:r>
        <w:rPr>
          <w:sz w:val="20"/>
        </w:rPr>
        <w:t>składzie</w:t>
      </w:r>
      <w:proofErr w:type="spellEnd"/>
      <w:r>
        <w:rPr>
          <w:sz w:val="20"/>
        </w:rPr>
        <w:t xml:space="preserve"> </w:t>
      </w:r>
      <w:proofErr w:type="spellStart"/>
      <w:r>
        <w:rPr>
          <w:sz w:val="20"/>
        </w:rPr>
        <w:t>trzech</w:t>
      </w:r>
      <w:proofErr w:type="spellEnd"/>
      <w:r>
        <w:rPr>
          <w:sz w:val="20"/>
        </w:rPr>
        <w:t xml:space="preserve"> </w:t>
      </w:r>
      <w:proofErr w:type="spellStart"/>
      <w:r>
        <w:rPr>
          <w:sz w:val="20"/>
        </w:rPr>
        <w:t>sędziów</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mimo</w:t>
      </w:r>
      <w:proofErr w:type="spellEnd"/>
      <w:r>
        <w:rPr>
          <w:sz w:val="20"/>
        </w:rPr>
        <w:t xml:space="preserve"> </w:t>
      </w:r>
      <w:proofErr w:type="spellStart"/>
      <w:r>
        <w:rPr>
          <w:sz w:val="20"/>
        </w:rPr>
        <w:t>że</w:t>
      </w:r>
      <w:proofErr w:type="spellEnd"/>
      <w:r w:rsidR="00497BA7">
        <w:rPr>
          <w:sz w:val="20"/>
        </w:rPr>
        <w:t xml:space="preserve"> </w:t>
      </w:r>
      <w:proofErr w:type="spellStart"/>
      <w:r w:rsidR="00497BA7">
        <w:rPr>
          <w:sz w:val="20"/>
        </w:rPr>
        <w:t>sędzia</w:t>
      </w:r>
      <w:proofErr w:type="spellEnd"/>
      <w:r w:rsidR="00497BA7">
        <w:rPr>
          <w:sz w:val="20"/>
        </w:rPr>
        <w:t xml:space="preserve"> ta</w:t>
      </w:r>
      <w:r>
        <w:rPr>
          <w:sz w:val="20"/>
        </w:rPr>
        <w:t xml:space="preserve"> </w:t>
      </w:r>
      <w:proofErr w:type="spellStart"/>
      <w:r>
        <w:rPr>
          <w:sz w:val="20"/>
        </w:rPr>
        <w:t>był</w:t>
      </w:r>
      <w:r w:rsidR="00DA4C31">
        <w:rPr>
          <w:sz w:val="20"/>
        </w:rPr>
        <w:t>a</w:t>
      </w:r>
      <w:proofErr w:type="spellEnd"/>
      <w:r>
        <w:rPr>
          <w:sz w:val="20"/>
        </w:rPr>
        <w:t xml:space="preserve"> </w:t>
      </w:r>
      <w:proofErr w:type="spellStart"/>
      <w:r>
        <w:rPr>
          <w:sz w:val="20"/>
        </w:rPr>
        <w:t>żoną</w:t>
      </w:r>
      <w:proofErr w:type="spellEnd"/>
      <w:r>
        <w:rPr>
          <w:sz w:val="20"/>
        </w:rPr>
        <w:t xml:space="preserve"> </w:t>
      </w:r>
      <w:proofErr w:type="spellStart"/>
      <w:r>
        <w:rPr>
          <w:sz w:val="20"/>
        </w:rPr>
        <w:t>prezesa</w:t>
      </w:r>
      <w:proofErr w:type="spellEnd"/>
      <w:r>
        <w:rPr>
          <w:sz w:val="20"/>
        </w:rPr>
        <w:t xml:space="preserve"> </w:t>
      </w:r>
      <w:proofErr w:type="spellStart"/>
      <w:r>
        <w:rPr>
          <w:sz w:val="20"/>
        </w:rPr>
        <w:t>klubu</w:t>
      </w:r>
      <w:proofErr w:type="spellEnd"/>
      <w:r>
        <w:rPr>
          <w:sz w:val="20"/>
        </w:rPr>
        <w:t xml:space="preserve"> </w:t>
      </w:r>
      <w:proofErr w:type="spellStart"/>
      <w:r>
        <w:rPr>
          <w:sz w:val="20"/>
        </w:rPr>
        <w:t>golfowego</w:t>
      </w:r>
      <w:proofErr w:type="spellEnd"/>
      <w:r>
        <w:rPr>
          <w:sz w:val="20"/>
        </w:rPr>
        <w:t xml:space="preserve">, </w:t>
      </w:r>
      <w:proofErr w:type="spellStart"/>
      <w:r>
        <w:rPr>
          <w:sz w:val="20"/>
        </w:rPr>
        <w:t>przeciwko</w:t>
      </w:r>
      <w:proofErr w:type="spellEnd"/>
      <w:r>
        <w:rPr>
          <w:sz w:val="20"/>
        </w:rPr>
        <w:t xml:space="preserve"> </w:t>
      </w:r>
      <w:proofErr w:type="spellStart"/>
      <w:r>
        <w:rPr>
          <w:sz w:val="20"/>
        </w:rPr>
        <w:t>któremu</w:t>
      </w:r>
      <w:proofErr w:type="spellEnd"/>
      <w:r>
        <w:rPr>
          <w:sz w:val="20"/>
        </w:rPr>
        <w:t xml:space="preserve"> </w:t>
      </w:r>
      <w:proofErr w:type="spellStart"/>
      <w:r>
        <w:rPr>
          <w:sz w:val="20"/>
        </w:rPr>
        <w:t>skarżące</w:t>
      </w:r>
      <w:proofErr w:type="spellEnd"/>
      <w:r>
        <w:rPr>
          <w:sz w:val="20"/>
        </w:rPr>
        <w:t xml:space="preserve"> </w:t>
      </w:r>
      <w:proofErr w:type="spellStart"/>
      <w:r>
        <w:rPr>
          <w:sz w:val="20"/>
        </w:rPr>
        <w:t>stowarzyszenie</w:t>
      </w:r>
      <w:proofErr w:type="spellEnd"/>
      <w:r>
        <w:rPr>
          <w:sz w:val="20"/>
        </w:rPr>
        <w:t xml:space="preserve"> </w:t>
      </w:r>
      <w:proofErr w:type="spellStart"/>
      <w:r>
        <w:rPr>
          <w:sz w:val="20"/>
        </w:rPr>
        <w:t>wszczęło</w:t>
      </w:r>
      <w:proofErr w:type="spellEnd"/>
      <w:r>
        <w:rPr>
          <w:sz w:val="20"/>
        </w:rPr>
        <w:t xml:space="preserve"> </w:t>
      </w:r>
      <w:proofErr w:type="spellStart"/>
      <w:r>
        <w:rPr>
          <w:sz w:val="20"/>
        </w:rPr>
        <w:t>postępowanie</w:t>
      </w:r>
      <w:proofErr w:type="spellEnd"/>
      <w:r>
        <w:rPr>
          <w:sz w:val="20"/>
        </w:rPr>
        <w:t xml:space="preserve"> </w:t>
      </w:r>
      <w:proofErr w:type="spellStart"/>
      <w:r>
        <w:rPr>
          <w:sz w:val="20"/>
        </w:rPr>
        <w:t>egzekucyjne</w:t>
      </w:r>
      <w:proofErr w:type="spellEnd"/>
      <w:r>
        <w:rPr>
          <w:sz w:val="20"/>
        </w:rPr>
        <w:t xml:space="preserve"> (</w:t>
      </w:r>
      <w:proofErr w:type="spellStart"/>
      <w:r>
        <w:rPr>
          <w:sz w:val="20"/>
        </w:rPr>
        <w:t>naruszenie</w:t>
      </w:r>
      <w:proofErr w:type="spellEnd"/>
      <w:r>
        <w:rPr>
          <w:sz w:val="20"/>
        </w:rPr>
        <w:t>).</w:t>
      </w:r>
    </w:p>
    <w:p w14:paraId="451F863C" w14:textId="77777777" w:rsidR="004D1679" w:rsidRDefault="00000000">
      <w:pPr>
        <w:pStyle w:val="Nagwek3"/>
      </w:pPr>
      <w:r>
        <w:rPr>
          <w:color w:val="2F2F2F"/>
          <w:w w:val="85"/>
          <w:sz w:val="26"/>
        </w:rPr>
        <w:t xml:space="preserve">Sąd </w:t>
      </w:r>
      <w:proofErr w:type="spellStart"/>
      <w:r>
        <w:rPr>
          <w:color w:val="2F2F2F"/>
          <w:w w:val="85"/>
          <w:sz w:val="26"/>
        </w:rPr>
        <w:t>ustanowiony</w:t>
      </w:r>
      <w:proofErr w:type="spellEnd"/>
      <w:r>
        <w:rPr>
          <w:color w:val="2F2F2F"/>
          <w:w w:val="85"/>
          <w:sz w:val="26"/>
        </w:rPr>
        <w:t xml:space="preserve"> </w:t>
      </w:r>
      <w:proofErr w:type="spellStart"/>
      <w:r>
        <w:rPr>
          <w:color w:val="2F2F2F"/>
          <w:w w:val="85"/>
          <w:sz w:val="26"/>
        </w:rPr>
        <w:t>na</w:t>
      </w:r>
      <w:proofErr w:type="spellEnd"/>
      <w:r>
        <w:rPr>
          <w:color w:val="2F2F2F"/>
          <w:w w:val="85"/>
          <w:sz w:val="26"/>
        </w:rPr>
        <w:t xml:space="preserve"> </w:t>
      </w:r>
      <w:proofErr w:type="spellStart"/>
      <w:r>
        <w:rPr>
          <w:color w:val="2F2F2F"/>
          <w:w w:val="85"/>
          <w:sz w:val="26"/>
        </w:rPr>
        <w:t>mocy</w:t>
      </w:r>
      <w:proofErr w:type="spellEnd"/>
      <w:r>
        <w:rPr>
          <w:color w:val="2F2F2F"/>
          <w:w w:val="85"/>
          <w:sz w:val="26"/>
        </w:rPr>
        <w:t xml:space="preserve"> </w:t>
      </w:r>
      <w:proofErr w:type="spellStart"/>
      <w:r>
        <w:rPr>
          <w:color w:val="2F2F2F"/>
          <w:spacing w:val="-4"/>
          <w:w w:val="85"/>
          <w:sz w:val="26"/>
        </w:rPr>
        <w:t>prawa</w:t>
      </w:r>
      <w:proofErr w:type="spellEnd"/>
      <w:r>
        <w:rPr>
          <w:color w:val="2F2F2F"/>
          <w:spacing w:val="-4"/>
          <w:w w:val="85"/>
          <w:sz w:val="26"/>
        </w:rPr>
        <w:t>:</w:t>
      </w:r>
    </w:p>
    <w:p w14:paraId="656D7513" w14:textId="6E69A5C1" w:rsidR="004D1679" w:rsidRDefault="004D1679">
      <w:pPr>
        <w:pStyle w:val="Akapitzlist"/>
        <w:numPr>
          <w:ilvl w:val="0"/>
          <w:numId w:val="1"/>
        </w:numPr>
        <w:tabs>
          <w:tab w:val="left" w:pos="1583"/>
        </w:tabs>
        <w:spacing w:before="76"/>
        <w:ind w:right="728" w:hanging="284"/>
        <w:jc w:val="both"/>
        <w:rPr>
          <w:rFonts w:ascii="Arial" w:hAnsi="Arial"/>
          <w:color w:val="0072BC"/>
        </w:rPr>
      </w:pPr>
      <w:hyperlink r:id="rId66">
        <w:r>
          <w:rPr>
            <w:i/>
            <w:color w:val="0072BC"/>
            <w:sz w:val="20"/>
          </w:rPr>
          <w:t xml:space="preserve">Xero Flor w </w:t>
        </w:r>
        <w:proofErr w:type="spellStart"/>
        <w:r>
          <w:rPr>
            <w:i/>
            <w:color w:val="0072BC"/>
            <w:sz w:val="20"/>
          </w:rPr>
          <w:t>Polsce</w:t>
        </w:r>
        <w:proofErr w:type="spellEnd"/>
        <w:r>
          <w:rPr>
            <w:i/>
            <w:color w:val="0072BC"/>
            <w:sz w:val="20"/>
          </w:rPr>
          <w:t xml:space="preserve"> sp. z </w:t>
        </w:r>
        <w:proofErr w:type="spellStart"/>
        <w:r>
          <w:rPr>
            <w:i/>
            <w:color w:val="0072BC"/>
            <w:sz w:val="20"/>
          </w:rPr>
          <w:t>o.o.</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Polsce</w:t>
        </w:r>
        <w:proofErr w:type="spellEnd"/>
      </w:hyperlink>
      <w:r>
        <w:rPr>
          <w:sz w:val="20"/>
        </w:rPr>
        <w:t>, 2021</w:t>
      </w:r>
      <w:r w:rsidR="002C6BC6">
        <w:rPr>
          <w:sz w:val="20"/>
        </w:rPr>
        <w:t xml:space="preserve"> r.</w:t>
      </w:r>
      <w:r>
        <w:rPr>
          <w:sz w:val="20"/>
        </w:rPr>
        <w:t xml:space="preserve">: Jeden z </w:t>
      </w:r>
      <w:proofErr w:type="spellStart"/>
      <w:r>
        <w:rPr>
          <w:sz w:val="20"/>
        </w:rPr>
        <w:t>sędziów</w:t>
      </w:r>
      <w:proofErr w:type="spellEnd"/>
      <w:r>
        <w:rPr>
          <w:sz w:val="20"/>
        </w:rPr>
        <w:t xml:space="preserve"> </w:t>
      </w:r>
      <w:proofErr w:type="spellStart"/>
      <w:r>
        <w:rPr>
          <w:sz w:val="20"/>
        </w:rPr>
        <w:t>Trybunału</w:t>
      </w:r>
      <w:proofErr w:type="spellEnd"/>
      <w:r>
        <w:rPr>
          <w:sz w:val="20"/>
        </w:rPr>
        <w:t xml:space="preserve"> </w:t>
      </w:r>
      <w:proofErr w:type="spellStart"/>
      <w:r>
        <w:rPr>
          <w:sz w:val="20"/>
        </w:rPr>
        <w:t>Konstytucyjnego</w:t>
      </w:r>
      <w:proofErr w:type="spellEnd"/>
      <w:r>
        <w:rPr>
          <w:sz w:val="20"/>
        </w:rPr>
        <w:t xml:space="preserve">, </w:t>
      </w:r>
      <w:proofErr w:type="spellStart"/>
      <w:r>
        <w:rPr>
          <w:sz w:val="20"/>
        </w:rPr>
        <w:t>który</w:t>
      </w:r>
      <w:proofErr w:type="spellEnd"/>
      <w:r>
        <w:rPr>
          <w:sz w:val="20"/>
        </w:rPr>
        <w:t xml:space="preserve"> </w:t>
      </w:r>
      <w:proofErr w:type="spellStart"/>
      <w:r>
        <w:rPr>
          <w:sz w:val="20"/>
        </w:rPr>
        <w:t>rozpatrywał</w:t>
      </w:r>
      <w:proofErr w:type="spellEnd"/>
      <w:r>
        <w:rPr>
          <w:sz w:val="20"/>
        </w:rPr>
        <w:t xml:space="preserve"> </w:t>
      </w:r>
      <w:proofErr w:type="spellStart"/>
      <w:r>
        <w:rPr>
          <w:sz w:val="20"/>
        </w:rPr>
        <w:t>skargę</w:t>
      </w:r>
      <w:proofErr w:type="spellEnd"/>
      <w:r>
        <w:rPr>
          <w:sz w:val="20"/>
        </w:rPr>
        <w:t xml:space="preserve"> </w:t>
      </w:r>
      <w:proofErr w:type="spellStart"/>
      <w:r>
        <w:rPr>
          <w:sz w:val="20"/>
        </w:rPr>
        <w:t>konstytucyjną</w:t>
      </w:r>
      <w:proofErr w:type="spellEnd"/>
      <w:r>
        <w:rPr>
          <w:sz w:val="20"/>
        </w:rPr>
        <w:t xml:space="preserve"> </w:t>
      </w:r>
      <w:proofErr w:type="spellStart"/>
      <w:r>
        <w:rPr>
          <w:sz w:val="20"/>
        </w:rPr>
        <w:t>skarżącej</w:t>
      </w:r>
      <w:proofErr w:type="spellEnd"/>
      <w:r>
        <w:rPr>
          <w:sz w:val="20"/>
        </w:rPr>
        <w:t xml:space="preserve"> </w:t>
      </w:r>
      <w:proofErr w:type="spellStart"/>
      <w:r>
        <w:rPr>
          <w:sz w:val="20"/>
        </w:rPr>
        <w:t>spółki</w:t>
      </w:r>
      <w:proofErr w:type="spellEnd"/>
      <w:r>
        <w:rPr>
          <w:sz w:val="20"/>
        </w:rPr>
        <w:t xml:space="preserve">, </w:t>
      </w:r>
      <w:proofErr w:type="spellStart"/>
      <w:r>
        <w:rPr>
          <w:sz w:val="20"/>
        </w:rPr>
        <w:t>nie</w:t>
      </w:r>
      <w:proofErr w:type="spellEnd"/>
      <w:r>
        <w:rPr>
          <w:sz w:val="20"/>
        </w:rPr>
        <w:t xml:space="preserve"> </w:t>
      </w:r>
      <w:proofErr w:type="spellStart"/>
      <w:r>
        <w:rPr>
          <w:sz w:val="20"/>
        </w:rPr>
        <w:t>został</w:t>
      </w:r>
      <w:proofErr w:type="spellEnd"/>
      <w:r>
        <w:rPr>
          <w:sz w:val="20"/>
        </w:rPr>
        <w:t xml:space="preserve"> </w:t>
      </w:r>
      <w:proofErr w:type="spellStart"/>
      <w:r>
        <w:rPr>
          <w:sz w:val="20"/>
        </w:rPr>
        <w:t>wybrany</w:t>
      </w:r>
      <w:proofErr w:type="spellEnd"/>
      <w:r>
        <w:rPr>
          <w:sz w:val="20"/>
        </w:rPr>
        <w:t xml:space="preserve"> </w:t>
      </w:r>
      <w:proofErr w:type="spellStart"/>
      <w:r>
        <w:rPr>
          <w:sz w:val="20"/>
        </w:rPr>
        <w:t>zgodnie</w:t>
      </w:r>
      <w:proofErr w:type="spellEnd"/>
      <w:r>
        <w:rPr>
          <w:sz w:val="20"/>
        </w:rPr>
        <w:t xml:space="preserve"> z </w:t>
      </w:r>
      <w:proofErr w:type="spellStart"/>
      <w:r>
        <w:rPr>
          <w:sz w:val="20"/>
        </w:rPr>
        <w:t>prawem</w:t>
      </w:r>
      <w:proofErr w:type="spellEnd"/>
      <w:r>
        <w:rPr>
          <w:sz w:val="20"/>
        </w:rPr>
        <w:t xml:space="preserve"> </w:t>
      </w:r>
      <w:proofErr w:type="spellStart"/>
      <w:r>
        <w:rPr>
          <w:sz w:val="20"/>
        </w:rPr>
        <w:t>krajowym</w:t>
      </w:r>
      <w:proofErr w:type="spellEnd"/>
      <w:r>
        <w:rPr>
          <w:sz w:val="20"/>
        </w:rPr>
        <w:t xml:space="preserve">. </w:t>
      </w:r>
      <w:proofErr w:type="spellStart"/>
      <w:r>
        <w:rPr>
          <w:sz w:val="20"/>
        </w:rPr>
        <w:t>Trzystopniowy</w:t>
      </w:r>
      <w:proofErr w:type="spellEnd"/>
      <w:r>
        <w:rPr>
          <w:sz w:val="20"/>
        </w:rPr>
        <w:t xml:space="preserve"> test </w:t>
      </w:r>
      <w:proofErr w:type="spellStart"/>
      <w:r>
        <w:rPr>
          <w:sz w:val="20"/>
        </w:rPr>
        <w:t>sformułowany</w:t>
      </w:r>
      <w:proofErr w:type="spellEnd"/>
      <w:r>
        <w:rPr>
          <w:sz w:val="20"/>
        </w:rPr>
        <w:t xml:space="preserve"> </w:t>
      </w:r>
      <w:hyperlink r:id="rId67">
        <w:r w:rsidRPr="009E35EA">
          <w:rPr>
            <w:iCs/>
            <w:color w:val="000000" w:themeColor="text1"/>
            <w:sz w:val="20"/>
          </w:rPr>
          <w:t xml:space="preserve">w </w:t>
        </w:r>
        <w:proofErr w:type="spellStart"/>
        <w:r w:rsidRPr="009E35EA">
          <w:rPr>
            <w:iCs/>
            <w:color w:val="000000" w:themeColor="text1"/>
            <w:sz w:val="20"/>
          </w:rPr>
          <w:t>sprawie</w:t>
        </w:r>
        <w:proofErr w:type="spellEnd"/>
        <w:r w:rsidRPr="009E35EA">
          <w:rPr>
            <w:i/>
            <w:color w:val="000000" w:themeColor="text1"/>
            <w:sz w:val="20"/>
          </w:rPr>
          <w:t xml:space="preserve"> </w:t>
        </w:r>
        <w:r>
          <w:rPr>
            <w:i/>
            <w:color w:val="0072BC"/>
            <w:sz w:val="20"/>
          </w:rPr>
          <w:t xml:space="preserve">Guðmundur Andri </w:t>
        </w:r>
        <w:proofErr w:type="spellStart"/>
        <w:r>
          <w:rPr>
            <w:i/>
            <w:color w:val="0072BC"/>
            <w:sz w:val="20"/>
          </w:rPr>
          <w:t>Ástráðsson</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Islandii</w:t>
        </w:r>
        <w:proofErr w:type="spellEnd"/>
      </w:hyperlink>
      <w:r>
        <w:rPr>
          <w:sz w:val="20"/>
        </w:rPr>
        <w:t xml:space="preserve"> [</w:t>
      </w:r>
      <w:r w:rsidR="00442520">
        <w:rPr>
          <w:sz w:val="20"/>
        </w:rPr>
        <w:t>WI</w:t>
      </w:r>
      <w:r>
        <w:rPr>
          <w:sz w:val="20"/>
        </w:rPr>
        <w:t>], 2020</w:t>
      </w:r>
      <w:r w:rsidR="002C6BC6">
        <w:rPr>
          <w:sz w:val="20"/>
        </w:rPr>
        <w:t xml:space="preserve"> r.</w:t>
      </w:r>
      <w:r>
        <w:rPr>
          <w:sz w:val="20"/>
        </w:rPr>
        <w:t xml:space="preserve">, </w:t>
      </w:r>
      <w:proofErr w:type="spellStart"/>
      <w:r>
        <w:rPr>
          <w:sz w:val="20"/>
        </w:rPr>
        <w:t>miał</w:t>
      </w:r>
      <w:proofErr w:type="spellEnd"/>
      <w:r>
        <w:rPr>
          <w:sz w:val="20"/>
        </w:rPr>
        <w:t xml:space="preserve"> </w:t>
      </w:r>
      <w:proofErr w:type="spellStart"/>
      <w:r>
        <w:rPr>
          <w:sz w:val="20"/>
        </w:rPr>
        <w:t>zastosowanie</w:t>
      </w:r>
      <w:proofErr w:type="spellEnd"/>
      <w:r>
        <w:rPr>
          <w:sz w:val="20"/>
        </w:rPr>
        <w:t xml:space="preserve"> do </w:t>
      </w:r>
      <w:proofErr w:type="spellStart"/>
      <w:r>
        <w:rPr>
          <w:sz w:val="20"/>
        </w:rPr>
        <w:t>sprawy</w:t>
      </w:r>
      <w:proofErr w:type="spellEnd"/>
      <w:r>
        <w:rPr>
          <w:sz w:val="20"/>
        </w:rPr>
        <w:t xml:space="preserve"> </w:t>
      </w:r>
      <w:proofErr w:type="spellStart"/>
      <w:r>
        <w:rPr>
          <w:sz w:val="20"/>
        </w:rPr>
        <w:t>cywilnej</w:t>
      </w:r>
      <w:proofErr w:type="spellEnd"/>
      <w:r>
        <w:rPr>
          <w:sz w:val="20"/>
        </w:rPr>
        <w:t xml:space="preserve"> </w:t>
      </w:r>
      <w:proofErr w:type="spellStart"/>
      <w:r>
        <w:rPr>
          <w:sz w:val="20"/>
        </w:rPr>
        <w:t>przed</w:t>
      </w:r>
      <w:proofErr w:type="spellEnd"/>
      <w:r>
        <w:rPr>
          <w:sz w:val="20"/>
        </w:rPr>
        <w:t xml:space="preserve"> </w:t>
      </w:r>
      <w:proofErr w:type="spellStart"/>
      <w:r>
        <w:rPr>
          <w:sz w:val="20"/>
        </w:rPr>
        <w:t>Trybunałem</w:t>
      </w:r>
      <w:proofErr w:type="spellEnd"/>
      <w:r>
        <w:rPr>
          <w:sz w:val="20"/>
        </w:rPr>
        <w:t xml:space="preserve"> </w:t>
      </w:r>
      <w:proofErr w:type="spellStart"/>
      <w:r>
        <w:rPr>
          <w:sz w:val="20"/>
        </w:rPr>
        <w:t>Konstytucyjnym</w:t>
      </w:r>
      <w:proofErr w:type="spellEnd"/>
      <w:r>
        <w:rPr>
          <w:sz w:val="20"/>
        </w:rPr>
        <w:t xml:space="preserve"> (</w:t>
      </w:r>
      <w:proofErr w:type="spellStart"/>
      <w:r>
        <w:rPr>
          <w:sz w:val="20"/>
        </w:rPr>
        <w:t>naruszenie</w:t>
      </w:r>
      <w:proofErr w:type="spellEnd"/>
      <w:r>
        <w:rPr>
          <w:sz w:val="20"/>
        </w:rPr>
        <w:t>).</w:t>
      </w:r>
    </w:p>
    <w:p w14:paraId="33314C78" w14:textId="77777777" w:rsidR="004D1679" w:rsidRDefault="00000000">
      <w:pPr>
        <w:pStyle w:val="Nagwek3"/>
      </w:pPr>
      <w:proofErr w:type="spellStart"/>
      <w:r>
        <w:rPr>
          <w:color w:val="2F2F2F"/>
          <w:w w:val="85"/>
          <w:sz w:val="26"/>
        </w:rPr>
        <w:t>Czas</w:t>
      </w:r>
      <w:proofErr w:type="spellEnd"/>
      <w:r>
        <w:rPr>
          <w:color w:val="2F2F2F"/>
          <w:w w:val="85"/>
          <w:sz w:val="26"/>
        </w:rPr>
        <w:t xml:space="preserve"> </w:t>
      </w:r>
      <w:proofErr w:type="spellStart"/>
      <w:r>
        <w:rPr>
          <w:color w:val="2F2F2F"/>
          <w:w w:val="85"/>
          <w:sz w:val="26"/>
        </w:rPr>
        <w:t>trwania</w:t>
      </w:r>
      <w:proofErr w:type="spellEnd"/>
      <w:r>
        <w:rPr>
          <w:color w:val="2F2F2F"/>
          <w:w w:val="85"/>
          <w:sz w:val="26"/>
        </w:rPr>
        <w:t xml:space="preserve"> </w:t>
      </w:r>
      <w:proofErr w:type="spellStart"/>
      <w:r>
        <w:rPr>
          <w:color w:val="2F2F2F"/>
          <w:spacing w:val="-2"/>
          <w:w w:val="85"/>
          <w:sz w:val="26"/>
        </w:rPr>
        <w:t>postępowania</w:t>
      </w:r>
      <w:proofErr w:type="spellEnd"/>
      <w:r>
        <w:rPr>
          <w:color w:val="2F2F2F"/>
          <w:spacing w:val="-2"/>
          <w:w w:val="85"/>
          <w:sz w:val="26"/>
        </w:rPr>
        <w:t>:</w:t>
      </w:r>
    </w:p>
    <w:p w14:paraId="054F6706" w14:textId="3CC87FF4" w:rsidR="004D1679" w:rsidRDefault="004D1679" w:rsidP="00E4395E">
      <w:pPr>
        <w:pStyle w:val="Akapitzlist"/>
        <w:numPr>
          <w:ilvl w:val="0"/>
          <w:numId w:val="1"/>
        </w:numPr>
        <w:tabs>
          <w:tab w:val="left" w:pos="1583"/>
        </w:tabs>
        <w:spacing w:before="75"/>
        <w:ind w:right="730" w:hanging="284"/>
        <w:jc w:val="both"/>
        <w:rPr>
          <w:rFonts w:ascii="Arial" w:hAnsi="Arial"/>
          <w:color w:val="0072BC"/>
        </w:rPr>
      </w:pPr>
      <w:hyperlink r:id="rId68">
        <w:r>
          <w:rPr>
            <w:i/>
            <w:color w:val="0072BC"/>
            <w:sz w:val="20"/>
          </w:rPr>
          <w:t xml:space="preserve">Von Maltzan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(dec.) [</w:t>
      </w:r>
      <w:r w:rsidR="00442520">
        <w:rPr>
          <w:sz w:val="20"/>
        </w:rPr>
        <w:t>WI</w:t>
      </w:r>
      <w:r>
        <w:rPr>
          <w:sz w:val="20"/>
        </w:rPr>
        <w:t>], 2005</w:t>
      </w:r>
      <w:r w:rsidR="002C6BC6">
        <w:rPr>
          <w:sz w:val="20"/>
        </w:rPr>
        <w:t xml:space="preserve"> r.</w:t>
      </w:r>
      <w:r>
        <w:rPr>
          <w:sz w:val="20"/>
        </w:rPr>
        <w:t xml:space="preserve">: </w:t>
      </w:r>
      <w:proofErr w:type="spellStart"/>
      <w:r>
        <w:rPr>
          <w:sz w:val="20"/>
        </w:rPr>
        <w:t>Czas</w:t>
      </w:r>
      <w:proofErr w:type="spellEnd"/>
      <w:r>
        <w:rPr>
          <w:sz w:val="20"/>
        </w:rPr>
        <w:t xml:space="preserve"> </w:t>
      </w:r>
      <w:proofErr w:type="spellStart"/>
      <w:r>
        <w:rPr>
          <w:sz w:val="20"/>
        </w:rPr>
        <w:t>trwani</w:t>
      </w:r>
      <w:r w:rsidR="00E4395E">
        <w:rPr>
          <w:sz w:val="20"/>
        </w:rPr>
        <w:t>a</w:t>
      </w:r>
      <w:proofErr w:type="spellEnd"/>
      <w:r w:rsidR="00E4395E">
        <w:rPr>
          <w:sz w:val="20"/>
        </w:rPr>
        <w:t xml:space="preserve"> </w:t>
      </w:r>
      <w:proofErr w:type="spellStart"/>
      <w:r w:rsidR="00E4395E">
        <w:rPr>
          <w:sz w:val="20"/>
        </w:rPr>
        <w:t>postępowania</w:t>
      </w:r>
      <w:proofErr w:type="spellEnd"/>
      <w:r>
        <w:rPr>
          <w:sz w:val="20"/>
        </w:rPr>
        <w:t xml:space="preserve"> </w:t>
      </w:r>
      <w:proofErr w:type="spellStart"/>
      <w:r>
        <w:rPr>
          <w:sz w:val="20"/>
        </w:rPr>
        <w:t>przed</w:t>
      </w:r>
      <w:proofErr w:type="spellEnd"/>
      <w:r>
        <w:rPr>
          <w:sz w:val="20"/>
        </w:rPr>
        <w:t xml:space="preserve"> </w:t>
      </w:r>
      <w:proofErr w:type="spellStart"/>
      <w:r>
        <w:rPr>
          <w:sz w:val="20"/>
        </w:rPr>
        <w:t>niemieckim</w:t>
      </w:r>
      <w:proofErr w:type="spellEnd"/>
      <w:r>
        <w:rPr>
          <w:sz w:val="20"/>
        </w:rPr>
        <w:t xml:space="preserve"> </w:t>
      </w:r>
      <w:proofErr w:type="spellStart"/>
      <w:r>
        <w:rPr>
          <w:sz w:val="20"/>
        </w:rPr>
        <w:t>Federalnym</w:t>
      </w:r>
      <w:proofErr w:type="spellEnd"/>
      <w:r>
        <w:rPr>
          <w:sz w:val="20"/>
        </w:rPr>
        <w:t xml:space="preserve"> </w:t>
      </w:r>
      <w:proofErr w:type="spellStart"/>
      <w:r>
        <w:rPr>
          <w:sz w:val="20"/>
        </w:rPr>
        <w:t>Trybunałem</w:t>
      </w:r>
      <w:proofErr w:type="spellEnd"/>
      <w:r>
        <w:rPr>
          <w:sz w:val="20"/>
        </w:rPr>
        <w:t xml:space="preserve"> </w:t>
      </w:r>
      <w:proofErr w:type="spellStart"/>
      <w:r>
        <w:rPr>
          <w:sz w:val="20"/>
        </w:rPr>
        <w:t>Konstytucyjnym</w:t>
      </w:r>
      <w:proofErr w:type="spellEnd"/>
      <w:r>
        <w:rPr>
          <w:sz w:val="20"/>
        </w:rPr>
        <w:t xml:space="preserve"> </w:t>
      </w:r>
      <w:proofErr w:type="spellStart"/>
      <w:r>
        <w:rPr>
          <w:sz w:val="20"/>
        </w:rPr>
        <w:t>związanego</w:t>
      </w:r>
      <w:proofErr w:type="spellEnd"/>
      <w:r>
        <w:rPr>
          <w:sz w:val="20"/>
        </w:rPr>
        <w:t xml:space="preserve"> z </w:t>
      </w:r>
      <w:proofErr w:type="spellStart"/>
      <w:r>
        <w:rPr>
          <w:sz w:val="20"/>
        </w:rPr>
        <w:t>wywłaszczeniami</w:t>
      </w:r>
      <w:proofErr w:type="spellEnd"/>
      <w:r>
        <w:rPr>
          <w:sz w:val="20"/>
        </w:rPr>
        <w:t xml:space="preserve"> w </w:t>
      </w:r>
      <w:proofErr w:type="spellStart"/>
      <w:r>
        <w:rPr>
          <w:sz w:val="20"/>
        </w:rPr>
        <w:t>okresie</w:t>
      </w:r>
      <w:proofErr w:type="spellEnd"/>
      <w:r>
        <w:rPr>
          <w:sz w:val="20"/>
        </w:rPr>
        <w:t xml:space="preserve"> </w:t>
      </w:r>
      <w:proofErr w:type="spellStart"/>
      <w:r>
        <w:rPr>
          <w:sz w:val="20"/>
        </w:rPr>
        <w:t>komunizmu</w:t>
      </w:r>
      <w:proofErr w:type="spellEnd"/>
      <w:r>
        <w:rPr>
          <w:sz w:val="20"/>
        </w:rPr>
        <w:t xml:space="preserve"> w </w:t>
      </w:r>
      <w:proofErr w:type="spellStart"/>
      <w:r>
        <w:rPr>
          <w:sz w:val="20"/>
        </w:rPr>
        <w:t>wyjątkowym</w:t>
      </w:r>
      <w:proofErr w:type="spellEnd"/>
      <w:r>
        <w:rPr>
          <w:sz w:val="20"/>
        </w:rPr>
        <w:t xml:space="preserve"> </w:t>
      </w:r>
      <w:proofErr w:type="spellStart"/>
      <w:r>
        <w:rPr>
          <w:sz w:val="20"/>
        </w:rPr>
        <w:t>kontekście</w:t>
      </w:r>
      <w:proofErr w:type="spellEnd"/>
      <w:r>
        <w:rPr>
          <w:sz w:val="20"/>
        </w:rPr>
        <w:t xml:space="preserve"> </w:t>
      </w:r>
      <w:proofErr w:type="spellStart"/>
      <w:r>
        <w:rPr>
          <w:sz w:val="20"/>
        </w:rPr>
        <w:t>zjednoczenia</w:t>
      </w:r>
      <w:proofErr w:type="spellEnd"/>
      <w:r>
        <w:rPr>
          <w:sz w:val="20"/>
        </w:rPr>
        <w:t xml:space="preserve"> Niemiec (</w:t>
      </w:r>
      <w:proofErr w:type="spellStart"/>
      <w:r>
        <w:rPr>
          <w:sz w:val="20"/>
        </w:rPr>
        <w:t>niedopuszczalne</w:t>
      </w:r>
      <w:proofErr w:type="spellEnd"/>
      <w:r>
        <w:rPr>
          <w:sz w:val="20"/>
        </w:rPr>
        <w:t>);</w:t>
      </w:r>
    </w:p>
    <w:p w14:paraId="522FF2F9" w14:textId="7BC0811F" w:rsidR="004D1679" w:rsidRDefault="004D1679">
      <w:pPr>
        <w:pStyle w:val="Akapitzlist"/>
        <w:numPr>
          <w:ilvl w:val="0"/>
          <w:numId w:val="1"/>
        </w:numPr>
        <w:tabs>
          <w:tab w:val="left" w:pos="1583"/>
        </w:tabs>
        <w:ind w:right="730" w:hanging="284"/>
        <w:jc w:val="both"/>
        <w:rPr>
          <w:rFonts w:ascii="Arial" w:hAnsi="Arial"/>
          <w:color w:val="0072BC"/>
        </w:rPr>
      </w:pPr>
      <w:hyperlink r:id="rId69">
        <w:r>
          <w:rPr>
            <w:i/>
            <w:color w:val="0072BC"/>
            <w:sz w:val="20"/>
          </w:rPr>
          <w:t xml:space="preserve">Janković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(dec.), 2000</w:t>
      </w:r>
      <w:r w:rsidR="00442520">
        <w:rPr>
          <w:sz w:val="20"/>
        </w:rPr>
        <w:t xml:space="preserve"> r.</w:t>
      </w:r>
      <w:r>
        <w:rPr>
          <w:sz w:val="20"/>
        </w:rPr>
        <w:t xml:space="preserve">: </w:t>
      </w:r>
      <w:proofErr w:type="spellStart"/>
      <w:r>
        <w:rPr>
          <w:sz w:val="20"/>
        </w:rPr>
        <w:t>Długość</w:t>
      </w:r>
      <w:proofErr w:type="spellEnd"/>
      <w:r>
        <w:rPr>
          <w:sz w:val="20"/>
        </w:rPr>
        <w:t xml:space="preserve"> </w:t>
      </w:r>
      <w:proofErr w:type="spellStart"/>
      <w:r>
        <w:rPr>
          <w:sz w:val="20"/>
        </w:rPr>
        <w:t>postępowania</w:t>
      </w:r>
      <w:proofErr w:type="spellEnd"/>
      <w:r>
        <w:rPr>
          <w:sz w:val="20"/>
        </w:rPr>
        <w:t xml:space="preserve"> </w:t>
      </w:r>
      <w:proofErr w:type="spellStart"/>
      <w:r>
        <w:rPr>
          <w:sz w:val="20"/>
        </w:rPr>
        <w:t>konstytucyjnego</w:t>
      </w:r>
      <w:proofErr w:type="spellEnd"/>
      <w:r>
        <w:rPr>
          <w:sz w:val="20"/>
        </w:rPr>
        <w:t xml:space="preserve"> w </w:t>
      </w:r>
      <w:proofErr w:type="spellStart"/>
      <w:r>
        <w:rPr>
          <w:sz w:val="20"/>
        </w:rPr>
        <w:t>sprawie</w:t>
      </w:r>
      <w:proofErr w:type="spellEnd"/>
      <w:r>
        <w:rPr>
          <w:sz w:val="20"/>
        </w:rPr>
        <w:t xml:space="preserve"> </w:t>
      </w:r>
      <w:proofErr w:type="spellStart"/>
      <w:r>
        <w:rPr>
          <w:sz w:val="20"/>
        </w:rPr>
        <w:t>emerytury</w:t>
      </w:r>
      <w:proofErr w:type="spellEnd"/>
      <w:r>
        <w:rPr>
          <w:sz w:val="20"/>
        </w:rPr>
        <w:t xml:space="preserve"> </w:t>
      </w:r>
      <w:proofErr w:type="spellStart"/>
      <w:r>
        <w:rPr>
          <w:sz w:val="20"/>
        </w:rPr>
        <w:t>wojskowej</w:t>
      </w:r>
      <w:proofErr w:type="spellEnd"/>
      <w:r>
        <w:rPr>
          <w:sz w:val="20"/>
        </w:rPr>
        <w:t xml:space="preserve"> </w:t>
      </w:r>
      <w:proofErr w:type="spellStart"/>
      <w:r>
        <w:rPr>
          <w:sz w:val="20"/>
        </w:rPr>
        <w:t>dla</w:t>
      </w:r>
      <w:proofErr w:type="spellEnd"/>
      <w:r>
        <w:rPr>
          <w:sz w:val="20"/>
        </w:rPr>
        <w:t xml:space="preserve"> </w:t>
      </w:r>
      <w:proofErr w:type="spellStart"/>
      <w:r>
        <w:rPr>
          <w:sz w:val="20"/>
        </w:rPr>
        <w:t>emerytowanego</w:t>
      </w:r>
      <w:proofErr w:type="spellEnd"/>
      <w:r>
        <w:rPr>
          <w:sz w:val="20"/>
        </w:rPr>
        <w:t xml:space="preserve"> </w:t>
      </w:r>
      <w:proofErr w:type="spellStart"/>
      <w:r>
        <w:rPr>
          <w:sz w:val="20"/>
        </w:rPr>
        <w:t>oficera</w:t>
      </w:r>
      <w:proofErr w:type="spellEnd"/>
      <w:r>
        <w:rPr>
          <w:sz w:val="20"/>
        </w:rPr>
        <w:t xml:space="preserve"> </w:t>
      </w:r>
      <w:proofErr w:type="spellStart"/>
      <w:r>
        <w:rPr>
          <w:sz w:val="20"/>
        </w:rPr>
        <w:t>Jugosłowiańskiej</w:t>
      </w:r>
      <w:proofErr w:type="spellEnd"/>
      <w:r>
        <w:rPr>
          <w:sz w:val="20"/>
        </w:rPr>
        <w:t xml:space="preserve"> </w:t>
      </w:r>
      <w:proofErr w:type="spellStart"/>
      <w:r>
        <w:rPr>
          <w:sz w:val="20"/>
        </w:rPr>
        <w:t>Armii</w:t>
      </w:r>
      <w:proofErr w:type="spellEnd"/>
      <w:r>
        <w:rPr>
          <w:sz w:val="20"/>
        </w:rPr>
        <w:t xml:space="preserve"> </w:t>
      </w:r>
      <w:proofErr w:type="spellStart"/>
      <w:r>
        <w:rPr>
          <w:sz w:val="20"/>
        </w:rPr>
        <w:t>Ludowej</w:t>
      </w:r>
      <w:proofErr w:type="spellEnd"/>
      <w:r>
        <w:rPr>
          <w:sz w:val="20"/>
        </w:rPr>
        <w:t xml:space="preserve"> </w:t>
      </w:r>
      <w:proofErr w:type="spellStart"/>
      <w:r>
        <w:rPr>
          <w:sz w:val="20"/>
        </w:rPr>
        <w:t>obejmującego</w:t>
      </w:r>
      <w:proofErr w:type="spellEnd"/>
      <w:r>
        <w:rPr>
          <w:sz w:val="20"/>
        </w:rPr>
        <w:t xml:space="preserve"> </w:t>
      </w:r>
      <w:proofErr w:type="spellStart"/>
      <w:r>
        <w:rPr>
          <w:sz w:val="20"/>
        </w:rPr>
        <w:t>złożone</w:t>
      </w:r>
      <w:proofErr w:type="spellEnd"/>
      <w:r>
        <w:rPr>
          <w:sz w:val="20"/>
        </w:rPr>
        <w:t xml:space="preserve"> </w:t>
      </w:r>
      <w:proofErr w:type="spellStart"/>
      <w:r>
        <w:rPr>
          <w:sz w:val="20"/>
        </w:rPr>
        <w:t>kwestie</w:t>
      </w:r>
      <w:proofErr w:type="spellEnd"/>
      <w:r>
        <w:rPr>
          <w:sz w:val="20"/>
        </w:rPr>
        <w:t xml:space="preserve"> </w:t>
      </w:r>
      <w:proofErr w:type="spellStart"/>
      <w:r>
        <w:rPr>
          <w:sz w:val="20"/>
        </w:rPr>
        <w:t>prawne</w:t>
      </w:r>
      <w:proofErr w:type="spellEnd"/>
      <w:r>
        <w:rPr>
          <w:sz w:val="20"/>
        </w:rPr>
        <w:t xml:space="preserve"> w </w:t>
      </w:r>
      <w:proofErr w:type="spellStart"/>
      <w:r>
        <w:rPr>
          <w:sz w:val="20"/>
        </w:rPr>
        <w:t>kontekście</w:t>
      </w:r>
      <w:proofErr w:type="spellEnd"/>
      <w:r>
        <w:rPr>
          <w:sz w:val="20"/>
        </w:rPr>
        <w:t xml:space="preserve"> </w:t>
      </w:r>
      <w:proofErr w:type="spellStart"/>
      <w:r>
        <w:rPr>
          <w:sz w:val="20"/>
        </w:rPr>
        <w:t>rozpadu</w:t>
      </w:r>
      <w:proofErr w:type="spellEnd"/>
      <w:r>
        <w:rPr>
          <w:sz w:val="20"/>
        </w:rPr>
        <w:t xml:space="preserve"> </w:t>
      </w:r>
      <w:proofErr w:type="spellStart"/>
      <w:r>
        <w:rPr>
          <w:sz w:val="20"/>
        </w:rPr>
        <w:t>byłej</w:t>
      </w:r>
      <w:proofErr w:type="spellEnd"/>
      <w:r>
        <w:rPr>
          <w:sz w:val="20"/>
        </w:rPr>
        <w:t xml:space="preserve"> </w:t>
      </w:r>
      <w:proofErr w:type="spellStart"/>
      <w:r>
        <w:rPr>
          <w:sz w:val="20"/>
        </w:rPr>
        <w:t>Jugosławii</w:t>
      </w:r>
      <w:proofErr w:type="spellEnd"/>
      <w:r>
        <w:rPr>
          <w:sz w:val="20"/>
        </w:rPr>
        <w:t xml:space="preserve"> (</w:t>
      </w:r>
      <w:proofErr w:type="spellStart"/>
      <w:r>
        <w:rPr>
          <w:sz w:val="20"/>
        </w:rPr>
        <w:t>niedopuszczalne</w:t>
      </w:r>
      <w:proofErr w:type="spellEnd"/>
      <w:r>
        <w:rPr>
          <w:sz w:val="20"/>
        </w:rPr>
        <w:t>);</w:t>
      </w:r>
    </w:p>
    <w:p w14:paraId="1489113A" w14:textId="5408A1D1" w:rsidR="004D1679" w:rsidRDefault="004D1679">
      <w:pPr>
        <w:pStyle w:val="Akapitzlist"/>
        <w:numPr>
          <w:ilvl w:val="0"/>
          <w:numId w:val="1"/>
        </w:numPr>
        <w:tabs>
          <w:tab w:val="left" w:pos="1583"/>
        </w:tabs>
        <w:ind w:right="731" w:hanging="284"/>
        <w:jc w:val="both"/>
        <w:rPr>
          <w:rFonts w:ascii="Arial" w:hAnsi="Arial"/>
          <w:color w:val="0072BC"/>
          <w:sz w:val="20"/>
        </w:rPr>
      </w:pPr>
      <w:hyperlink r:id="rId70">
        <w:r>
          <w:rPr>
            <w:i/>
            <w:color w:val="0072BC"/>
            <w:sz w:val="20"/>
          </w:rPr>
          <w:t xml:space="preserve">Oršuš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w:t>
      </w:r>
      <w:r w:rsidR="00442520">
        <w:rPr>
          <w:sz w:val="20"/>
        </w:rPr>
        <w:t>WI</w:t>
      </w:r>
      <w:r>
        <w:rPr>
          <w:sz w:val="20"/>
        </w:rPr>
        <w:t>], 2010</w:t>
      </w:r>
      <w:r w:rsidR="00442520">
        <w:rPr>
          <w:sz w:val="20"/>
        </w:rPr>
        <w:t xml:space="preserve"> r.</w:t>
      </w:r>
      <w:r>
        <w:rPr>
          <w:sz w:val="20"/>
        </w:rPr>
        <w:t xml:space="preserve">: </w:t>
      </w:r>
      <w:proofErr w:type="spellStart"/>
      <w:r>
        <w:rPr>
          <w:sz w:val="20"/>
        </w:rPr>
        <w:t>Długość</w:t>
      </w:r>
      <w:proofErr w:type="spellEnd"/>
      <w:r>
        <w:rPr>
          <w:sz w:val="20"/>
        </w:rPr>
        <w:t xml:space="preserve"> </w:t>
      </w:r>
      <w:proofErr w:type="spellStart"/>
      <w:r>
        <w:rPr>
          <w:sz w:val="20"/>
        </w:rPr>
        <w:t>postępowania</w:t>
      </w:r>
      <w:proofErr w:type="spellEnd"/>
      <w:r>
        <w:rPr>
          <w:sz w:val="20"/>
        </w:rPr>
        <w:t xml:space="preserve"> </w:t>
      </w:r>
      <w:proofErr w:type="spellStart"/>
      <w:r>
        <w:rPr>
          <w:sz w:val="20"/>
        </w:rPr>
        <w:t>przed</w:t>
      </w:r>
      <w:proofErr w:type="spellEnd"/>
      <w:r>
        <w:rPr>
          <w:sz w:val="20"/>
        </w:rPr>
        <w:t xml:space="preserve"> </w:t>
      </w:r>
      <w:proofErr w:type="spellStart"/>
      <w:r>
        <w:rPr>
          <w:sz w:val="20"/>
        </w:rPr>
        <w:t>Trybunałem</w:t>
      </w:r>
      <w:proofErr w:type="spellEnd"/>
      <w:r>
        <w:rPr>
          <w:sz w:val="20"/>
        </w:rPr>
        <w:t xml:space="preserve"> </w:t>
      </w:r>
      <w:proofErr w:type="spellStart"/>
      <w:r>
        <w:rPr>
          <w:sz w:val="20"/>
        </w:rPr>
        <w:t>Konstytucyjnym</w:t>
      </w:r>
      <w:proofErr w:type="spellEnd"/>
      <w:r>
        <w:rPr>
          <w:sz w:val="20"/>
        </w:rPr>
        <w:t xml:space="preserve"> </w:t>
      </w:r>
      <w:proofErr w:type="spellStart"/>
      <w:r>
        <w:rPr>
          <w:sz w:val="20"/>
        </w:rPr>
        <w:t>trwającego</w:t>
      </w:r>
      <w:proofErr w:type="spellEnd"/>
      <w:r>
        <w:rPr>
          <w:sz w:val="20"/>
        </w:rPr>
        <w:t xml:space="preserve"> </w:t>
      </w:r>
      <w:proofErr w:type="spellStart"/>
      <w:r>
        <w:rPr>
          <w:sz w:val="20"/>
        </w:rPr>
        <w:t>ponad</w:t>
      </w:r>
      <w:proofErr w:type="spellEnd"/>
      <w:r>
        <w:rPr>
          <w:sz w:val="20"/>
        </w:rPr>
        <w:t xml:space="preserve"> </w:t>
      </w:r>
      <w:proofErr w:type="spellStart"/>
      <w:r>
        <w:rPr>
          <w:sz w:val="20"/>
        </w:rPr>
        <w:t>cztery</w:t>
      </w:r>
      <w:proofErr w:type="spellEnd"/>
      <w:r>
        <w:rPr>
          <w:sz w:val="20"/>
        </w:rPr>
        <w:t xml:space="preserve"> </w:t>
      </w:r>
      <w:proofErr w:type="spellStart"/>
      <w:r>
        <w:rPr>
          <w:sz w:val="20"/>
        </w:rPr>
        <w:t>lata</w:t>
      </w:r>
      <w:proofErr w:type="spellEnd"/>
      <w:r>
        <w:rPr>
          <w:sz w:val="20"/>
        </w:rPr>
        <w:t xml:space="preserve"> (</w:t>
      </w:r>
      <w:proofErr w:type="spellStart"/>
      <w:r>
        <w:rPr>
          <w:sz w:val="20"/>
        </w:rPr>
        <w:t>naruszenie</w:t>
      </w:r>
      <w:proofErr w:type="spellEnd"/>
      <w:r>
        <w:rPr>
          <w:sz w:val="20"/>
        </w:rPr>
        <w:t>);</w:t>
      </w:r>
    </w:p>
    <w:p w14:paraId="69669E95" w14:textId="77777777" w:rsidR="004D1679" w:rsidRDefault="004D1679">
      <w:pPr>
        <w:pStyle w:val="Akapitzlist"/>
        <w:jc w:val="both"/>
        <w:rPr>
          <w:rFonts w:ascii="Arial" w:hAnsi="Arial"/>
          <w:sz w:val="20"/>
        </w:rPr>
        <w:sectPr w:rsidR="004D1679">
          <w:pgSz w:w="11910" w:h="16840"/>
          <w:pgMar w:top="1080" w:right="708" w:bottom="860" w:left="708" w:header="698" w:footer="677" w:gutter="0"/>
          <w:cols w:space="708"/>
        </w:sectPr>
      </w:pPr>
    </w:p>
    <w:p w14:paraId="20DEA308" w14:textId="77777777" w:rsidR="004D1679" w:rsidRDefault="004D1679">
      <w:pPr>
        <w:pStyle w:val="Tekstpodstawowy"/>
        <w:spacing w:before="0"/>
        <w:ind w:left="0" w:right="0" w:firstLine="0"/>
        <w:jc w:val="left"/>
      </w:pPr>
    </w:p>
    <w:p w14:paraId="182128C6" w14:textId="77777777" w:rsidR="004D1679" w:rsidRDefault="004D1679">
      <w:pPr>
        <w:pStyle w:val="Tekstpodstawowy"/>
        <w:spacing w:before="0"/>
        <w:ind w:left="0" w:right="0" w:firstLine="0"/>
        <w:jc w:val="left"/>
      </w:pPr>
    </w:p>
    <w:p w14:paraId="4B25F69E" w14:textId="742D8780" w:rsidR="004D1679" w:rsidRDefault="004D1679">
      <w:pPr>
        <w:pStyle w:val="Akapitzlist"/>
        <w:numPr>
          <w:ilvl w:val="0"/>
          <w:numId w:val="1"/>
        </w:numPr>
        <w:tabs>
          <w:tab w:val="left" w:pos="1583"/>
        </w:tabs>
        <w:spacing w:before="0"/>
        <w:ind w:right="728" w:hanging="284"/>
        <w:jc w:val="both"/>
        <w:rPr>
          <w:rFonts w:ascii="Arial" w:hAnsi="Arial"/>
          <w:color w:val="0072BC"/>
        </w:rPr>
      </w:pPr>
      <w:hyperlink r:id="rId71">
        <w:r>
          <w:rPr>
            <w:i/>
            <w:color w:val="0072BC"/>
            <w:sz w:val="20"/>
          </w:rPr>
          <w:t xml:space="preserve">Project-Trade d.o.o.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2020</w:t>
      </w:r>
      <w:r w:rsidR="00442520">
        <w:rPr>
          <w:sz w:val="20"/>
        </w:rPr>
        <w:t xml:space="preserve"> r.</w:t>
      </w:r>
      <w:r>
        <w:rPr>
          <w:sz w:val="20"/>
        </w:rPr>
        <w:t xml:space="preserve">: </w:t>
      </w:r>
      <w:proofErr w:type="spellStart"/>
      <w:r>
        <w:rPr>
          <w:sz w:val="20"/>
        </w:rPr>
        <w:t>Trwające</w:t>
      </w:r>
      <w:proofErr w:type="spellEnd"/>
      <w:r>
        <w:rPr>
          <w:sz w:val="20"/>
        </w:rPr>
        <w:t xml:space="preserve"> </w:t>
      </w:r>
      <w:proofErr w:type="spellStart"/>
      <w:r>
        <w:rPr>
          <w:sz w:val="20"/>
        </w:rPr>
        <w:t>prawie</w:t>
      </w:r>
      <w:proofErr w:type="spellEnd"/>
      <w:r>
        <w:rPr>
          <w:sz w:val="20"/>
        </w:rPr>
        <w:t xml:space="preserve"> </w:t>
      </w:r>
      <w:proofErr w:type="spellStart"/>
      <w:r>
        <w:rPr>
          <w:sz w:val="20"/>
        </w:rPr>
        <w:t>pięć</w:t>
      </w:r>
      <w:proofErr w:type="spellEnd"/>
      <w:r>
        <w:rPr>
          <w:sz w:val="20"/>
        </w:rPr>
        <w:t xml:space="preserve"> </w:t>
      </w:r>
      <w:proofErr w:type="spellStart"/>
      <w:r>
        <w:rPr>
          <w:sz w:val="20"/>
        </w:rPr>
        <w:t>lat</w:t>
      </w:r>
      <w:proofErr w:type="spellEnd"/>
      <w:r>
        <w:rPr>
          <w:sz w:val="20"/>
        </w:rPr>
        <w:t xml:space="preserve"> </w:t>
      </w:r>
      <w:proofErr w:type="spellStart"/>
      <w:r>
        <w:rPr>
          <w:sz w:val="20"/>
        </w:rPr>
        <w:t>postępowanie</w:t>
      </w:r>
      <w:proofErr w:type="spellEnd"/>
      <w:r>
        <w:rPr>
          <w:sz w:val="20"/>
        </w:rPr>
        <w:t xml:space="preserve"> </w:t>
      </w:r>
      <w:proofErr w:type="spellStart"/>
      <w:r>
        <w:rPr>
          <w:sz w:val="20"/>
        </w:rPr>
        <w:t>przed</w:t>
      </w:r>
      <w:proofErr w:type="spellEnd"/>
      <w:r>
        <w:rPr>
          <w:sz w:val="20"/>
        </w:rPr>
        <w:t xml:space="preserve"> </w:t>
      </w:r>
      <w:proofErr w:type="spellStart"/>
      <w:r>
        <w:rPr>
          <w:sz w:val="20"/>
        </w:rPr>
        <w:t>Trybunałem</w:t>
      </w:r>
      <w:proofErr w:type="spellEnd"/>
      <w:r>
        <w:rPr>
          <w:sz w:val="20"/>
        </w:rPr>
        <w:t xml:space="preserve"> </w:t>
      </w:r>
      <w:proofErr w:type="spellStart"/>
      <w:r>
        <w:rPr>
          <w:sz w:val="20"/>
        </w:rPr>
        <w:t>Konstytucyjnym</w:t>
      </w:r>
      <w:proofErr w:type="spellEnd"/>
      <w:r>
        <w:rPr>
          <w:sz w:val="20"/>
        </w:rPr>
        <w:t xml:space="preserve"> w </w:t>
      </w:r>
      <w:proofErr w:type="spellStart"/>
      <w:r>
        <w:rPr>
          <w:sz w:val="20"/>
        </w:rPr>
        <w:t>sprawie</w:t>
      </w:r>
      <w:proofErr w:type="spellEnd"/>
      <w:r>
        <w:rPr>
          <w:sz w:val="20"/>
        </w:rPr>
        <w:t xml:space="preserve"> </w:t>
      </w:r>
      <w:proofErr w:type="spellStart"/>
      <w:r>
        <w:rPr>
          <w:sz w:val="20"/>
        </w:rPr>
        <w:t>związanej</w:t>
      </w:r>
      <w:proofErr w:type="spellEnd"/>
      <w:r>
        <w:rPr>
          <w:sz w:val="20"/>
        </w:rPr>
        <w:t xml:space="preserve"> z </w:t>
      </w:r>
      <w:proofErr w:type="spellStart"/>
      <w:r>
        <w:rPr>
          <w:sz w:val="20"/>
        </w:rPr>
        <w:t>anulowaniem</w:t>
      </w:r>
      <w:proofErr w:type="spellEnd"/>
      <w:r>
        <w:rPr>
          <w:sz w:val="20"/>
        </w:rPr>
        <w:t xml:space="preserve"> </w:t>
      </w:r>
      <w:proofErr w:type="spellStart"/>
      <w:r>
        <w:rPr>
          <w:sz w:val="20"/>
        </w:rPr>
        <w:t>i</w:t>
      </w:r>
      <w:proofErr w:type="spellEnd"/>
      <w:r>
        <w:rPr>
          <w:sz w:val="20"/>
        </w:rPr>
        <w:t xml:space="preserve"> </w:t>
      </w:r>
      <w:proofErr w:type="spellStart"/>
      <w:r>
        <w:rPr>
          <w:sz w:val="20"/>
        </w:rPr>
        <w:t>cofnięciem</w:t>
      </w:r>
      <w:proofErr w:type="spellEnd"/>
      <w:r>
        <w:rPr>
          <w:sz w:val="20"/>
        </w:rPr>
        <w:t xml:space="preserve"> </w:t>
      </w:r>
      <w:proofErr w:type="spellStart"/>
      <w:r>
        <w:rPr>
          <w:sz w:val="20"/>
        </w:rPr>
        <w:t>udziałów</w:t>
      </w:r>
      <w:proofErr w:type="spellEnd"/>
      <w:r>
        <w:rPr>
          <w:sz w:val="20"/>
        </w:rPr>
        <w:t xml:space="preserve"> </w:t>
      </w:r>
      <w:proofErr w:type="spellStart"/>
      <w:r>
        <w:rPr>
          <w:sz w:val="20"/>
        </w:rPr>
        <w:t>skarżącej</w:t>
      </w:r>
      <w:proofErr w:type="spellEnd"/>
      <w:r>
        <w:rPr>
          <w:sz w:val="20"/>
        </w:rPr>
        <w:t xml:space="preserve"> </w:t>
      </w:r>
      <w:proofErr w:type="spellStart"/>
      <w:r>
        <w:rPr>
          <w:sz w:val="20"/>
        </w:rPr>
        <w:t>spółki</w:t>
      </w:r>
      <w:proofErr w:type="spellEnd"/>
      <w:r>
        <w:rPr>
          <w:sz w:val="20"/>
        </w:rPr>
        <w:t xml:space="preserve"> w </w:t>
      </w:r>
      <w:proofErr w:type="spellStart"/>
      <w:r>
        <w:rPr>
          <w:sz w:val="20"/>
        </w:rPr>
        <w:t>prywatnym</w:t>
      </w:r>
      <w:proofErr w:type="spellEnd"/>
      <w:r>
        <w:rPr>
          <w:sz w:val="20"/>
        </w:rPr>
        <w:t xml:space="preserve"> </w:t>
      </w:r>
      <w:proofErr w:type="spellStart"/>
      <w:r>
        <w:rPr>
          <w:sz w:val="20"/>
        </w:rPr>
        <w:t>banku</w:t>
      </w:r>
      <w:proofErr w:type="spellEnd"/>
      <w:r>
        <w:rPr>
          <w:sz w:val="20"/>
        </w:rPr>
        <w:t xml:space="preserve"> (</w:t>
      </w:r>
      <w:proofErr w:type="spellStart"/>
      <w:r>
        <w:rPr>
          <w:sz w:val="20"/>
        </w:rPr>
        <w:t>naruszenie</w:t>
      </w:r>
      <w:proofErr w:type="spellEnd"/>
      <w:r>
        <w:rPr>
          <w:sz w:val="20"/>
        </w:rPr>
        <w:t>);</w:t>
      </w:r>
    </w:p>
    <w:p w14:paraId="0A72D834" w14:textId="44C63AFF" w:rsidR="004D1679" w:rsidRDefault="004D1679">
      <w:pPr>
        <w:pStyle w:val="Akapitzlist"/>
        <w:numPr>
          <w:ilvl w:val="0"/>
          <w:numId w:val="1"/>
        </w:numPr>
        <w:tabs>
          <w:tab w:val="left" w:pos="1583"/>
        </w:tabs>
        <w:ind w:right="729" w:hanging="284"/>
        <w:jc w:val="both"/>
        <w:rPr>
          <w:rFonts w:ascii="Arial" w:hAnsi="Arial"/>
          <w:color w:val="0072BC"/>
        </w:rPr>
      </w:pPr>
      <w:hyperlink r:id="rId72">
        <w:r>
          <w:rPr>
            <w:i/>
            <w:color w:val="0072BC"/>
            <w:sz w:val="20"/>
          </w:rPr>
          <w:t xml:space="preserve">Shorazova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2022</w:t>
      </w:r>
      <w:r w:rsidR="00442520">
        <w:rPr>
          <w:sz w:val="20"/>
        </w:rPr>
        <w:t xml:space="preserve"> r.</w:t>
      </w:r>
      <w:r>
        <w:rPr>
          <w:sz w:val="20"/>
        </w:rPr>
        <w:t xml:space="preserve">: </w:t>
      </w:r>
      <w:proofErr w:type="spellStart"/>
      <w:r>
        <w:rPr>
          <w:sz w:val="20"/>
        </w:rPr>
        <w:t>Czas</w:t>
      </w:r>
      <w:proofErr w:type="spellEnd"/>
      <w:r>
        <w:rPr>
          <w:sz w:val="20"/>
        </w:rPr>
        <w:t xml:space="preserve"> </w:t>
      </w:r>
      <w:proofErr w:type="spellStart"/>
      <w:r>
        <w:rPr>
          <w:sz w:val="20"/>
        </w:rPr>
        <w:t>trwania</w:t>
      </w:r>
      <w:proofErr w:type="spellEnd"/>
      <w:r>
        <w:rPr>
          <w:sz w:val="20"/>
        </w:rPr>
        <w:t xml:space="preserve"> </w:t>
      </w:r>
      <w:proofErr w:type="spellStart"/>
      <w:r>
        <w:rPr>
          <w:sz w:val="20"/>
        </w:rPr>
        <w:t>postępowania</w:t>
      </w:r>
      <w:proofErr w:type="spellEnd"/>
      <w:r>
        <w:rPr>
          <w:sz w:val="20"/>
        </w:rPr>
        <w:t xml:space="preserve"> w </w:t>
      </w:r>
      <w:proofErr w:type="spellStart"/>
      <w:r>
        <w:rPr>
          <w:sz w:val="20"/>
        </w:rPr>
        <w:t>sprawie</w:t>
      </w:r>
      <w:proofErr w:type="spellEnd"/>
      <w:r>
        <w:rPr>
          <w:sz w:val="20"/>
        </w:rPr>
        <w:t xml:space="preserve"> </w:t>
      </w:r>
      <w:proofErr w:type="spellStart"/>
      <w:r>
        <w:rPr>
          <w:sz w:val="20"/>
        </w:rPr>
        <w:t>skargi</w:t>
      </w:r>
      <w:proofErr w:type="spellEnd"/>
      <w:r>
        <w:rPr>
          <w:sz w:val="20"/>
        </w:rPr>
        <w:t xml:space="preserve"> </w:t>
      </w:r>
      <w:proofErr w:type="spellStart"/>
      <w:r>
        <w:rPr>
          <w:sz w:val="20"/>
        </w:rPr>
        <w:t>konstytucyjnej</w:t>
      </w:r>
      <w:proofErr w:type="spellEnd"/>
      <w:r>
        <w:rPr>
          <w:sz w:val="20"/>
        </w:rPr>
        <w:t xml:space="preserve">, </w:t>
      </w:r>
      <w:proofErr w:type="spellStart"/>
      <w:r>
        <w:rPr>
          <w:sz w:val="20"/>
        </w:rPr>
        <w:t>trwającego</w:t>
      </w:r>
      <w:proofErr w:type="spellEnd"/>
      <w:r>
        <w:rPr>
          <w:sz w:val="20"/>
        </w:rPr>
        <w:t xml:space="preserve"> </w:t>
      </w:r>
      <w:proofErr w:type="spellStart"/>
      <w:r>
        <w:rPr>
          <w:sz w:val="20"/>
        </w:rPr>
        <w:t>prawie</w:t>
      </w:r>
      <w:proofErr w:type="spellEnd"/>
      <w:r>
        <w:rPr>
          <w:sz w:val="20"/>
        </w:rPr>
        <w:t xml:space="preserve"> </w:t>
      </w:r>
      <w:proofErr w:type="spellStart"/>
      <w:r>
        <w:rPr>
          <w:sz w:val="20"/>
        </w:rPr>
        <w:t>pięć</w:t>
      </w:r>
      <w:proofErr w:type="spellEnd"/>
      <w:r>
        <w:rPr>
          <w:sz w:val="20"/>
        </w:rPr>
        <w:t xml:space="preserve"> </w:t>
      </w:r>
      <w:proofErr w:type="spellStart"/>
      <w:r>
        <w:rPr>
          <w:sz w:val="20"/>
        </w:rPr>
        <w:t>lat</w:t>
      </w:r>
      <w:proofErr w:type="spellEnd"/>
      <w:r>
        <w:rPr>
          <w:sz w:val="20"/>
        </w:rPr>
        <w:t xml:space="preserve"> w </w:t>
      </w:r>
      <w:proofErr w:type="spellStart"/>
      <w:r>
        <w:rPr>
          <w:sz w:val="20"/>
        </w:rPr>
        <w:t>dwóch</w:t>
      </w:r>
      <w:proofErr w:type="spellEnd"/>
      <w:r>
        <w:rPr>
          <w:sz w:val="20"/>
        </w:rPr>
        <w:t xml:space="preserve"> </w:t>
      </w:r>
      <w:proofErr w:type="spellStart"/>
      <w:r>
        <w:rPr>
          <w:sz w:val="20"/>
        </w:rPr>
        <w:t>jurysdykcjach</w:t>
      </w:r>
      <w:proofErr w:type="spellEnd"/>
      <w:r>
        <w:rPr>
          <w:sz w:val="20"/>
        </w:rPr>
        <w:t xml:space="preserve">, </w:t>
      </w:r>
      <w:proofErr w:type="spellStart"/>
      <w:r>
        <w:rPr>
          <w:sz w:val="20"/>
        </w:rPr>
        <w:t>nie</w:t>
      </w:r>
      <w:proofErr w:type="spellEnd"/>
      <w:r>
        <w:rPr>
          <w:sz w:val="20"/>
        </w:rPr>
        <w:t xml:space="preserve"> jest </w:t>
      </w:r>
      <w:proofErr w:type="spellStart"/>
      <w:r>
        <w:rPr>
          <w:sz w:val="20"/>
        </w:rPr>
        <w:t>nadmierny</w:t>
      </w:r>
      <w:proofErr w:type="spellEnd"/>
      <w:r>
        <w:rPr>
          <w:sz w:val="20"/>
        </w:rPr>
        <w:t xml:space="preserve"> w </w:t>
      </w:r>
      <w:proofErr w:type="spellStart"/>
      <w:r>
        <w:rPr>
          <w:sz w:val="20"/>
        </w:rPr>
        <w:t>szczególnych</w:t>
      </w:r>
      <w:proofErr w:type="spellEnd"/>
      <w:r>
        <w:rPr>
          <w:sz w:val="20"/>
        </w:rPr>
        <w:t xml:space="preserve"> </w:t>
      </w:r>
      <w:proofErr w:type="spellStart"/>
      <w:r>
        <w:rPr>
          <w:sz w:val="20"/>
        </w:rPr>
        <w:t>okolicznościach</w:t>
      </w:r>
      <w:proofErr w:type="spellEnd"/>
      <w:r>
        <w:rPr>
          <w:sz w:val="20"/>
        </w:rPr>
        <w:t xml:space="preserve"> </w:t>
      </w:r>
      <w:proofErr w:type="spellStart"/>
      <w:r>
        <w:rPr>
          <w:sz w:val="20"/>
        </w:rPr>
        <w:t>sprawy</w:t>
      </w:r>
      <w:proofErr w:type="spellEnd"/>
      <w:r>
        <w:rPr>
          <w:sz w:val="20"/>
        </w:rPr>
        <w:t xml:space="preserve">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72DCFD55" w14:textId="4758A117" w:rsidR="004D1679" w:rsidRDefault="004D1679">
      <w:pPr>
        <w:pStyle w:val="Akapitzlist"/>
        <w:numPr>
          <w:ilvl w:val="0"/>
          <w:numId w:val="1"/>
        </w:numPr>
        <w:tabs>
          <w:tab w:val="left" w:pos="1583"/>
        </w:tabs>
        <w:ind w:right="729" w:hanging="284"/>
        <w:jc w:val="both"/>
        <w:rPr>
          <w:rFonts w:ascii="Arial" w:hAnsi="Arial"/>
          <w:color w:val="0072BC"/>
        </w:rPr>
      </w:pPr>
      <w:hyperlink r:id="rId73">
        <w:r>
          <w:rPr>
            <w:i/>
            <w:color w:val="0072BC"/>
            <w:sz w:val="20"/>
          </w:rPr>
          <w:t xml:space="preserve">A.T. </w:t>
        </w:r>
        <w:proofErr w:type="spellStart"/>
        <w:r>
          <w:rPr>
            <w:i/>
            <w:color w:val="0072BC"/>
            <w:sz w:val="20"/>
          </w:rPr>
          <w:t>przeciwko</w:t>
        </w:r>
        <w:proofErr w:type="spellEnd"/>
        <w:r>
          <w:rPr>
            <w:i/>
            <w:color w:val="0072BC"/>
            <w:sz w:val="20"/>
          </w:rPr>
          <w:t xml:space="preserve"> </w:t>
        </w:r>
        <w:proofErr w:type="spellStart"/>
        <w:r>
          <w:rPr>
            <w:i/>
            <w:color w:val="0072BC"/>
            <w:sz w:val="20"/>
          </w:rPr>
          <w:t>Słowenii</w:t>
        </w:r>
        <w:proofErr w:type="spellEnd"/>
      </w:hyperlink>
      <w:r>
        <w:rPr>
          <w:sz w:val="20"/>
        </w:rPr>
        <w:t xml:space="preserve"> (dec.), 2022</w:t>
      </w:r>
      <w:r w:rsidR="00442520">
        <w:rPr>
          <w:sz w:val="20"/>
        </w:rPr>
        <w:t xml:space="preserve"> r.</w:t>
      </w:r>
      <w:r>
        <w:rPr>
          <w:sz w:val="20"/>
        </w:rPr>
        <w:t xml:space="preserve">: </w:t>
      </w:r>
      <w:proofErr w:type="spellStart"/>
      <w:r>
        <w:rPr>
          <w:sz w:val="20"/>
        </w:rPr>
        <w:t>Czas</w:t>
      </w:r>
      <w:proofErr w:type="spellEnd"/>
      <w:r>
        <w:rPr>
          <w:sz w:val="20"/>
        </w:rPr>
        <w:t xml:space="preserve"> </w:t>
      </w:r>
      <w:proofErr w:type="spellStart"/>
      <w:r>
        <w:rPr>
          <w:sz w:val="20"/>
        </w:rPr>
        <w:t>trwania</w:t>
      </w:r>
      <w:proofErr w:type="spellEnd"/>
      <w:r>
        <w:rPr>
          <w:sz w:val="20"/>
        </w:rPr>
        <w:t xml:space="preserve"> </w:t>
      </w:r>
      <w:proofErr w:type="spellStart"/>
      <w:r>
        <w:rPr>
          <w:sz w:val="20"/>
        </w:rPr>
        <w:t>postępowania</w:t>
      </w:r>
      <w:proofErr w:type="spellEnd"/>
      <w:r>
        <w:rPr>
          <w:sz w:val="20"/>
        </w:rPr>
        <w:t xml:space="preserve"> </w:t>
      </w:r>
      <w:proofErr w:type="spellStart"/>
      <w:r>
        <w:rPr>
          <w:sz w:val="20"/>
        </w:rPr>
        <w:t>przed</w:t>
      </w:r>
      <w:proofErr w:type="spellEnd"/>
      <w:r>
        <w:rPr>
          <w:sz w:val="20"/>
        </w:rPr>
        <w:t xml:space="preserve"> </w:t>
      </w:r>
      <w:proofErr w:type="spellStart"/>
      <w:r>
        <w:rPr>
          <w:sz w:val="20"/>
        </w:rPr>
        <w:t>Trybunałem</w:t>
      </w:r>
      <w:proofErr w:type="spellEnd"/>
      <w:r>
        <w:rPr>
          <w:sz w:val="20"/>
        </w:rPr>
        <w:t xml:space="preserve"> </w:t>
      </w:r>
      <w:proofErr w:type="spellStart"/>
      <w:r>
        <w:rPr>
          <w:sz w:val="20"/>
        </w:rPr>
        <w:t>Konstytucyjnym</w:t>
      </w:r>
      <w:proofErr w:type="spellEnd"/>
      <w:r>
        <w:rPr>
          <w:sz w:val="20"/>
        </w:rPr>
        <w:t xml:space="preserve">, </w:t>
      </w:r>
      <w:proofErr w:type="spellStart"/>
      <w:r>
        <w:rPr>
          <w:sz w:val="20"/>
        </w:rPr>
        <w:t>wynoszący</w:t>
      </w:r>
      <w:proofErr w:type="spellEnd"/>
      <w:r>
        <w:rPr>
          <w:sz w:val="20"/>
        </w:rPr>
        <w:t xml:space="preserve"> </w:t>
      </w:r>
      <w:proofErr w:type="spellStart"/>
      <w:r>
        <w:rPr>
          <w:sz w:val="20"/>
        </w:rPr>
        <w:t>około</w:t>
      </w:r>
      <w:proofErr w:type="spellEnd"/>
      <w:r>
        <w:rPr>
          <w:sz w:val="20"/>
        </w:rPr>
        <w:t xml:space="preserve"> </w:t>
      </w:r>
      <w:proofErr w:type="spellStart"/>
      <w:r>
        <w:rPr>
          <w:sz w:val="20"/>
        </w:rPr>
        <w:t>trzech</w:t>
      </w:r>
      <w:proofErr w:type="spellEnd"/>
      <w:r>
        <w:rPr>
          <w:sz w:val="20"/>
        </w:rPr>
        <w:t xml:space="preserve"> </w:t>
      </w:r>
      <w:proofErr w:type="spellStart"/>
      <w:r>
        <w:rPr>
          <w:sz w:val="20"/>
        </w:rPr>
        <w:t>lat</w:t>
      </w:r>
      <w:proofErr w:type="spellEnd"/>
      <w:r>
        <w:rPr>
          <w:sz w:val="20"/>
        </w:rPr>
        <w:t xml:space="preserve"> </w:t>
      </w:r>
      <w:proofErr w:type="spellStart"/>
      <w:r>
        <w:rPr>
          <w:sz w:val="20"/>
        </w:rPr>
        <w:t>i</w:t>
      </w:r>
      <w:proofErr w:type="spellEnd"/>
      <w:r>
        <w:rPr>
          <w:sz w:val="20"/>
        </w:rPr>
        <w:t xml:space="preserve"> </w:t>
      </w:r>
      <w:proofErr w:type="spellStart"/>
      <w:r>
        <w:rPr>
          <w:sz w:val="20"/>
        </w:rPr>
        <w:t>jednego</w:t>
      </w:r>
      <w:proofErr w:type="spellEnd"/>
      <w:r>
        <w:rPr>
          <w:sz w:val="20"/>
        </w:rPr>
        <w:t xml:space="preserve"> </w:t>
      </w:r>
      <w:proofErr w:type="spellStart"/>
      <w:r>
        <w:rPr>
          <w:sz w:val="20"/>
        </w:rPr>
        <w:t>miesiąca</w:t>
      </w:r>
      <w:proofErr w:type="spellEnd"/>
      <w:r>
        <w:rPr>
          <w:sz w:val="20"/>
        </w:rPr>
        <w:t xml:space="preserve">, </w:t>
      </w:r>
      <w:proofErr w:type="spellStart"/>
      <w:r>
        <w:rPr>
          <w:sz w:val="20"/>
        </w:rPr>
        <w:t>nie</w:t>
      </w:r>
      <w:proofErr w:type="spellEnd"/>
      <w:r>
        <w:rPr>
          <w:sz w:val="20"/>
        </w:rPr>
        <w:t xml:space="preserve"> jest </w:t>
      </w:r>
      <w:proofErr w:type="spellStart"/>
      <w:r>
        <w:rPr>
          <w:sz w:val="20"/>
        </w:rPr>
        <w:t>nadmierny</w:t>
      </w:r>
      <w:proofErr w:type="spellEnd"/>
      <w:r>
        <w:rPr>
          <w:sz w:val="20"/>
        </w:rPr>
        <w:t xml:space="preserve"> w </w:t>
      </w:r>
      <w:proofErr w:type="spellStart"/>
      <w:r>
        <w:rPr>
          <w:sz w:val="20"/>
        </w:rPr>
        <w:t>odniesieniu</w:t>
      </w:r>
      <w:proofErr w:type="spellEnd"/>
      <w:r>
        <w:rPr>
          <w:sz w:val="20"/>
        </w:rPr>
        <w:t xml:space="preserve"> do </w:t>
      </w:r>
      <w:proofErr w:type="spellStart"/>
      <w:r>
        <w:rPr>
          <w:sz w:val="20"/>
        </w:rPr>
        <w:t>złożoności</w:t>
      </w:r>
      <w:proofErr w:type="spellEnd"/>
      <w:r>
        <w:rPr>
          <w:sz w:val="20"/>
        </w:rPr>
        <w:t xml:space="preserve"> </w:t>
      </w:r>
      <w:proofErr w:type="spellStart"/>
      <w:r>
        <w:rPr>
          <w:sz w:val="20"/>
        </w:rPr>
        <w:t>rozpatrywanych</w:t>
      </w:r>
      <w:proofErr w:type="spellEnd"/>
      <w:r>
        <w:rPr>
          <w:sz w:val="20"/>
        </w:rPr>
        <w:t xml:space="preserve"> </w:t>
      </w:r>
      <w:proofErr w:type="spellStart"/>
      <w:r>
        <w:rPr>
          <w:sz w:val="20"/>
        </w:rPr>
        <w:t>kwestii</w:t>
      </w:r>
      <w:proofErr w:type="spellEnd"/>
      <w:r>
        <w:rPr>
          <w:sz w:val="20"/>
        </w:rPr>
        <w:t xml:space="preserve"> (</w:t>
      </w:r>
      <w:proofErr w:type="spellStart"/>
      <w:r>
        <w:rPr>
          <w:sz w:val="20"/>
        </w:rPr>
        <w:t>niedopuszczaln</w:t>
      </w:r>
      <w:r w:rsidR="00DA4C31">
        <w:rPr>
          <w:sz w:val="20"/>
        </w:rPr>
        <w:t>a</w:t>
      </w:r>
      <w:proofErr w:type="spellEnd"/>
      <w:r>
        <w:rPr>
          <w:sz w:val="20"/>
        </w:rPr>
        <w:t>).</w:t>
      </w:r>
    </w:p>
    <w:p w14:paraId="22EF99CC" w14:textId="77777777" w:rsidR="004D1679" w:rsidRDefault="00000000">
      <w:pPr>
        <w:pStyle w:val="Nagwek2"/>
      </w:pPr>
      <w:r>
        <w:rPr>
          <w:noProof/>
        </w:rPr>
        <mc:AlternateContent>
          <mc:Choice Requires="wps">
            <w:drawing>
              <wp:anchor distT="0" distB="0" distL="0" distR="0" simplePos="0" relativeHeight="251670528" behindDoc="1" locked="0" layoutInCell="1" allowOverlap="1" wp14:anchorId="29950708" wp14:editId="553B7AAC">
                <wp:simplePos x="0" y="0"/>
                <wp:positionH relativeFrom="page">
                  <wp:posOffset>895985</wp:posOffset>
                </wp:positionH>
                <wp:positionV relativeFrom="paragraph">
                  <wp:posOffset>391705</wp:posOffset>
                </wp:positionV>
                <wp:extent cx="576897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3EFDEA4" id="Graphic 13" o:spid="_x0000_s1026" style="position:absolute;margin-left:70.55pt;margin-top:30.85pt;width:454.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proofErr w:type="spellStart"/>
      <w:r>
        <w:rPr>
          <w:color w:val="2F2F2F"/>
          <w:sz w:val="26"/>
        </w:rPr>
        <w:t>Dalsze</w:t>
      </w:r>
      <w:proofErr w:type="spellEnd"/>
      <w:r>
        <w:rPr>
          <w:color w:val="2F2F2F"/>
          <w:sz w:val="26"/>
        </w:rPr>
        <w:t xml:space="preserve"> </w:t>
      </w:r>
      <w:proofErr w:type="spellStart"/>
      <w:r>
        <w:rPr>
          <w:color w:val="2F2F2F"/>
          <w:spacing w:val="-2"/>
          <w:sz w:val="26"/>
        </w:rPr>
        <w:t>odniesienia</w:t>
      </w:r>
      <w:proofErr w:type="spellEnd"/>
    </w:p>
    <w:p w14:paraId="5CEBDA95" w14:textId="559E6A46" w:rsidR="004D1679" w:rsidRPr="009E35EA" w:rsidRDefault="00000000">
      <w:pPr>
        <w:pStyle w:val="Nagwek3"/>
        <w:rPr>
          <w:sz w:val="26"/>
          <w:szCs w:val="26"/>
        </w:rPr>
      </w:pPr>
      <w:r w:rsidRPr="000A45E9">
        <w:rPr>
          <w:color w:val="2F2F2F"/>
          <w:w w:val="80"/>
          <w:sz w:val="26"/>
          <w:szCs w:val="26"/>
        </w:rPr>
        <w:t>Rad</w:t>
      </w:r>
      <w:r w:rsidR="000A45E9">
        <w:rPr>
          <w:color w:val="2F2F2F"/>
          <w:w w:val="80"/>
          <w:sz w:val="26"/>
          <w:szCs w:val="26"/>
        </w:rPr>
        <w:t xml:space="preserve">a </w:t>
      </w:r>
      <w:proofErr w:type="spellStart"/>
      <w:r w:rsidR="000A45E9">
        <w:rPr>
          <w:color w:val="2F2F2F"/>
          <w:w w:val="80"/>
          <w:sz w:val="26"/>
          <w:szCs w:val="26"/>
        </w:rPr>
        <w:t>Europy</w:t>
      </w:r>
      <w:proofErr w:type="spellEnd"/>
      <w:r w:rsidR="000A45E9">
        <w:rPr>
          <w:color w:val="2F2F2F"/>
          <w:w w:val="80"/>
          <w:sz w:val="26"/>
          <w:szCs w:val="26"/>
        </w:rPr>
        <w:t>:</w:t>
      </w:r>
      <w:r w:rsidRPr="000A45E9">
        <w:rPr>
          <w:color w:val="2F2F2F"/>
          <w:w w:val="80"/>
          <w:sz w:val="26"/>
          <w:szCs w:val="26"/>
        </w:rPr>
        <w:t xml:space="preserve"> </w:t>
      </w:r>
    </w:p>
    <w:p w14:paraId="6F4DEAA5" w14:textId="592A3CB3" w:rsidR="003B708E" w:rsidRPr="009E35EA" w:rsidRDefault="00000000" w:rsidP="009E35EA">
      <w:pPr>
        <w:pStyle w:val="Akapitzlist"/>
        <w:numPr>
          <w:ilvl w:val="0"/>
          <w:numId w:val="1"/>
        </w:numPr>
        <w:tabs>
          <w:tab w:val="left" w:pos="1583"/>
        </w:tabs>
        <w:spacing w:before="76"/>
        <w:ind w:right="731" w:hanging="284"/>
        <w:rPr>
          <w:rFonts w:ascii="Arial" w:hAnsi="Arial"/>
        </w:rPr>
        <w:sectPr w:rsidR="003B708E" w:rsidRPr="009E35EA">
          <w:pgSz w:w="11910" w:h="16840"/>
          <w:pgMar w:top="1080" w:right="708" w:bottom="860" w:left="708" w:header="698" w:footer="677" w:gutter="0"/>
          <w:cols w:space="708"/>
        </w:sectPr>
      </w:pPr>
      <w:hyperlink r:id="rId74">
        <w:proofErr w:type="spellStart"/>
        <w:r>
          <w:rPr>
            <w:color w:val="0072BC"/>
            <w:sz w:val="20"/>
          </w:rPr>
          <w:t>Wymiar</w:t>
        </w:r>
        <w:proofErr w:type="spellEnd"/>
        <w:r>
          <w:rPr>
            <w:color w:val="0072BC"/>
            <w:sz w:val="20"/>
          </w:rPr>
          <w:t xml:space="preserve"> </w:t>
        </w:r>
        <w:proofErr w:type="spellStart"/>
        <w:r>
          <w:rPr>
            <w:color w:val="0072BC"/>
            <w:sz w:val="20"/>
          </w:rPr>
          <w:t>sprawiedliwości</w:t>
        </w:r>
        <w:proofErr w:type="spellEnd"/>
        <w:r>
          <w:rPr>
            <w:color w:val="0072BC"/>
            <w:sz w:val="20"/>
          </w:rPr>
          <w:t xml:space="preserve"> </w:t>
        </w:r>
        <w:proofErr w:type="spellStart"/>
        <w:r>
          <w:rPr>
            <w:color w:val="0072BC"/>
            <w:sz w:val="20"/>
          </w:rPr>
          <w:t>konstytucyjnej</w:t>
        </w:r>
        <w:proofErr w:type="spellEnd"/>
        <w:r>
          <w:rPr>
            <w:color w:val="0072BC"/>
            <w:sz w:val="20"/>
          </w:rPr>
          <w:t xml:space="preserve"> - </w:t>
        </w:r>
        <w:proofErr w:type="spellStart"/>
        <w:r>
          <w:rPr>
            <w:color w:val="0072BC"/>
            <w:sz w:val="20"/>
          </w:rPr>
          <w:t>współpraca</w:t>
        </w:r>
        <w:proofErr w:type="spellEnd"/>
        <w:r>
          <w:rPr>
            <w:color w:val="0072BC"/>
            <w:sz w:val="20"/>
          </w:rPr>
          <w:t xml:space="preserve"> </w:t>
        </w:r>
        <w:proofErr w:type="spellStart"/>
        <w:r>
          <w:rPr>
            <w:color w:val="0072BC"/>
            <w:sz w:val="20"/>
          </w:rPr>
          <w:t>między</w:t>
        </w:r>
        <w:proofErr w:type="spellEnd"/>
        <w:r>
          <w:rPr>
            <w:color w:val="0072BC"/>
            <w:sz w:val="20"/>
          </w:rPr>
          <w:t xml:space="preserve"> </w:t>
        </w:r>
        <w:proofErr w:type="spellStart"/>
        <w:r>
          <w:rPr>
            <w:color w:val="0072BC"/>
            <w:sz w:val="20"/>
          </w:rPr>
          <w:t>Komisją</w:t>
        </w:r>
        <w:proofErr w:type="spellEnd"/>
        <w:r>
          <w:rPr>
            <w:color w:val="0072BC"/>
            <w:sz w:val="20"/>
          </w:rPr>
          <w:t xml:space="preserve"> </w:t>
        </w:r>
        <w:proofErr w:type="spellStart"/>
        <w:r>
          <w:rPr>
            <w:color w:val="0072BC"/>
            <w:sz w:val="20"/>
          </w:rPr>
          <w:t>Wenecką</w:t>
        </w:r>
        <w:proofErr w:type="spellEnd"/>
        <w:r>
          <w:rPr>
            <w:color w:val="0072BC"/>
            <w:sz w:val="20"/>
          </w:rPr>
          <w:t xml:space="preserve"> a </w:t>
        </w:r>
        <w:proofErr w:type="spellStart"/>
        <w:r w:rsidR="00DA4C31">
          <w:rPr>
            <w:color w:val="0072BC"/>
            <w:sz w:val="20"/>
          </w:rPr>
          <w:t>trybunałami</w:t>
        </w:r>
        <w:proofErr w:type="spellEnd"/>
        <w:r w:rsidR="00AB6EBD">
          <w:rPr>
            <w:color w:val="0072BC"/>
            <w:sz w:val="20"/>
          </w:rPr>
          <w:t xml:space="preserve"> </w:t>
        </w:r>
        <w:proofErr w:type="spellStart"/>
        <w:r w:rsidR="00AB6EBD">
          <w:rPr>
            <w:color w:val="0072BC"/>
            <w:sz w:val="20"/>
          </w:rPr>
          <w:t>k</w:t>
        </w:r>
        <w:r w:rsidR="00CD3BC6">
          <w:rPr>
            <w:color w:val="0072BC"/>
            <w:sz w:val="20"/>
          </w:rPr>
          <w:t>onst</w:t>
        </w:r>
        <w:r>
          <w:rPr>
            <w:color w:val="0072BC"/>
            <w:sz w:val="20"/>
          </w:rPr>
          <w:t>ytucyjnymi</w:t>
        </w:r>
        <w:proofErr w:type="spellEnd"/>
      </w:hyperlink>
      <w:r w:rsidR="00CD3BC6">
        <w:t xml:space="preserve"> </w:t>
      </w:r>
      <w:hyperlink r:id="rId75"/>
    </w:p>
    <w:p w14:paraId="1B2FB088" w14:textId="77777777" w:rsidR="004D1679" w:rsidRDefault="004D1679">
      <w:pPr>
        <w:pStyle w:val="Tekstpodstawowy"/>
        <w:spacing w:before="146"/>
        <w:ind w:left="0" w:right="0" w:firstLine="0"/>
        <w:jc w:val="left"/>
        <w:rPr>
          <w:sz w:val="32"/>
        </w:rPr>
      </w:pPr>
    </w:p>
    <w:p w14:paraId="0F941D29" w14:textId="77777777" w:rsidR="004D1679" w:rsidRDefault="00000000">
      <w:pPr>
        <w:pStyle w:val="Nagwek1"/>
        <w:ind w:left="732"/>
        <w:jc w:val="left"/>
      </w:pPr>
      <w:r>
        <w:rPr>
          <w:color w:val="2F2F2F"/>
          <w:sz w:val="30"/>
        </w:rPr>
        <w:t xml:space="preserve">KLUCZOWE </w:t>
      </w:r>
      <w:r>
        <w:rPr>
          <w:color w:val="2F2F2F"/>
          <w:spacing w:val="-2"/>
          <w:sz w:val="30"/>
        </w:rPr>
        <w:t xml:space="preserve">ODNIESIENIA DO </w:t>
      </w:r>
      <w:r>
        <w:rPr>
          <w:color w:val="2F2F2F"/>
          <w:sz w:val="30"/>
        </w:rPr>
        <w:t>ORZECZNICTWA</w:t>
      </w:r>
    </w:p>
    <w:p w14:paraId="402F79DF" w14:textId="77777777" w:rsidR="004D1679" w:rsidRDefault="00000000">
      <w:pPr>
        <w:pStyle w:val="Nagwek2"/>
      </w:pPr>
      <w:r>
        <w:rPr>
          <w:noProof/>
        </w:rPr>
        <mc:AlternateContent>
          <mc:Choice Requires="wps">
            <w:drawing>
              <wp:anchor distT="0" distB="0" distL="0" distR="0" simplePos="0" relativeHeight="251672576" behindDoc="1" locked="0" layoutInCell="1" allowOverlap="1" wp14:anchorId="65DDFE3C" wp14:editId="106F3744">
                <wp:simplePos x="0" y="0"/>
                <wp:positionH relativeFrom="page">
                  <wp:posOffset>895985</wp:posOffset>
                </wp:positionH>
                <wp:positionV relativeFrom="paragraph">
                  <wp:posOffset>391979</wp:posOffset>
                </wp:positionV>
                <wp:extent cx="5768975"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25959EA" id="Graphic 14" o:spid="_x0000_s1026" style="position:absolute;margin-left:70.55pt;margin-top:30.85pt;width:454.2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proofErr w:type="spellStart"/>
      <w:r>
        <w:rPr>
          <w:color w:val="2F2F2F"/>
          <w:sz w:val="26"/>
        </w:rPr>
        <w:t>Najważniejsze</w:t>
      </w:r>
      <w:proofErr w:type="spellEnd"/>
      <w:r>
        <w:rPr>
          <w:color w:val="2F2F2F"/>
          <w:sz w:val="26"/>
        </w:rPr>
        <w:t xml:space="preserve"> </w:t>
      </w:r>
      <w:proofErr w:type="spellStart"/>
      <w:r>
        <w:rPr>
          <w:color w:val="2F2F2F"/>
          <w:spacing w:val="-2"/>
          <w:sz w:val="26"/>
        </w:rPr>
        <w:t>przypadki</w:t>
      </w:r>
      <w:proofErr w:type="spellEnd"/>
      <w:r>
        <w:rPr>
          <w:color w:val="2F2F2F"/>
          <w:spacing w:val="-2"/>
          <w:sz w:val="26"/>
        </w:rPr>
        <w:t>:</w:t>
      </w:r>
    </w:p>
    <w:p w14:paraId="786340E4" w14:textId="77777777" w:rsidR="004D1679" w:rsidRDefault="004D1679">
      <w:pPr>
        <w:pStyle w:val="Akapitzlist"/>
        <w:numPr>
          <w:ilvl w:val="0"/>
          <w:numId w:val="1"/>
        </w:numPr>
        <w:tabs>
          <w:tab w:val="left" w:pos="1582"/>
        </w:tabs>
        <w:ind w:left="1582" w:hanging="283"/>
        <w:rPr>
          <w:rFonts w:ascii="Arial" w:hAnsi="Arial"/>
          <w:color w:val="0072BC"/>
        </w:rPr>
      </w:pPr>
      <w:hyperlink r:id="rId76">
        <w:r>
          <w:rPr>
            <w:i/>
            <w:color w:val="0072BC"/>
            <w:sz w:val="20"/>
          </w:rPr>
          <w:t xml:space="preserve">Ruiz-Mateos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23 </w:t>
      </w:r>
      <w:proofErr w:type="spellStart"/>
      <w:r>
        <w:rPr>
          <w:sz w:val="20"/>
        </w:rPr>
        <w:t>czerwca</w:t>
      </w:r>
      <w:proofErr w:type="spellEnd"/>
      <w:r>
        <w:rPr>
          <w:sz w:val="20"/>
        </w:rPr>
        <w:t xml:space="preserve"> 1993 r., Seria A nr 262 </w:t>
      </w:r>
      <w:r>
        <w:rPr>
          <w:spacing w:val="-2"/>
          <w:sz w:val="20"/>
        </w:rPr>
        <w:t>(</w:t>
      </w:r>
      <w:proofErr w:type="spellStart"/>
      <w:r>
        <w:rPr>
          <w:spacing w:val="-2"/>
          <w:sz w:val="20"/>
        </w:rPr>
        <w:t>naruszenie</w:t>
      </w:r>
      <w:proofErr w:type="spellEnd"/>
      <w:r>
        <w:rPr>
          <w:spacing w:val="-2"/>
          <w:sz w:val="20"/>
        </w:rPr>
        <w:t>);</w:t>
      </w:r>
    </w:p>
    <w:p w14:paraId="12BD65B7" w14:textId="6412E5FC" w:rsidR="004D1679" w:rsidRDefault="004D1679">
      <w:pPr>
        <w:pStyle w:val="Akapitzlist"/>
        <w:numPr>
          <w:ilvl w:val="0"/>
          <w:numId w:val="1"/>
        </w:numPr>
        <w:tabs>
          <w:tab w:val="left" w:pos="1582"/>
        </w:tabs>
        <w:ind w:left="1582" w:hanging="283"/>
        <w:rPr>
          <w:rFonts w:ascii="Arial" w:hAnsi="Arial"/>
          <w:color w:val="0072BC"/>
        </w:rPr>
      </w:pPr>
      <w:hyperlink r:id="rId77">
        <w:proofErr w:type="spellStart"/>
        <w:r>
          <w:rPr>
            <w:i/>
            <w:color w:val="0072BC"/>
            <w:sz w:val="20"/>
          </w:rPr>
          <w:t>Süßmann</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w:t>
      </w:r>
      <w:r w:rsidR="00442520">
        <w:rPr>
          <w:sz w:val="20"/>
        </w:rPr>
        <w:t>WI</w:t>
      </w:r>
      <w:r>
        <w:rPr>
          <w:sz w:val="20"/>
        </w:rPr>
        <w:t xml:space="preserve">], 16 </w:t>
      </w:r>
      <w:proofErr w:type="spellStart"/>
      <w:r>
        <w:rPr>
          <w:sz w:val="20"/>
        </w:rPr>
        <w:t>września</w:t>
      </w:r>
      <w:proofErr w:type="spellEnd"/>
      <w:r>
        <w:rPr>
          <w:sz w:val="20"/>
        </w:rPr>
        <w:t xml:space="preserve"> 1996 r., </w:t>
      </w:r>
      <w:proofErr w:type="spellStart"/>
      <w:r>
        <w:rPr>
          <w:i/>
          <w:sz w:val="20"/>
        </w:rPr>
        <w:t>Zbiór</w:t>
      </w:r>
      <w:proofErr w:type="spellEnd"/>
      <w:r>
        <w:rPr>
          <w:i/>
          <w:sz w:val="20"/>
        </w:rPr>
        <w:t xml:space="preserve"> </w:t>
      </w:r>
      <w:proofErr w:type="spellStart"/>
      <w:r>
        <w:rPr>
          <w:i/>
          <w:sz w:val="20"/>
        </w:rPr>
        <w:t>Orzeczeń</w:t>
      </w:r>
      <w:proofErr w:type="spellEnd"/>
      <w:r>
        <w:rPr>
          <w:i/>
          <w:sz w:val="20"/>
        </w:rPr>
        <w:t xml:space="preserve"> </w:t>
      </w:r>
      <w:proofErr w:type="spellStart"/>
      <w:r>
        <w:rPr>
          <w:i/>
          <w:sz w:val="20"/>
        </w:rPr>
        <w:t>i</w:t>
      </w:r>
      <w:proofErr w:type="spellEnd"/>
      <w:r>
        <w:rPr>
          <w:i/>
          <w:sz w:val="20"/>
        </w:rPr>
        <w:t xml:space="preserve"> </w:t>
      </w:r>
      <w:proofErr w:type="spellStart"/>
      <w:r>
        <w:rPr>
          <w:i/>
          <w:spacing w:val="-2"/>
          <w:sz w:val="20"/>
        </w:rPr>
        <w:t>Decyzji</w:t>
      </w:r>
      <w:proofErr w:type="spellEnd"/>
    </w:p>
    <w:p w14:paraId="06F3CCC4" w14:textId="77777777" w:rsidR="004D1679" w:rsidRDefault="00000000">
      <w:pPr>
        <w:pStyle w:val="Tekstpodstawowy"/>
        <w:spacing w:before="0"/>
        <w:ind w:right="0" w:firstLine="0"/>
        <w:jc w:val="left"/>
      </w:pPr>
      <w:r>
        <w:rPr>
          <w:sz w:val="20"/>
        </w:rPr>
        <w:t>1996-IV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52031FEB" w14:textId="77777777" w:rsidR="004D1679" w:rsidRDefault="004D1679">
      <w:pPr>
        <w:pStyle w:val="Akapitzlist"/>
        <w:numPr>
          <w:ilvl w:val="0"/>
          <w:numId w:val="1"/>
        </w:numPr>
        <w:tabs>
          <w:tab w:val="left" w:pos="1583"/>
        </w:tabs>
        <w:ind w:right="729" w:hanging="284"/>
        <w:rPr>
          <w:rFonts w:ascii="Arial" w:hAnsi="Arial"/>
          <w:color w:val="0072BC"/>
        </w:rPr>
      </w:pPr>
      <w:hyperlink r:id="rId78">
        <w:r>
          <w:rPr>
            <w:i/>
            <w:color w:val="0072BC"/>
            <w:sz w:val="20"/>
          </w:rPr>
          <w:t xml:space="preserve">Pierre-Bloch </w:t>
        </w:r>
        <w:proofErr w:type="spellStart"/>
        <w:r>
          <w:rPr>
            <w:i/>
            <w:color w:val="0072BC"/>
            <w:sz w:val="20"/>
          </w:rPr>
          <w:t>przeciwko</w:t>
        </w:r>
        <w:proofErr w:type="spellEnd"/>
        <w:r>
          <w:rPr>
            <w:i/>
            <w:color w:val="0072BC"/>
            <w:sz w:val="20"/>
          </w:rPr>
          <w:t xml:space="preserve"> </w:t>
        </w:r>
        <w:proofErr w:type="spellStart"/>
        <w:r>
          <w:rPr>
            <w:i/>
            <w:color w:val="0072BC"/>
            <w:sz w:val="20"/>
          </w:rPr>
          <w:t>Francji</w:t>
        </w:r>
        <w:proofErr w:type="spellEnd"/>
      </w:hyperlink>
      <w:r>
        <w:rPr>
          <w:sz w:val="20"/>
        </w:rPr>
        <w:t xml:space="preserve">, 21 </w:t>
      </w:r>
      <w:proofErr w:type="spellStart"/>
      <w:r>
        <w:rPr>
          <w:sz w:val="20"/>
        </w:rPr>
        <w:t>października</w:t>
      </w:r>
      <w:proofErr w:type="spellEnd"/>
      <w:r>
        <w:rPr>
          <w:sz w:val="20"/>
        </w:rPr>
        <w:t xml:space="preserve"> 1997 r., </w:t>
      </w:r>
      <w:r>
        <w:rPr>
          <w:i/>
          <w:sz w:val="20"/>
        </w:rPr>
        <w:t xml:space="preserve">Reports of Judgments and Decisions </w:t>
      </w:r>
      <w:r>
        <w:rPr>
          <w:sz w:val="20"/>
        </w:rPr>
        <w:t xml:space="preserve">1997-VI (art. 6 § 1 </w:t>
      </w:r>
      <w:proofErr w:type="spellStart"/>
      <w:r>
        <w:rPr>
          <w:sz w:val="20"/>
        </w:rPr>
        <w:t>nie</w:t>
      </w:r>
      <w:proofErr w:type="spellEnd"/>
      <w:r>
        <w:rPr>
          <w:sz w:val="20"/>
        </w:rPr>
        <w:t xml:space="preserve"> ma </w:t>
      </w:r>
      <w:proofErr w:type="spellStart"/>
      <w:r>
        <w:rPr>
          <w:sz w:val="20"/>
        </w:rPr>
        <w:t>zastosowania</w:t>
      </w:r>
      <w:proofErr w:type="spellEnd"/>
      <w:r>
        <w:rPr>
          <w:sz w:val="20"/>
        </w:rPr>
        <w:t>);</w:t>
      </w:r>
    </w:p>
    <w:p w14:paraId="5CEC545C" w14:textId="440DD042" w:rsidR="004D1679" w:rsidRDefault="004D1679">
      <w:pPr>
        <w:pStyle w:val="Akapitzlist"/>
        <w:numPr>
          <w:ilvl w:val="0"/>
          <w:numId w:val="1"/>
        </w:numPr>
        <w:tabs>
          <w:tab w:val="left" w:pos="1582"/>
        </w:tabs>
        <w:ind w:left="1582" w:hanging="283"/>
        <w:rPr>
          <w:rFonts w:ascii="Arial" w:hAnsi="Arial"/>
          <w:color w:val="0072BC"/>
        </w:rPr>
      </w:pPr>
      <w:hyperlink r:id="rId79">
        <w:proofErr w:type="spellStart"/>
        <w:r>
          <w:rPr>
            <w:i/>
            <w:color w:val="0072BC"/>
            <w:sz w:val="20"/>
          </w:rPr>
          <w:t>Milatová</w:t>
        </w:r>
        <w:proofErr w:type="spellEnd"/>
        <w:r>
          <w:rPr>
            <w:i/>
            <w:color w:val="0072BC"/>
            <w:sz w:val="20"/>
          </w:rPr>
          <w:t xml:space="preserve"> </w:t>
        </w:r>
        <w:proofErr w:type="spellStart"/>
        <w:r>
          <w:rPr>
            <w:i/>
            <w:color w:val="0072BC"/>
            <w:sz w:val="20"/>
          </w:rPr>
          <w:t>i</w:t>
        </w:r>
        <w:proofErr w:type="spellEnd"/>
        <w:r>
          <w:rPr>
            <w:i/>
            <w:color w:val="0072BC"/>
            <w:sz w:val="20"/>
          </w:rPr>
          <w:t xml:space="preserve"> </w:t>
        </w:r>
        <w:proofErr w:type="spellStart"/>
        <w:r>
          <w:rPr>
            <w:i/>
            <w:color w:val="0072BC"/>
            <w:sz w:val="20"/>
          </w:rPr>
          <w:t>nni</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Republice</w:t>
        </w:r>
        <w:proofErr w:type="spellEnd"/>
        <w:r>
          <w:rPr>
            <w:i/>
            <w:color w:val="0072BC"/>
            <w:sz w:val="20"/>
          </w:rPr>
          <w:t xml:space="preserve"> </w:t>
        </w:r>
        <w:proofErr w:type="spellStart"/>
        <w:r>
          <w:rPr>
            <w:i/>
            <w:color w:val="0072BC"/>
            <w:sz w:val="20"/>
          </w:rPr>
          <w:t>Czeskiej</w:t>
        </w:r>
        <w:proofErr w:type="spellEnd"/>
      </w:hyperlink>
      <w:r>
        <w:rPr>
          <w:sz w:val="20"/>
        </w:rPr>
        <w:t xml:space="preserve">, nr 61811/00, ECHR 2005-V </w:t>
      </w:r>
      <w:r>
        <w:rPr>
          <w:spacing w:val="-2"/>
          <w:sz w:val="20"/>
        </w:rPr>
        <w:t>(</w:t>
      </w:r>
      <w:proofErr w:type="spellStart"/>
      <w:r>
        <w:rPr>
          <w:spacing w:val="-2"/>
          <w:sz w:val="20"/>
        </w:rPr>
        <w:t>naruszenie</w:t>
      </w:r>
      <w:proofErr w:type="spellEnd"/>
      <w:r>
        <w:rPr>
          <w:spacing w:val="-2"/>
          <w:sz w:val="20"/>
        </w:rPr>
        <w:t>);</w:t>
      </w:r>
    </w:p>
    <w:p w14:paraId="716D2D07" w14:textId="77777777" w:rsidR="004D1679" w:rsidRDefault="004D1679">
      <w:pPr>
        <w:pStyle w:val="Akapitzlist"/>
        <w:numPr>
          <w:ilvl w:val="0"/>
          <w:numId w:val="1"/>
        </w:numPr>
        <w:tabs>
          <w:tab w:val="left" w:pos="1582"/>
        </w:tabs>
        <w:ind w:left="1582" w:hanging="283"/>
        <w:rPr>
          <w:rFonts w:ascii="Arial" w:hAnsi="Arial"/>
          <w:color w:val="0072BC"/>
        </w:rPr>
      </w:pPr>
      <w:hyperlink r:id="rId80">
        <w:r>
          <w:rPr>
            <w:i/>
            <w:color w:val="0072BC"/>
            <w:sz w:val="20"/>
          </w:rPr>
          <w:t xml:space="preserve">Albuquerque Fernandes </w:t>
        </w:r>
        <w:proofErr w:type="spellStart"/>
        <w:r>
          <w:rPr>
            <w:i/>
            <w:color w:val="0072BC"/>
            <w:sz w:val="20"/>
          </w:rPr>
          <w:t>przeciwko</w:t>
        </w:r>
        <w:proofErr w:type="spellEnd"/>
      </w:hyperlink>
      <w:r>
        <w:rPr>
          <w:i/>
          <w:color w:val="0072BC"/>
          <w:sz w:val="20"/>
        </w:rPr>
        <w:t xml:space="preserve"> </w:t>
      </w:r>
      <w:proofErr w:type="spellStart"/>
      <w:r>
        <w:rPr>
          <w:i/>
          <w:color w:val="0072BC"/>
          <w:sz w:val="20"/>
        </w:rPr>
        <w:t>Portugalii</w:t>
      </w:r>
      <w:proofErr w:type="spellEnd"/>
      <w:r>
        <w:rPr>
          <w:i/>
          <w:color w:val="0072BC"/>
          <w:sz w:val="20"/>
        </w:rPr>
        <w:t xml:space="preserve">, </w:t>
      </w:r>
      <w:r>
        <w:rPr>
          <w:sz w:val="20"/>
        </w:rPr>
        <w:t xml:space="preserve">nr. 50160/13, 12 </w:t>
      </w:r>
      <w:proofErr w:type="spellStart"/>
      <w:r>
        <w:rPr>
          <w:sz w:val="20"/>
        </w:rPr>
        <w:t>stycznia</w:t>
      </w:r>
      <w:proofErr w:type="spellEnd"/>
      <w:r>
        <w:rPr>
          <w:sz w:val="20"/>
        </w:rPr>
        <w:t xml:space="preserve"> 2021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04655D0F" w14:textId="77777777" w:rsidR="004D1679" w:rsidRDefault="004D1679">
      <w:pPr>
        <w:pStyle w:val="Akapitzlist"/>
        <w:numPr>
          <w:ilvl w:val="0"/>
          <w:numId w:val="1"/>
        </w:numPr>
        <w:tabs>
          <w:tab w:val="left" w:pos="1582"/>
        </w:tabs>
        <w:ind w:left="1582" w:hanging="283"/>
        <w:rPr>
          <w:rFonts w:ascii="Arial" w:hAnsi="Arial"/>
          <w:color w:val="0072BC"/>
        </w:rPr>
      </w:pPr>
      <w:hyperlink r:id="rId81">
        <w:r>
          <w:rPr>
            <w:i/>
            <w:color w:val="0072BC"/>
            <w:sz w:val="20"/>
          </w:rPr>
          <w:t xml:space="preserve">Xero Flor w </w:t>
        </w:r>
        <w:proofErr w:type="spellStart"/>
        <w:r>
          <w:rPr>
            <w:i/>
            <w:color w:val="0072BC"/>
            <w:sz w:val="20"/>
          </w:rPr>
          <w:t>Polsce</w:t>
        </w:r>
        <w:proofErr w:type="spellEnd"/>
        <w:r>
          <w:rPr>
            <w:i/>
            <w:color w:val="0072BC"/>
            <w:sz w:val="20"/>
          </w:rPr>
          <w:t xml:space="preserve"> sp. z </w:t>
        </w:r>
        <w:proofErr w:type="spellStart"/>
        <w:r>
          <w:rPr>
            <w:i/>
            <w:color w:val="0072BC"/>
            <w:sz w:val="20"/>
          </w:rPr>
          <w:t>o.o.</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Polsce</w:t>
        </w:r>
        <w:proofErr w:type="spellEnd"/>
      </w:hyperlink>
      <w:r>
        <w:rPr>
          <w:sz w:val="20"/>
        </w:rPr>
        <w:t xml:space="preserve">, nr. 4907/18, 7 maja 2021 </w:t>
      </w:r>
      <w:r>
        <w:rPr>
          <w:spacing w:val="-2"/>
          <w:sz w:val="20"/>
        </w:rPr>
        <w:t>r. (</w:t>
      </w:r>
      <w:proofErr w:type="spellStart"/>
      <w:r>
        <w:rPr>
          <w:spacing w:val="-2"/>
          <w:sz w:val="20"/>
        </w:rPr>
        <w:t>naruszenie</w:t>
      </w:r>
      <w:proofErr w:type="spellEnd"/>
      <w:r>
        <w:rPr>
          <w:spacing w:val="-2"/>
          <w:sz w:val="20"/>
        </w:rPr>
        <w:t>).</w:t>
      </w:r>
    </w:p>
    <w:p w14:paraId="3FAFB123" w14:textId="77777777" w:rsidR="004D1679" w:rsidRDefault="00000000">
      <w:pPr>
        <w:pStyle w:val="Nagwek2"/>
      </w:pPr>
      <w:r>
        <w:rPr>
          <w:noProof/>
        </w:rPr>
        <mc:AlternateContent>
          <mc:Choice Requires="wps">
            <w:drawing>
              <wp:anchor distT="0" distB="0" distL="0" distR="0" simplePos="0" relativeHeight="251674624" behindDoc="1" locked="0" layoutInCell="1" allowOverlap="1" wp14:anchorId="15A7DBA9" wp14:editId="63A29F76">
                <wp:simplePos x="0" y="0"/>
                <wp:positionH relativeFrom="page">
                  <wp:posOffset>895985</wp:posOffset>
                </wp:positionH>
                <wp:positionV relativeFrom="paragraph">
                  <wp:posOffset>391694</wp:posOffset>
                </wp:positionV>
                <wp:extent cx="576897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7F955B6" id="Graphic 15" o:spid="_x0000_s1026" style="position:absolute;margin-left:70.55pt;margin-top:30.85pt;width:454.2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ZY6gDdAAAACgEAAA8A&#10;AABkcnMvZG93bnJldi54bWxMj01PwzAMhu9I/IfISNxY2ql0W2k6AYITlzG+rl5j2orEqZqs6/49&#10;6QmOr/3o9eNyO1kjRhp851hBukhAENdOd9woeH97vlmD8AFZo3FMCs7kYVtdXpRYaHfiVxr3oRGx&#10;hH2BCtoQ+kJKX7dk0S9cTxx3326wGGIcGqkHPMVya+QySXJpseN4ocWeHluqf/ZHq8C83DZPu343&#10;ZsuHcXX+CLz+nL6Uur6a7u9ABJrCHwyzflSHKjod3JG1FybmLE0jqiBPVyBmIMk2OYjDPNmA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ZY6gDdAAAACgEAAA8AAAAAAAAA&#10;AAAAAAAAWAQAAGRycy9kb3ducmV2LnhtbFBLBQYAAAAABAAEAPMAAABiBQAAAAA=&#10;" path="m,l5768974,e" filled="f" strokecolor="#949494" strokeweight="1.5pt">
                <v:path arrowok="t"/>
                <w10:wrap type="topAndBottom" anchorx="page"/>
              </v:shape>
            </w:pict>
          </mc:Fallback>
        </mc:AlternateContent>
      </w:r>
      <w:r>
        <w:rPr>
          <w:color w:val="2F2F2F"/>
          <w:sz w:val="26"/>
        </w:rPr>
        <w:t xml:space="preserve">Inne </w:t>
      </w:r>
      <w:proofErr w:type="spellStart"/>
      <w:r>
        <w:rPr>
          <w:color w:val="2F2F2F"/>
          <w:sz w:val="26"/>
        </w:rPr>
        <w:t>przypadki</w:t>
      </w:r>
      <w:proofErr w:type="spellEnd"/>
      <w:r>
        <w:rPr>
          <w:color w:val="2F2F2F"/>
          <w:sz w:val="26"/>
        </w:rPr>
        <w:t xml:space="preserve"> </w:t>
      </w:r>
      <w:proofErr w:type="spellStart"/>
      <w:r>
        <w:rPr>
          <w:color w:val="2F2F2F"/>
          <w:sz w:val="26"/>
        </w:rPr>
        <w:t>na</w:t>
      </w:r>
      <w:proofErr w:type="spellEnd"/>
      <w:r>
        <w:rPr>
          <w:color w:val="2F2F2F"/>
          <w:sz w:val="26"/>
        </w:rPr>
        <w:t xml:space="preserve"> </w:t>
      </w:r>
      <w:proofErr w:type="spellStart"/>
      <w:r>
        <w:rPr>
          <w:color w:val="2F2F2F"/>
          <w:sz w:val="26"/>
        </w:rPr>
        <w:t>mocy</w:t>
      </w:r>
      <w:proofErr w:type="spellEnd"/>
      <w:r>
        <w:rPr>
          <w:color w:val="2F2F2F"/>
          <w:sz w:val="26"/>
        </w:rPr>
        <w:t xml:space="preserve"> art. </w:t>
      </w:r>
      <w:r>
        <w:rPr>
          <w:color w:val="2F2F2F"/>
          <w:spacing w:val="-5"/>
          <w:sz w:val="26"/>
        </w:rPr>
        <w:t>6:</w:t>
      </w:r>
    </w:p>
    <w:p w14:paraId="522B5764" w14:textId="77777777" w:rsidR="004D1679" w:rsidRDefault="004D1679">
      <w:pPr>
        <w:pStyle w:val="Akapitzlist"/>
        <w:numPr>
          <w:ilvl w:val="0"/>
          <w:numId w:val="1"/>
        </w:numPr>
        <w:tabs>
          <w:tab w:val="left" w:pos="1582"/>
        </w:tabs>
        <w:ind w:left="1582" w:hanging="283"/>
        <w:rPr>
          <w:rFonts w:ascii="Arial" w:hAnsi="Arial"/>
          <w:color w:val="0072BC"/>
        </w:rPr>
      </w:pPr>
      <w:hyperlink r:id="rId82">
        <w:proofErr w:type="spellStart"/>
        <w:r>
          <w:rPr>
            <w:i/>
            <w:color w:val="0072BC"/>
            <w:sz w:val="20"/>
          </w:rPr>
          <w:t>Deumeland</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29 maja 1986 r., Seria A nr 100 </w:t>
      </w:r>
      <w:r>
        <w:rPr>
          <w:spacing w:val="-2"/>
          <w:sz w:val="20"/>
        </w:rPr>
        <w:t>(</w:t>
      </w:r>
      <w:proofErr w:type="spellStart"/>
      <w:r>
        <w:rPr>
          <w:spacing w:val="-2"/>
          <w:sz w:val="20"/>
        </w:rPr>
        <w:t>naruszenie</w:t>
      </w:r>
      <w:proofErr w:type="spellEnd"/>
      <w:r>
        <w:rPr>
          <w:spacing w:val="-2"/>
          <w:sz w:val="20"/>
        </w:rPr>
        <w:t>);</w:t>
      </w:r>
    </w:p>
    <w:p w14:paraId="63C482B3" w14:textId="77777777" w:rsidR="004D1679" w:rsidRDefault="004D1679">
      <w:pPr>
        <w:pStyle w:val="Akapitzlist"/>
        <w:numPr>
          <w:ilvl w:val="0"/>
          <w:numId w:val="1"/>
        </w:numPr>
        <w:tabs>
          <w:tab w:val="left" w:pos="1582"/>
        </w:tabs>
        <w:ind w:left="1582" w:hanging="283"/>
        <w:rPr>
          <w:rFonts w:ascii="Arial" w:hAnsi="Arial"/>
          <w:color w:val="0072BC"/>
        </w:rPr>
      </w:pPr>
      <w:hyperlink r:id="rId83">
        <w:proofErr w:type="spellStart"/>
        <w:r>
          <w:rPr>
            <w:i/>
            <w:color w:val="0072BC"/>
            <w:sz w:val="20"/>
          </w:rPr>
          <w:t>Zumtobel</w:t>
        </w:r>
        <w:proofErr w:type="spellEnd"/>
        <w:r>
          <w:rPr>
            <w:i/>
            <w:color w:val="0072BC"/>
            <w:sz w:val="20"/>
          </w:rPr>
          <w:t xml:space="preserve"> </w:t>
        </w:r>
        <w:proofErr w:type="spellStart"/>
        <w:r>
          <w:rPr>
            <w:i/>
            <w:color w:val="0072BC"/>
            <w:sz w:val="20"/>
          </w:rPr>
          <w:t>przeciwko</w:t>
        </w:r>
        <w:proofErr w:type="spellEnd"/>
        <w:r>
          <w:rPr>
            <w:i/>
            <w:color w:val="0072BC"/>
            <w:sz w:val="20"/>
          </w:rPr>
          <w:t xml:space="preserve"> Austrii</w:t>
        </w:r>
      </w:hyperlink>
      <w:r>
        <w:rPr>
          <w:sz w:val="20"/>
        </w:rPr>
        <w:t xml:space="preserve">, 21 </w:t>
      </w:r>
      <w:proofErr w:type="spellStart"/>
      <w:r>
        <w:rPr>
          <w:sz w:val="20"/>
        </w:rPr>
        <w:t>września</w:t>
      </w:r>
      <w:proofErr w:type="spellEnd"/>
      <w:r>
        <w:rPr>
          <w:sz w:val="20"/>
        </w:rPr>
        <w:t xml:space="preserve"> 1993 r., Seria A nr 268-A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04D6F209" w14:textId="77777777" w:rsidR="004D1679" w:rsidRDefault="004D1679">
      <w:pPr>
        <w:pStyle w:val="Akapitzlist"/>
        <w:numPr>
          <w:ilvl w:val="0"/>
          <w:numId w:val="1"/>
        </w:numPr>
        <w:tabs>
          <w:tab w:val="left" w:pos="1582"/>
        </w:tabs>
        <w:ind w:left="1582" w:hanging="283"/>
        <w:rPr>
          <w:rFonts w:ascii="Arial" w:hAnsi="Arial"/>
          <w:color w:val="0072BC"/>
        </w:rPr>
      </w:pPr>
      <w:hyperlink r:id="rId84">
        <w:proofErr w:type="spellStart"/>
        <w:r>
          <w:rPr>
            <w:i/>
            <w:color w:val="0072BC"/>
            <w:sz w:val="20"/>
          </w:rPr>
          <w:t>Pammel</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1 </w:t>
      </w:r>
      <w:proofErr w:type="spellStart"/>
      <w:r>
        <w:rPr>
          <w:sz w:val="20"/>
        </w:rPr>
        <w:t>lipca</w:t>
      </w:r>
      <w:proofErr w:type="spellEnd"/>
      <w:r>
        <w:rPr>
          <w:sz w:val="20"/>
        </w:rPr>
        <w:t xml:space="preserve"> 1997 r., </w:t>
      </w:r>
      <w:r>
        <w:rPr>
          <w:i/>
          <w:sz w:val="20"/>
        </w:rPr>
        <w:t xml:space="preserve">Reports of Judgments and Decisions </w:t>
      </w:r>
      <w:r>
        <w:rPr>
          <w:sz w:val="20"/>
        </w:rPr>
        <w:t xml:space="preserve">1997-IV </w:t>
      </w:r>
      <w:r>
        <w:rPr>
          <w:spacing w:val="-2"/>
          <w:sz w:val="20"/>
        </w:rPr>
        <w:t>(</w:t>
      </w:r>
      <w:proofErr w:type="spellStart"/>
      <w:r>
        <w:rPr>
          <w:spacing w:val="-2"/>
          <w:sz w:val="20"/>
        </w:rPr>
        <w:t>naruszenie</w:t>
      </w:r>
      <w:proofErr w:type="spellEnd"/>
      <w:r>
        <w:rPr>
          <w:spacing w:val="-2"/>
          <w:sz w:val="20"/>
        </w:rPr>
        <w:t>);</w:t>
      </w:r>
    </w:p>
    <w:p w14:paraId="450FF10D" w14:textId="52FEB284" w:rsidR="004D1679" w:rsidRDefault="004D1679">
      <w:pPr>
        <w:pStyle w:val="Akapitzlist"/>
        <w:numPr>
          <w:ilvl w:val="0"/>
          <w:numId w:val="1"/>
        </w:numPr>
        <w:tabs>
          <w:tab w:val="left" w:pos="1583"/>
        </w:tabs>
        <w:ind w:right="730" w:hanging="284"/>
        <w:rPr>
          <w:rFonts w:ascii="Arial" w:hAnsi="Arial"/>
          <w:color w:val="0072BC"/>
        </w:rPr>
      </w:pPr>
      <w:hyperlink r:id="rId85">
        <w:r>
          <w:rPr>
            <w:i/>
            <w:color w:val="0072BC"/>
            <w:sz w:val="20"/>
          </w:rPr>
          <w:t xml:space="preserve">Janković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(dec.), nr. 43440/98, ECHR 2000-X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bezzasadne</w:t>
      </w:r>
      <w:proofErr w:type="spellEnd"/>
      <w:r>
        <w:rPr>
          <w:spacing w:val="-2"/>
          <w:sz w:val="20"/>
        </w:rPr>
        <w:t>);</w:t>
      </w:r>
    </w:p>
    <w:p w14:paraId="0F9F58E4" w14:textId="60FB5A67" w:rsidR="004D1679" w:rsidRDefault="004D1679">
      <w:pPr>
        <w:pStyle w:val="Akapitzlist"/>
        <w:numPr>
          <w:ilvl w:val="0"/>
          <w:numId w:val="1"/>
        </w:numPr>
        <w:tabs>
          <w:tab w:val="left" w:pos="1582"/>
        </w:tabs>
        <w:ind w:left="1582" w:hanging="283"/>
        <w:rPr>
          <w:rFonts w:ascii="Arial" w:hAnsi="Arial"/>
          <w:color w:val="0072BC"/>
        </w:rPr>
      </w:pPr>
      <w:hyperlink r:id="rId86">
        <w:proofErr w:type="spellStart"/>
        <w:r>
          <w:rPr>
            <w:i/>
            <w:color w:val="0072BC"/>
            <w:sz w:val="20"/>
          </w:rPr>
          <w:t>Malhous</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Republice</w:t>
        </w:r>
        <w:proofErr w:type="spellEnd"/>
        <w:r>
          <w:rPr>
            <w:i/>
            <w:color w:val="0072BC"/>
            <w:sz w:val="20"/>
          </w:rPr>
          <w:t xml:space="preserve"> </w:t>
        </w:r>
        <w:proofErr w:type="spellStart"/>
        <w:r>
          <w:rPr>
            <w:i/>
            <w:color w:val="0072BC"/>
            <w:sz w:val="20"/>
          </w:rPr>
          <w:t>Czeskiej</w:t>
        </w:r>
        <w:proofErr w:type="spellEnd"/>
      </w:hyperlink>
      <w:r>
        <w:rPr>
          <w:sz w:val="20"/>
        </w:rPr>
        <w:t xml:space="preserve"> [</w:t>
      </w:r>
      <w:r w:rsidR="00442520">
        <w:rPr>
          <w:sz w:val="20"/>
        </w:rPr>
        <w:t>WI</w:t>
      </w:r>
      <w:r>
        <w:rPr>
          <w:sz w:val="20"/>
        </w:rPr>
        <w:t xml:space="preserve">], nr. 33071/96, 12 </w:t>
      </w:r>
      <w:proofErr w:type="spellStart"/>
      <w:r>
        <w:rPr>
          <w:sz w:val="20"/>
        </w:rPr>
        <w:t>lipca</w:t>
      </w:r>
      <w:proofErr w:type="spellEnd"/>
      <w:r>
        <w:rPr>
          <w:sz w:val="20"/>
        </w:rPr>
        <w:t xml:space="preserve"> 2001 r. </w:t>
      </w:r>
      <w:r>
        <w:rPr>
          <w:spacing w:val="-2"/>
          <w:sz w:val="20"/>
        </w:rPr>
        <w:t>(</w:t>
      </w:r>
      <w:proofErr w:type="spellStart"/>
      <w:r>
        <w:rPr>
          <w:spacing w:val="-2"/>
          <w:sz w:val="20"/>
        </w:rPr>
        <w:t>naruszenie</w:t>
      </w:r>
      <w:proofErr w:type="spellEnd"/>
      <w:r>
        <w:rPr>
          <w:spacing w:val="-2"/>
          <w:sz w:val="20"/>
        </w:rPr>
        <w:t>);</w:t>
      </w:r>
    </w:p>
    <w:p w14:paraId="6F21DC25" w14:textId="4EB16388" w:rsidR="004D1679" w:rsidRDefault="004D1679">
      <w:pPr>
        <w:pStyle w:val="Akapitzlist"/>
        <w:numPr>
          <w:ilvl w:val="0"/>
          <w:numId w:val="1"/>
        </w:numPr>
        <w:tabs>
          <w:tab w:val="left" w:pos="1583"/>
        </w:tabs>
        <w:ind w:right="730" w:hanging="284"/>
        <w:rPr>
          <w:rFonts w:ascii="Arial" w:hAnsi="Arial"/>
          <w:color w:val="0072BC"/>
        </w:rPr>
      </w:pPr>
      <w:hyperlink r:id="rId87">
        <w:proofErr w:type="spellStart"/>
        <w:r>
          <w:rPr>
            <w:i/>
            <w:color w:val="0072BC"/>
            <w:sz w:val="20"/>
          </w:rPr>
          <w:t>Gratzinger</w:t>
        </w:r>
        <w:proofErr w:type="spellEnd"/>
        <w:r>
          <w:rPr>
            <w:i/>
            <w:color w:val="0072BC"/>
            <w:sz w:val="20"/>
          </w:rPr>
          <w:t xml:space="preserve"> </w:t>
        </w:r>
        <w:proofErr w:type="spellStart"/>
        <w:r>
          <w:rPr>
            <w:i/>
            <w:color w:val="0072BC"/>
            <w:sz w:val="20"/>
          </w:rPr>
          <w:t>i</w:t>
        </w:r>
        <w:proofErr w:type="spellEnd"/>
        <w:r>
          <w:rPr>
            <w:i/>
            <w:color w:val="0072BC"/>
            <w:sz w:val="20"/>
          </w:rPr>
          <w:t xml:space="preserve"> </w:t>
        </w:r>
        <w:proofErr w:type="spellStart"/>
        <w:r>
          <w:rPr>
            <w:i/>
            <w:color w:val="0072BC"/>
            <w:sz w:val="20"/>
          </w:rPr>
          <w:t>Gratzingerova</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Republice</w:t>
        </w:r>
        <w:proofErr w:type="spellEnd"/>
        <w:r>
          <w:rPr>
            <w:i/>
            <w:color w:val="0072BC"/>
            <w:sz w:val="20"/>
          </w:rPr>
          <w:t xml:space="preserve"> </w:t>
        </w:r>
        <w:proofErr w:type="spellStart"/>
        <w:r>
          <w:rPr>
            <w:i/>
            <w:color w:val="0072BC"/>
            <w:sz w:val="20"/>
          </w:rPr>
          <w:t>Czeskiej</w:t>
        </w:r>
        <w:proofErr w:type="spellEnd"/>
      </w:hyperlink>
      <w:r>
        <w:rPr>
          <w:sz w:val="20"/>
        </w:rPr>
        <w:t xml:space="preserve"> (dec.) [</w:t>
      </w:r>
      <w:r w:rsidR="00442520">
        <w:rPr>
          <w:sz w:val="20"/>
        </w:rPr>
        <w:t>WI</w:t>
      </w:r>
      <w:r>
        <w:rPr>
          <w:sz w:val="20"/>
        </w:rPr>
        <w:t>], nr. 39794/98, ECHR 2002-VII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bezzasadne</w:t>
      </w:r>
      <w:proofErr w:type="spellEnd"/>
      <w:r>
        <w:rPr>
          <w:sz w:val="20"/>
        </w:rPr>
        <w:t>);</w:t>
      </w:r>
    </w:p>
    <w:p w14:paraId="010775ED" w14:textId="77777777" w:rsidR="004D1679" w:rsidRDefault="004D1679">
      <w:pPr>
        <w:pStyle w:val="Akapitzlist"/>
        <w:numPr>
          <w:ilvl w:val="0"/>
          <w:numId w:val="1"/>
        </w:numPr>
        <w:tabs>
          <w:tab w:val="left" w:pos="1582"/>
        </w:tabs>
        <w:ind w:left="1582" w:hanging="283"/>
        <w:rPr>
          <w:rFonts w:ascii="Arial" w:hAnsi="Arial"/>
          <w:color w:val="0072BC"/>
        </w:rPr>
      </w:pPr>
      <w:hyperlink r:id="rId88">
        <w:proofErr w:type="spellStart"/>
        <w:r>
          <w:rPr>
            <w:i/>
            <w:color w:val="0072BC"/>
            <w:sz w:val="20"/>
          </w:rPr>
          <w:t>Niederböster</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nr. 39547/98, ECHR 2003-IV (</w:t>
      </w:r>
      <w:proofErr w:type="spellStart"/>
      <w:r>
        <w:rPr>
          <w:sz w:val="20"/>
        </w:rPr>
        <w:t>fragmenty</w:t>
      </w:r>
      <w:proofErr w:type="spellEnd"/>
      <w:r>
        <w:rPr>
          <w:sz w:val="20"/>
        </w:rPr>
        <w:t xml:space="preserve">) </w:t>
      </w:r>
      <w:r>
        <w:rPr>
          <w:spacing w:val="-2"/>
          <w:sz w:val="20"/>
        </w:rPr>
        <w:t>(</w:t>
      </w:r>
      <w:proofErr w:type="spellStart"/>
      <w:r>
        <w:rPr>
          <w:spacing w:val="-2"/>
          <w:sz w:val="20"/>
        </w:rPr>
        <w:t>naruszenie</w:t>
      </w:r>
      <w:proofErr w:type="spellEnd"/>
      <w:r>
        <w:rPr>
          <w:spacing w:val="-2"/>
          <w:sz w:val="20"/>
        </w:rPr>
        <w:t>);</w:t>
      </w:r>
    </w:p>
    <w:p w14:paraId="1643A997" w14:textId="77777777" w:rsidR="004D1679" w:rsidRDefault="004D1679">
      <w:pPr>
        <w:pStyle w:val="Akapitzlist"/>
        <w:numPr>
          <w:ilvl w:val="0"/>
          <w:numId w:val="1"/>
        </w:numPr>
        <w:tabs>
          <w:tab w:val="left" w:pos="1582"/>
        </w:tabs>
        <w:ind w:left="1582" w:hanging="283"/>
        <w:rPr>
          <w:rFonts w:ascii="Arial" w:hAnsi="Arial"/>
          <w:color w:val="0072BC"/>
        </w:rPr>
      </w:pPr>
      <w:hyperlink r:id="rId89">
        <w:proofErr w:type="spellStart"/>
        <w:r>
          <w:rPr>
            <w:i/>
            <w:color w:val="0072BC"/>
            <w:sz w:val="20"/>
          </w:rPr>
          <w:t>Voggenreiter</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nr. 47169/99, ECHR 2004-I (</w:t>
      </w:r>
      <w:proofErr w:type="spellStart"/>
      <w:r>
        <w:rPr>
          <w:sz w:val="20"/>
        </w:rPr>
        <w:t>fragmenty</w:t>
      </w:r>
      <w:proofErr w:type="spellEnd"/>
      <w:r>
        <w:rPr>
          <w:sz w:val="20"/>
        </w:rPr>
        <w:t xml:space="preserve">) </w:t>
      </w:r>
      <w:r>
        <w:rPr>
          <w:spacing w:val="-2"/>
          <w:sz w:val="20"/>
        </w:rPr>
        <w:t>(</w:t>
      </w:r>
      <w:proofErr w:type="spellStart"/>
      <w:r>
        <w:rPr>
          <w:spacing w:val="-2"/>
          <w:sz w:val="20"/>
        </w:rPr>
        <w:t>naruszenie</w:t>
      </w:r>
      <w:proofErr w:type="spellEnd"/>
      <w:r>
        <w:rPr>
          <w:spacing w:val="-2"/>
          <w:sz w:val="20"/>
        </w:rPr>
        <w:t>);</w:t>
      </w:r>
    </w:p>
    <w:p w14:paraId="3CCDCAF1" w14:textId="05BC709B" w:rsidR="004D1679" w:rsidRDefault="004D1679">
      <w:pPr>
        <w:pStyle w:val="Akapitzlist"/>
        <w:numPr>
          <w:ilvl w:val="0"/>
          <w:numId w:val="1"/>
        </w:numPr>
        <w:tabs>
          <w:tab w:val="left" w:pos="1582"/>
        </w:tabs>
        <w:ind w:left="1582" w:hanging="283"/>
        <w:rPr>
          <w:rFonts w:ascii="Arial" w:hAnsi="Arial"/>
          <w:color w:val="0072BC"/>
        </w:rPr>
      </w:pPr>
      <w:hyperlink r:id="rId90">
        <w:proofErr w:type="spellStart"/>
        <w:r>
          <w:rPr>
            <w:i/>
            <w:color w:val="0072BC"/>
            <w:sz w:val="20"/>
          </w:rPr>
          <w:t>Gorraiz</w:t>
        </w:r>
        <w:proofErr w:type="spellEnd"/>
        <w:r>
          <w:rPr>
            <w:i/>
            <w:color w:val="0072BC"/>
            <w:sz w:val="20"/>
          </w:rPr>
          <w:t xml:space="preserve"> Lizarraga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nr 62543/00, ECHR 2004-III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3DEF50A9" w14:textId="00B0136B" w:rsidR="004D1679" w:rsidRDefault="004D1679">
      <w:pPr>
        <w:pStyle w:val="Akapitzlist"/>
        <w:numPr>
          <w:ilvl w:val="0"/>
          <w:numId w:val="1"/>
        </w:numPr>
        <w:tabs>
          <w:tab w:val="left" w:pos="1583"/>
        </w:tabs>
        <w:ind w:right="730" w:hanging="284"/>
        <w:rPr>
          <w:rFonts w:ascii="Arial" w:hAnsi="Arial"/>
          <w:color w:val="0072BC"/>
        </w:rPr>
      </w:pPr>
      <w:hyperlink r:id="rId91">
        <w:r>
          <w:rPr>
            <w:i/>
            <w:color w:val="0072BC"/>
            <w:sz w:val="20"/>
          </w:rPr>
          <w:t xml:space="preserve">Von Maltzan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(dec.) [</w:t>
      </w:r>
      <w:r w:rsidR="00442520">
        <w:rPr>
          <w:sz w:val="20"/>
        </w:rPr>
        <w:t>WI</w:t>
      </w:r>
      <w:r>
        <w:rPr>
          <w:sz w:val="20"/>
        </w:rPr>
        <w:t xml:space="preserve">], nr 71916/01 </w:t>
      </w:r>
      <w:proofErr w:type="spellStart"/>
      <w:r>
        <w:rPr>
          <w:sz w:val="20"/>
        </w:rPr>
        <w:t>i</w:t>
      </w:r>
      <w:proofErr w:type="spellEnd"/>
      <w:r>
        <w:rPr>
          <w:sz w:val="20"/>
        </w:rPr>
        <w:t xml:space="preserve"> 2 </w:t>
      </w:r>
      <w:proofErr w:type="spellStart"/>
      <w:r>
        <w:rPr>
          <w:sz w:val="20"/>
        </w:rPr>
        <w:t>inne</w:t>
      </w:r>
      <w:proofErr w:type="spellEnd"/>
      <w:r>
        <w:rPr>
          <w:sz w:val="20"/>
        </w:rPr>
        <w:t>, ECHR 2005-V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bezzasadne</w:t>
      </w:r>
      <w:proofErr w:type="spellEnd"/>
      <w:r>
        <w:rPr>
          <w:sz w:val="20"/>
        </w:rPr>
        <w:t>);</w:t>
      </w:r>
    </w:p>
    <w:p w14:paraId="20F6421B" w14:textId="2B5263C7" w:rsidR="004D1679" w:rsidRDefault="004D1679">
      <w:pPr>
        <w:pStyle w:val="Akapitzlist"/>
        <w:numPr>
          <w:ilvl w:val="0"/>
          <w:numId w:val="1"/>
        </w:numPr>
        <w:tabs>
          <w:tab w:val="left" w:pos="1582"/>
        </w:tabs>
        <w:ind w:left="1582" w:hanging="283"/>
        <w:rPr>
          <w:rFonts w:ascii="Arial" w:hAnsi="Arial"/>
          <w:color w:val="0072BC"/>
        </w:rPr>
      </w:pPr>
      <w:hyperlink r:id="rId92">
        <w:r>
          <w:rPr>
            <w:i/>
            <w:color w:val="0072BC"/>
            <w:sz w:val="20"/>
          </w:rPr>
          <w:t xml:space="preserve">Steck-Risch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Liechtensteinowi</w:t>
        </w:r>
        <w:proofErr w:type="spellEnd"/>
      </w:hyperlink>
      <w:r>
        <w:rPr>
          <w:sz w:val="20"/>
        </w:rPr>
        <w:t xml:space="preserve">, nr 63151/00, 19 maja 2005 r. </w:t>
      </w:r>
      <w:r>
        <w:rPr>
          <w:spacing w:val="-2"/>
          <w:sz w:val="20"/>
        </w:rPr>
        <w:t>(</w:t>
      </w:r>
      <w:proofErr w:type="spellStart"/>
      <w:r>
        <w:rPr>
          <w:spacing w:val="-2"/>
          <w:sz w:val="20"/>
        </w:rPr>
        <w:t>naruszenie</w:t>
      </w:r>
      <w:proofErr w:type="spellEnd"/>
      <w:r>
        <w:rPr>
          <w:spacing w:val="-2"/>
          <w:sz w:val="20"/>
        </w:rPr>
        <w:t>);</w:t>
      </w:r>
    </w:p>
    <w:p w14:paraId="2252D011" w14:textId="77777777" w:rsidR="004D1679" w:rsidRDefault="004D1679">
      <w:pPr>
        <w:pStyle w:val="Akapitzlist"/>
        <w:numPr>
          <w:ilvl w:val="0"/>
          <w:numId w:val="1"/>
        </w:numPr>
        <w:tabs>
          <w:tab w:val="left" w:pos="1582"/>
        </w:tabs>
        <w:ind w:left="1582" w:hanging="283"/>
        <w:rPr>
          <w:rFonts w:ascii="Arial" w:hAnsi="Arial"/>
          <w:color w:val="0072BC"/>
        </w:rPr>
      </w:pPr>
      <w:hyperlink r:id="rId93">
        <w:proofErr w:type="spellStart"/>
        <w:r>
          <w:rPr>
            <w:i/>
            <w:color w:val="0072BC"/>
            <w:sz w:val="20"/>
          </w:rPr>
          <w:t>Mežnarić</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nr 71615/01, 15 </w:t>
      </w:r>
      <w:proofErr w:type="spellStart"/>
      <w:r>
        <w:rPr>
          <w:sz w:val="20"/>
        </w:rPr>
        <w:t>lipca</w:t>
      </w:r>
      <w:proofErr w:type="spellEnd"/>
      <w:r>
        <w:rPr>
          <w:sz w:val="20"/>
        </w:rPr>
        <w:t xml:space="preserve"> 2005 r. </w:t>
      </w:r>
      <w:r>
        <w:rPr>
          <w:i/>
          <w:spacing w:val="-2"/>
          <w:sz w:val="20"/>
        </w:rPr>
        <w:t>(</w:t>
      </w:r>
      <w:proofErr w:type="spellStart"/>
      <w:r>
        <w:rPr>
          <w:spacing w:val="-2"/>
          <w:sz w:val="20"/>
        </w:rPr>
        <w:t>naruszenie</w:t>
      </w:r>
      <w:proofErr w:type="spellEnd"/>
      <w:r>
        <w:rPr>
          <w:spacing w:val="-2"/>
          <w:sz w:val="20"/>
        </w:rPr>
        <w:t>);</w:t>
      </w:r>
    </w:p>
    <w:p w14:paraId="5E04CFE0" w14:textId="69C86F51" w:rsidR="004D1679" w:rsidRDefault="004D1679">
      <w:pPr>
        <w:pStyle w:val="Akapitzlist"/>
        <w:numPr>
          <w:ilvl w:val="0"/>
          <w:numId w:val="1"/>
        </w:numPr>
        <w:tabs>
          <w:tab w:val="left" w:pos="1583"/>
        </w:tabs>
        <w:ind w:right="729" w:hanging="284"/>
        <w:rPr>
          <w:rFonts w:ascii="Arial" w:hAnsi="Arial"/>
          <w:color w:val="0072BC"/>
        </w:rPr>
      </w:pPr>
      <w:hyperlink r:id="rId94">
        <w:proofErr w:type="spellStart"/>
        <w:r>
          <w:rPr>
            <w:i/>
            <w:color w:val="0072BC"/>
            <w:sz w:val="20"/>
          </w:rPr>
          <w:t>Gavella</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(dec.), nr. 33244/02, ECHR 2006-XII (</w:t>
      </w:r>
      <w:proofErr w:type="spellStart"/>
      <w:r>
        <w:rPr>
          <w:sz w:val="20"/>
        </w:rPr>
        <w:t>fragmenty</w:t>
      </w:r>
      <w:proofErr w:type="spellEnd"/>
      <w:r>
        <w:rPr>
          <w:sz w:val="20"/>
        </w:rPr>
        <w:t>)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pacing w:val="-2"/>
          <w:sz w:val="20"/>
        </w:rPr>
        <w:t>bezzasadn</w:t>
      </w:r>
      <w:r w:rsidR="00DA4C31">
        <w:rPr>
          <w:spacing w:val="-2"/>
          <w:sz w:val="20"/>
        </w:rPr>
        <w:t>a</w:t>
      </w:r>
      <w:proofErr w:type="spellEnd"/>
      <w:r>
        <w:rPr>
          <w:spacing w:val="-2"/>
          <w:sz w:val="20"/>
        </w:rPr>
        <w:t>);</w:t>
      </w:r>
    </w:p>
    <w:p w14:paraId="79A7AAF3" w14:textId="77777777" w:rsidR="004D1679" w:rsidRDefault="004D1679">
      <w:pPr>
        <w:pStyle w:val="Akapitzlist"/>
        <w:numPr>
          <w:ilvl w:val="0"/>
          <w:numId w:val="1"/>
        </w:numPr>
        <w:tabs>
          <w:tab w:val="left" w:pos="1582"/>
        </w:tabs>
        <w:ind w:left="1582" w:hanging="283"/>
        <w:rPr>
          <w:rFonts w:ascii="Arial" w:hAnsi="Arial"/>
          <w:color w:val="0072BC"/>
        </w:rPr>
      </w:pPr>
      <w:hyperlink r:id="rId95">
        <w:r>
          <w:rPr>
            <w:i/>
            <w:color w:val="0072BC"/>
            <w:sz w:val="20"/>
          </w:rPr>
          <w:t xml:space="preserve">Pronina </w:t>
        </w:r>
        <w:proofErr w:type="spellStart"/>
        <w:r>
          <w:rPr>
            <w:i/>
            <w:color w:val="0072BC"/>
            <w:sz w:val="20"/>
          </w:rPr>
          <w:t>przeciwko</w:t>
        </w:r>
        <w:proofErr w:type="spellEnd"/>
        <w:r>
          <w:rPr>
            <w:i/>
            <w:color w:val="0072BC"/>
            <w:sz w:val="20"/>
          </w:rPr>
          <w:t xml:space="preserve"> </w:t>
        </w:r>
        <w:proofErr w:type="spellStart"/>
        <w:r>
          <w:rPr>
            <w:i/>
            <w:color w:val="0072BC"/>
            <w:sz w:val="20"/>
          </w:rPr>
          <w:t>Ukrainie</w:t>
        </w:r>
        <w:proofErr w:type="spellEnd"/>
      </w:hyperlink>
      <w:r>
        <w:rPr>
          <w:sz w:val="20"/>
        </w:rPr>
        <w:t xml:space="preserve">, nr 63566/00, 18 </w:t>
      </w:r>
      <w:proofErr w:type="spellStart"/>
      <w:r>
        <w:rPr>
          <w:sz w:val="20"/>
        </w:rPr>
        <w:t>lipca</w:t>
      </w:r>
      <w:proofErr w:type="spellEnd"/>
      <w:r>
        <w:rPr>
          <w:sz w:val="20"/>
        </w:rPr>
        <w:t xml:space="preserve"> 2006 r. </w:t>
      </w:r>
      <w:r>
        <w:rPr>
          <w:spacing w:val="-2"/>
          <w:sz w:val="20"/>
        </w:rPr>
        <w:t>(</w:t>
      </w:r>
      <w:proofErr w:type="spellStart"/>
      <w:r>
        <w:rPr>
          <w:spacing w:val="-2"/>
          <w:sz w:val="20"/>
        </w:rPr>
        <w:t>naruszenie</w:t>
      </w:r>
      <w:proofErr w:type="spellEnd"/>
      <w:r>
        <w:rPr>
          <w:spacing w:val="-2"/>
          <w:sz w:val="20"/>
        </w:rPr>
        <w:t>);</w:t>
      </w:r>
    </w:p>
    <w:p w14:paraId="30561FAB" w14:textId="77777777" w:rsidR="004D1679" w:rsidRDefault="004D1679">
      <w:pPr>
        <w:pStyle w:val="Akapitzlist"/>
        <w:numPr>
          <w:ilvl w:val="0"/>
          <w:numId w:val="1"/>
        </w:numPr>
        <w:tabs>
          <w:tab w:val="left" w:pos="1582"/>
        </w:tabs>
        <w:ind w:left="1582" w:hanging="283"/>
        <w:rPr>
          <w:rFonts w:ascii="Arial" w:hAnsi="Arial"/>
          <w:color w:val="0072BC"/>
        </w:rPr>
      </w:pPr>
      <w:hyperlink r:id="rId96">
        <w:r>
          <w:rPr>
            <w:i/>
            <w:color w:val="0072BC"/>
            <w:sz w:val="20"/>
          </w:rPr>
          <w:t xml:space="preserve">Švarc </w:t>
        </w:r>
        <w:proofErr w:type="spellStart"/>
        <w:r>
          <w:rPr>
            <w:i/>
            <w:color w:val="0072BC"/>
            <w:sz w:val="20"/>
          </w:rPr>
          <w:t>i</w:t>
        </w:r>
        <w:proofErr w:type="spellEnd"/>
        <w:r>
          <w:rPr>
            <w:i/>
            <w:color w:val="0072BC"/>
            <w:sz w:val="20"/>
          </w:rPr>
          <w:t xml:space="preserve"> </w:t>
        </w:r>
        <w:proofErr w:type="spellStart"/>
        <w:r>
          <w:rPr>
            <w:i/>
            <w:color w:val="0072BC"/>
            <w:sz w:val="20"/>
          </w:rPr>
          <w:t>Kavnik</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Słowenii</w:t>
        </w:r>
        <w:proofErr w:type="spellEnd"/>
      </w:hyperlink>
      <w:r>
        <w:rPr>
          <w:sz w:val="20"/>
        </w:rPr>
        <w:t xml:space="preserve">, nr 75617/01, 8 </w:t>
      </w:r>
      <w:proofErr w:type="spellStart"/>
      <w:r>
        <w:rPr>
          <w:sz w:val="20"/>
        </w:rPr>
        <w:t>lutego</w:t>
      </w:r>
      <w:proofErr w:type="spellEnd"/>
      <w:r>
        <w:rPr>
          <w:sz w:val="20"/>
        </w:rPr>
        <w:t xml:space="preserve"> 2007 r. </w:t>
      </w:r>
      <w:r>
        <w:rPr>
          <w:spacing w:val="-2"/>
          <w:sz w:val="20"/>
        </w:rPr>
        <w:t>(</w:t>
      </w:r>
      <w:proofErr w:type="spellStart"/>
      <w:r>
        <w:rPr>
          <w:spacing w:val="-2"/>
          <w:sz w:val="20"/>
        </w:rPr>
        <w:t>naruszenie</w:t>
      </w:r>
      <w:proofErr w:type="spellEnd"/>
      <w:r>
        <w:rPr>
          <w:spacing w:val="-2"/>
          <w:sz w:val="20"/>
        </w:rPr>
        <w:t>);</w:t>
      </w:r>
    </w:p>
    <w:p w14:paraId="7309B278" w14:textId="77777777" w:rsidR="004D1679" w:rsidRDefault="004D1679">
      <w:pPr>
        <w:pStyle w:val="Akapitzlist"/>
        <w:numPr>
          <w:ilvl w:val="0"/>
          <w:numId w:val="1"/>
        </w:numPr>
        <w:tabs>
          <w:tab w:val="left" w:pos="1582"/>
        </w:tabs>
        <w:ind w:left="1582" w:hanging="283"/>
        <w:rPr>
          <w:rFonts w:ascii="Arial" w:hAnsi="Arial"/>
          <w:color w:val="0072BC"/>
        </w:rPr>
      </w:pPr>
      <w:hyperlink r:id="rId97">
        <w:r>
          <w:rPr>
            <w:i/>
            <w:color w:val="0072BC"/>
            <w:sz w:val="20"/>
          </w:rPr>
          <w:t xml:space="preserve">Marini </w:t>
        </w:r>
        <w:proofErr w:type="spellStart"/>
        <w:r>
          <w:rPr>
            <w:i/>
            <w:color w:val="0072BC"/>
            <w:sz w:val="20"/>
          </w:rPr>
          <w:t>przeciwko</w:t>
        </w:r>
        <w:proofErr w:type="spellEnd"/>
        <w:r>
          <w:rPr>
            <w:i/>
            <w:color w:val="0072BC"/>
            <w:sz w:val="20"/>
          </w:rPr>
          <w:t xml:space="preserve"> </w:t>
        </w:r>
        <w:proofErr w:type="spellStart"/>
        <w:r>
          <w:rPr>
            <w:i/>
            <w:color w:val="0072BC"/>
            <w:sz w:val="20"/>
          </w:rPr>
          <w:t>Albanii</w:t>
        </w:r>
        <w:proofErr w:type="spellEnd"/>
      </w:hyperlink>
      <w:r>
        <w:rPr>
          <w:sz w:val="20"/>
        </w:rPr>
        <w:t xml:space="preserve">, nr. 3738/02, 18 </w:t>
      </w:r>
      <w:proofErr w:type="spellStart"/>
      <w:r>
        <w:rPr>
          <w:sz w:val="20"/>
        </w:rPr>
        <w:t>grudnia</w:t>
      </w:r>
      <w:proofErr w:type="spellEnd"/>
      <w:r>
        <w:rPr>
          <w:sz w:val="20"/>
        </w:rPr>
        <w:t xml:space="preserve"> 2007 r. </w:t>
      </w:r>
      <w:r>
        <w:rPr>
          <w:spacing w:val="-2"/>
          <w:sz w:val="20"/>
        </w:rPr>
        <w:t>(</w:t>
      </w:r>
      <w:proofErr w:type="spellStart"/>
      <w:r>
        <w:rPr>
          <w:spacing w:val="-2"/>
          <w:sz w:val="20"/>
        </w:rPr>
        <w:t>naruszenie</w:t>
      </w:r>
      <w:proofErr w:type="spellEnd"/>
      <w:r>
        <w:rPr>
          <w:spacing w:val="-2"/>
          <w:sz w:val="20"/>
        </w:rPr>
        <w:t>);</w:t>
      </w:r>
    </w:p>
    <w:p w14:paraId="56108D25" w14:textId="77777777" w:rsidR="004D1679" w:rsidRDefault="004D1679">
      <w:pPr>
        <w:pStyle w:val="Akapitzlist"/>
        <w:numPr>
          <w:ilvl w:val="0"/>
          <w:numId w:val="1"/>
        </w:numPr>
        <w:tabs>
          <w:tab w:val="left" w:pos="1582"/>
        </w:tabs>
        <w:ind w:left="1582" w:hanging="283"/>
        <w:rPr>
          <w:rFonts w:ascii="Arial" w:hAnsi="Arial"/>
          <w:color w:val="0072BC"/>
        </w:rPr>
      </w:pPr>
      <w:hyperlink r:id="rId98">
        <w:r>
          <w:rPr>
            <w:i/>
            <w:color w:val="0072BC"/>
            <w:sz w:val="20"/>
          </w:rPr>
          <w:t xml:space="preserve">Olujić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nr 22330/05, 5 </w:t>
      </w:r>
      <w:proofErr w:type="spellStart"/>
      <w:r>
        <w:rPr>
          <w:sz w:val="20"/>
        </w:rPr>
        <w:t>lutego</w:t>
      </w:r>
      <w:proofErr w:type="spellEnd"/>
      <w:r>
        <w:rPr>
          <w:sz w:val="20"/>
        </w:rPr>
        <w:t xml:space="preserve"> 2009 r. </w:t>
      </w:r>
      <w:r>
        <w:rPr>
          <w:spacing w:val="-2"/>
          <w:sz w:val="20"/>
        </w:rPr>
        <w:t>(</w:t>
      </w:r>
      <w:proofErr w:type="spellStart"/>
      <w:r>
        <w:rPr>
          <w:spacing w:val="-2"/>
          <w:sz w:val="20"/>
        </w:rPr>
        <w:t>naruszenie</w:t>
      </w:r>
      <w:proofErr w:type="spellEnd"/>
      <w:r>
        <w:rPr>
          <w:spacing w:val="-2"/>
          <w:sz w:val="20"/>
        </w:rPr>
        <w:t>);</w:t>
      </w:r>
    </w:p>
    <w:p w14:paraId="54039F7A" w14:textId="77777777" w:rsidR="004D1679" w:rsidRDefault="004D1679">
      <w:pPr>
        <w:pStyle w:val="Akapitzlist"/>
        <w:numPr>
          <w:ilvl w:val="0"/>
          <w:numId w:val="1"/>
        </w:numPr>
        <w:tabs>
          <w:tab w:val="left" w:pos="1582"/>
        </w:tabs>
        <w:ind w:left="1582" w:hanging="283"/>
        <w:rPr>
          <w:rFonts w:ascii="Arial" w:hAnsi="Arial"/>
          <w:color w:val="0072BC"/>
        </w:rPr>
      </w:pPr>
      <w:hyperlink r:id="rId99">
        <w:r>
          <w:rPr>
            <w:i/>
            <w:color w:val="0072BC"/>
            <w:sz w:val="20"/>
          </w:rPr>
          <w:t xml:space="preserve">Gaspari </w:t>
        </w:r>
        <w:proofErr w:type="spellStart"/>
        <w:r>
          <w:rPr>
            <w:i/>
            <w:color w:val="0072BC"/>
            <w:sz w:val="20"/>
          </w:rPr>
          <w:t>przeciwko</w:t>
        </w:r>
        <w:proofErr w:type="spellEnd"/>
        <w:r>
          <w:rPr>
            <w:i/>
            <w:color w:val="0072BC"/>
            <w:sz w:val="20"/>
          </w:rPr>
          <w:t xml:space="preserve"> </w:t>
        </w:r>
        <w:proofErr w:type="spellStart"/>
        <w:r>
          <w:rPr>
            <w:i/>
            <w:color w:val="0072BC"/>
            <w:sz w:val="20"/>
          </w:rPr>
          <w:t>Słowenii</w:t>
        </w:r>
        <w:proofErr w:type="spellEnd"/>
      </w:hyperlink>
      <w:r>
        <w:rPr>
          <w:sz w:val="20"/>
        </w:rPr>
        <w:t xml:space="preserve">, nr 21055/03, 21 </w:t>
      </w:r>
      <w:proofErr w:type="spellStart"/>
      <w:r>
        <w:rPr>
          <w:sz w:val="20"/>
        </w:rPr>
        <w:t>lipca</w:t>
      </w:r>
      <w:proofErr w:type="spellEnd"/>
      <w:r>
        <w:rPr>
          <w:sz w:val="20"/>
        </w:rPr>
        <w:t xml:space="preserve"> 2009 r. </w:t>
      </w:r>
      <w:r>
        <w:rPr>
          <w:spacing w:val="-2"/>
          <w:sz w:val="20"/>
        </w:rPr>
        <w:t>(</w:t>
      </w:r>
      <w:proofErr w:type="spellStart"/>
      <w:r>
        <w:rPr>
          <w:spacing w:val="-2"/>
          <w:sz w:val="20"/>
        </w:rPr>
        <w:t>naruszenie</w:t>
      </w:r>
      <w:proofErr w:type="spellEnd"/>
      <w:r>
        <w:rPr>
          <w:spacing w:val="-2"/>
          <w:sz w:val="20"/>
        </w:rPr>
        <w:t>);</w:t>
      </w:r>
    </w:p>
    <w:p w14:paraId="2A09FFC3" w14:textId="77777777" w:rsidR="004D1679" w:rsidRDefault="004D1679">
      <w:pPr>
        <w:pStyle w:val="Akapitzlist"/>
        <w:numPr>
          <w:ilvl w:val="0"/>
          <w:numId w:val="1"/>
        </w:numPr>
        <w:tabs>
          <w:tab w:val="left" w:pos="1582"/>
        </w:tabs>
        <w:ind w:left="1582" w:hanging="283"/>
        <w:rPr>
          <w:rFonts w:ascii="Arial" w:hAnsi="Arial"/>
          <w:color w:val="0072BC"/>
        </w:rPr>
      </w:pPr>
      <w:hyperlink r:id="rId100">
        <w:r>
          <w:rPr>
            <w:i/>
            <w:color w:val="0072BC"/>
            <w:sz w:val="20"/>
          </w:rPr>
          <w:t xml:space="preserve">Ferré Gisbert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nr. 39590/05, 13 </w:t>
      </w:r>
      <w:proofErr w:type="spellStart"/>
      <w:r>
        <w:rPr>
          <w:sz w:val="20"/>
        </w:rPr>
        <w:t>października</w:t>
      </w:r>
      <w:proofErr w:type="spellEnd"/>
      <w:r>
        <w:rPr>
          <w:sz w:val="20"/>
        </w:rPr>
        <w:t xml:space="preserve"> 2009 r. </w:t>
      </w:r>
      <w:r>
        <w:rPr>
          <w:spacing w:val="-2"/>
          <w:sz w:val="20"/>
        </w:rPr>
        <w:t>(</w:t>
      </w:r>
      <w:proofErr w:type="spellStart"/>
      <w:r>
        <w:rPr>
          <w:spacing w:val="-2"/>
          <w:sz w:val="20"/>
        </w:rPr>
        <w:t>naruszenie</w:t>
      </w:r>
      <w:proofErr w:type="spellEnd"/>
      <w:r>
        <w:rPr>
          <w:spacing w:val="-2"/>
          <w:sz w:val="20"/>
        </w:rPr>
        <w:t>);</w:t>
      </w:r>
    </w:p>
    <w:p w14:paraId="5CA599A7" w14:textId="7F60495F" w:rsidR="004D1679" w:rsidRDefault="004D1679">
      <w:pPr>
        <w:pStyle w:val="Akapitzlist"/>
        <w:numPr>
          <w:ilvl w:val="0"/>
          <w:numId w:val="1"/>
        </w:numPr>
        <w:tabs>
          <w:tab w:val="left" w:pos="1582"/>
        </w:tabs>
        <w:ind w:left="1582" w:hanging="283"/>
        <w:rPr>
          <w:rFonts w:ascii="Arial" w:hAnsi="Arial"/>
          <w:color w:val="0072BC"/>
        </w:rPr>
      </w:pPr>
      <w:hyperlink r:id="rId101">
        <w:r>
          <w:rPr>
            <w:i/>
            <w:color w:val="0072BC"/>
            <w:sz w:val="20"/>
          </w:rPr>
          <w:t xml:space="preserve">Oršuš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w:t>
      </w:r>
      <w:r w:rsidR="00442520">
        <w:rPr>
          <w:sz w:val="20"/>
        </w:rPr>
        <w:t>WI</w:t>
      </w:r>
      <w:r>
        <w:rPr>
          <w:sz w:val="20"/>
        </w:rPr>
        <w:t xml:space="preserve">], nr 15766/03, ECHR 2010 </w:t>
      </w:r>
      <w:r>
        <w:rPr>
          <w:spacing w:val="-2"/>
          <w:sz w:val="20"/>
        </w:rPr>
        <w:t>(</w:t>
      </w:r>
      <w:proofErr w:type="spellStart"/>
      <w:r>
        <w:rPr>
          <w:spacing w:val="-2"/>
          <w:sz w:val="20"/>
        </w:rPr>
        <w:t>naruszenie</w:t>
      </w:r>
      <w:proofErr w:type="spellEnd"/>
      <w:r>
        <w:rPr>
          <w:spacing w:val="-2"/>
          <w:sz w:val="20"/>
        </w:rPr>
        <w:t>);</w:t>
      </w:r>
    </w:p>
    <w:p w14:paraId="58049640" w14:textId="2BEBAEAF" w:rsidR="004D1679" w:rsidRDefault="004D1679">
      <w:pPr>
        <w:pStyle w:val="Akapitzlist"/>
        <w:numPr>
          <w:ilvl w:val="0"/>
          <w:numId w:val="1"/>
        </w:numPr>
        <w:tabs>
          <w:tab w:val="left" w:pos="1582"/>
        </w:tabs>
        <w:ind w:left="1582" w:hanging="283"/>
        <w:rPr>
          <w:rFonts w:ascii="Arial" w:hAnsi="Arial"/>
          <w:color w:val="0072BC"/>
        </w:rPr>
      </w:pPr>
      <w:hyperlink r:id="rId102">
        <w:proofErr w:type="spellStart"/>
        <w:r>
          <w:rPr>
            <w:i/>
            <w:color w:val="0072BC"/>
            <w:sz w:val="20"/>
          </w:rPr>
          <w:t>Paksas</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Litwie</w:t>
        </w:r>
        <w:proofErr w:type="spellEnd"/>
      </w:hyperlink>
      <w:r>
        <w:rPr>
          <w:sz w:val="20"/>
        </w:rPr>
        <w:t xml:space="preserve"> [</w:t>
      </w:r>
      <w:r w:rsidR="00442520">
        <w:rPr>
          <w:sz w:val="20"/>
        </w:rPr>
        <w:t>WI</w:t>
      </w:r>
      <w:r>
        <w:rPr>
          <w:sz w:val="20"/>
        </w:rPr>
        <w:t>], nr. 34932/04, ECHR 2011 (</w:t>
      </w:r>
      <w:proofErr w:type="spellStart"/>
      <w:r>
        <w:rPr>
          <w:sz w:val="20"/>
        </w:rPr>
        <w:t>fragmenty</w:t>
      </w:r>
      <w:proofErr w:type="spellEnd"/>
      <w:r>
        <w:rPr>
          <w:sz w:val="20"/>
        </w:rPr>
        <w:t>) (</w:t>
      </w:r>
      <w:proofErr w:type="spellStart"/>
      <w:r>
        <w:rPr>
          <w:sz w:val="20"/>
        </w:rPr>
        <w:t>Artykuł</w:t>
      </w:r>
      <w:proofErr w:type="spellEnd"/>
      <w:r>
        <w:rPr>
          <w:sz w:val="20"/>
        </w:rPr>
        <w:t xml:space="preserve"> 6 </w:t>
      </w:r>
      <w:proofErr w:type="spellStart"/>
      <w:r>
        <w:rPr>
          <w:sz w:val="20"/>
        </w:rPr>
        <w:t>nie</w:t>
      </w:r>
      <w:proofErr w:type="spellEnd"/>
      <w:r>
        <w:rPr>
          <w:sz w:val="20"/>
        </w:rPr>
        <w:t xml:space="preserve"> ma </w:t>
      </w:r>
      <w:proofErr w:type="spellStart"/>
      <w:r>
        <w:rPr>
          <w:spacing w:val="-2"/>
          <w:sz w:val="20"/>
        </w:rPr>
        <w:t>zastosowania</w:t>
      </w:r>
      <w:proofErr w:type="spellEnd"/>
      <w:r>
        <w:rPr>
          <w:spacing w:val="-2"/>
          <w:sz w:val="20"/>
        </w:rPr>
        <w:t>);</w:t>
      </w:r>
    </w:p>
    <w:p w14:paraId="4304F562" w14:textId="77777777" w:rsidR="004D1679" w:rsidRDefault="004D1679">
      <w:pPr>
        <w:pStyle w:val="Akapitzlist"/>
        <w:numPr>
          <w:ilvl w:val="0"/>
          <w:numId w:val="1"/>
        </w:numPr>
        <w:tabs>
          <w:tab w:val="left" w:pos="1582"/>
        </w:tabs>
        <w:ind w:left="1582" w:hanging="283"/>
        <w:rPr>
          <w:rFonts w:ascii="Arial" w:hAnsi="Arial"/>
          <w:color w:val="0072BC"/>
        </w:rPr>
      </w:pPr>
      <w:hyperlink r:id="rId103">
        <w:r>
          <w:rPr>
            <w:i/>
            <w:color w:val="0072BC"/>
            <w:sz w:val="20"/>
          </w:rPr>
          <w:t xml:space="preserve">Kübler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nr. 32715/06, 13 </w:t>
      </w:r>
      <w:proofErr w:type="spellStart"/>
      <w:r>
        <w:rPr>
          <w:sz w:val="20"/>
        </w:rPr>
        <w:t>stycznia</w:t>
      </w:r>
      <w:proofErr w:type="spellEnd"/>
      <w:r>
        <w:rPr>
          <w:sz w:val="20"/>
        </w:rPr>
        <w:t xml:space="preserve"> 2011 r. </w:t>
      </w:r>
      <w:r>
        <w:rPr>
          <w:spacing w:val="-2"/>
          <w:sz w:val="20"/>
        </w:rPr>
        <w:t>(</w:t>
      </w:r>
      <w:proofErr w:type="spellStart"/>
      <w:r>
        <w:rPr>
          <w:spacing w:val="-2"/>
          <w:sz w:val="20"/>
        </w:rPr>
        <w:t>naruszenie</w:t>
      </w:r>
      <w:proofErr w:type="spellEnd"/>
      <w:r>
        <w:rPr>
          <w:spacing w:val="-2"/>
          <w:sz w:val="20"/>
        </w:rPr>
        <w:t>);</w:t>
      </w:r>
    </w:p>
    <w:p w14:paraId="30468C2A" w14:textId="77777777" w:rsidR="004D1679" w:rsidRDefault="004D1679">
      <w:pPr>
        <w:pStyle w:val="Akapitzlist"/>
        <w:numPr>
          <w:ilvl w:val="0"/>
          <w:numId w:val="1"/>
        </w:numPr>
        <w:tabs>
          <w:tab w:val="left" w:pos="1582"/>
        </w:tabs>
        <w:ind w:left="1582" w:hanging="283"/>
        <w:rPr>
          <w:rFonts w:ascii="Arial" w:hAnsi="Arial"/>
          <w:color w:val="0072BC"/>
        </w:rPr>
      </w:pPr>
      <w:hyperlink r:id="rId104">
        <w:r>
          <w:rPr>
            <w:i/>
            <w:color w:val="0072BC"/>
            <w:sz w:val="20"/>
          </w:rPr>
          <w:t xml:space="preserve">Bellizzi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xml:space="preserve">, nr. 46575/09, 21 </w:t>
      </w:r>
      <w:proofErr w:type="spellStart"/>
      <w:r>
        <w:rPr>
          <w:sz w:val="20"/>
        </w:rPr>
        <w:t>czerwca</w:t>
      </w:r>
      <w:proofErr w:type="spellEnd"/>
      <w:r>
        <w:rPr>
          <w:sz w:val="20"/>
        </w:rPr>
        <w:t xml:space="preserve"> 2011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1D7BFFC0" w14:textId="0A3F4A1D" w:rsidR="004D1679" w:rsidRDefault="004D1679">
      <w:pPr>
        <w:pStyle w:val="Akapitzlist"/>
        <w:numPr>
          <w:ilvl w:val="0"/>
          <w:numId w:val="1"/>
        </w:numPr>
        <w:tabs>
          <w:tab w:val="left" w:pos="1583"/>
        </w:tabs>
        <w:ind w:right="729" w:hanging="284"/>
        <w:rPr>
          <w:rFonts w:ascii="Arial" w:hAnsi="Arial"/>
          <w:color w:val="0072BC"/>
        </w:rPr>
      </w:pPr>
      <w:hyperlink r:id="rId105">
        <w:proofErr w:type="spellStart"/>
        <w:r>
          <w:rPr>
            <w:i/>
            <w:color w:val="0072BC"/>
            <w:sz w:val="20"/>
          </w:rPr>
          <w:t>Klausecker</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Niemcom</w:t>
        </w:r>
        <w:proofErr w:type="spellEnd"/>
      </w:hyperlink>
      <w:r>
        <w:rPr>
          <w:sz w:val="20"/>
        </w:rPr>
        <w:t xml:space="preserve"> (dec.), nr. 415/07, 6 </w:t>
      </w:r>
      <w:proofErr w:type="spellStart"/>
      <w:r>
        <w:rPr>
          <w:sz w:val="20"/>
        </w:rPr>
        <w:t>stycznia</w:t>
      </w:r>
      <w:proofErr w:type="spellEnd"/>
      <w:r>
        <w:rPr>
          <w:sz w:val="20"/>
        </w:rPr>
        <w:t xml:space="preserve"> 2015 r.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w:t>
      </w:r>
      <w:r w:rsidR="00DA4C31">
        <w:rPr>
          <w:sz w:val="20"/>
        </w:rPr>
        <w:t>a</w:t>
      </w:r>
      <w:proofErr w:type="spellEnd"/>
      <w:r>
        <w:rPr>
          <w:spacing w:val="-2"/>
          <w:sz w:val="20"/>
        </w:rPr>
        <w:t>);</w:t>
      </w:r>
    </w:p>
    <w:p w14:paraId="390F3015" w14:textId="77777777" w:rsidR="004D1679" w:rsidRDefault="004D1679">
      <w:pPr>
        <w:pStyle w:val="Akapitzlist"/>
        <w:numPr>
          <w:ilvl w:val="0"/>
          <w:numId w:val="1"/>
        </w:numPr>
        <w:tabs>
          <w:tab w:val="left" w:pos="1582"/>
        </w:tabs>
        <w:ind w:left="1582" w:hanging="283"/>
        <w:rPr>
          <w:rFonts w:ascii="Arial" w:hAnsi="Arial"/>
          <w:color w:val="0072BC"/>
        </w:rPr>
      </w:pPr>
      <w:hyperlink r:id="rId106">
        <w:r>
          <w:rPr>
            <w:i/>
            <w:color w:val="0072BC"/>
            <w:sz w:val="20"/>
          </w:rPr>
          <w:t xml:space="preserve">Arribas Antón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nr 16563/11, 20 </w:t>
      </w:r>
      <w:proofErr w:type="spellStart"/>
      <w:r>
        <w:rPr>
          <w:sz w:val="20"/>
        </w:rPr>
        <w:t>stycznia</w:t>
      </w:r>
      <w:proofErr w:type="spellEnd"/>
      <w:r>
        <w:rPr>
          <w:sz w:val="20"/>
        </w:rPr>
        <w:t xml:space="preserve"> 2015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16B46C79" w14:textId="77777777" w:rsidR="004D1679" w:rsidRDefault="004D1679">
      <w:pPr>
        <w:pStyle w:val="Akapitzlist"/>
        <w:rPr>
          <w:rFonts w:ascii="Arial" w:hAnsi="Arial"/>
        </w:rPr>
        <w:sectPr w:rsidR="004D1679">
          <w:pgSz w:w="11910" w:h="16840"/>
          <w:pgMar w:top="1080" w:right="708" w:bottom="860" w:left="708" w:header="698" w:footer="677" w:gutter="0"/>
          <w:cols w:space="708"/>
        </w:sectPr>
      </w:pPr>
    </w:p>
    <w:p w14:paraId="22B22571" w14:textId="77777777" w:rsidR="004D1679" w:rsidRDefault="004D1679">
      <w:pPr>
        <w:pStyle w:val="Tekstpodstawowy"/>
        <w:spacing w:before="0"/>
        <w:ind w:left="0" w:right="0" w:firstLine="0"/>
        <w:jc w:val="left"/>
      </w:pPr>
    </w:p>
    <w:p w14:paraId="27531E78" w14:textId="77777777" w:rsidR="004D1679" w:rsidRDefault="004D1679">
      <w:pPr>
        <w:pStyle w:val="Tekstpodstawowy"/>
        <w:spacing w:before="0"/>
        <w:ind w:left="0" w:right="0" w:firstLine="0"/>
        <w:jc w:val="left"/>
      </w:pPr>
    </w:p>
    <w:p w14:paraId="3AC4A0D5" w14:textId="0B993C14" w:rsidR="004D1679" w:rsidRDefault="004D1679">
      <w:pPr>
        <w:pStyle w:val="Akapitzlist"/>
        <w:numPr>
          <w:ilvl w:val="0"/>
          <w:numId w:val="1"/>
        </w:numPr>
        <w:tabs>
          <w:tab w:val="left" w:pos="1583"/>
        </w:tabs>
        <w:spacing w:before="0"/>
        <w:ind w:right="729" w:hanging="284"/>
        <w:rPr>
          <w:rFonts w:ascii="Arial" w:hAnsi="Arial"/>
          <w:color w:val="0072BC"/>
        </w:rPr>
      </w:pPr>
      <w:hyperlink r:id="rId107">
        <w:r>
          <w:rPr>
            <w:i/>
            <w:color w:val="0072BC"/>
            <w:sz w:val="20"/>
          </w:rPr>
          <w:t xml:space="preserve">Selmani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Byłej</w:t>
        </w:r>
        <w:proofErr w:type="spellEnd"/>
        <w:r>
          <w:rPr>
            <w:i/>
            <w:color w:val="0072BC"/>
            <w:sz w:val="20"/>
          </w:rPr>
          <w:t xml:space="preserve"> </w:t>
        </w:r>
        <w:proofErr w:type="spellStart"/>
        <w:r>
          <w:rPr>
            <w:i/>
            <w:color w:val="0072BC"/>
            <w:sz w:val="20"/>
          </w:rPr>
          <w:t>Jugosłowiańskiej</w:t>
        </w:r>
        <w:proofErr w:type="spellEnd"/>
        <w:r>
          <w:rPr>
            <w:i/>
            <w:color w:val="0072BC"/>
            <w:sz w:val="20"/>
          </w:rPr>
          <w:t xml:space="preserve"> </w:t>
        </w:r>
        <w:proofErr w:type="spellStart"/>
        <w:r>
          <w:rPr>
            <w:i/>
            <w:color w:val="0072BC"/>
            <w:sz w:val="20"/>
          </w:rPr>
          <w:t>Republice</w:t>
        </w:r>
        <w:proofErr w:type="spellEnd"/>
        <w:r>
          <w:rPr>
            <w:i/>
            <w:color w:val="0072BC"/>
            <w:sz w:val="20"/>
          </w:rPr>
          <w:t xml:space="preserve"> </w:t>
        </w:r>
        <w:proofErr w:type="spellStart"/>
        <w:r>
          <w:rPr>
            <w:i/>
            <w:color w:val="0072BC"/>
            <w:sz w:val="20"/>
          </w:rPr>
          <w:t>Macedonii</w:t>
        </w:r>
        <w:proofErr w:type="spellEnd"/>
      </w:hyperlink>
      <w:r>
        <w:rPr>
          <w:sz w:val="20"/>
        </w:rPr>
        <w:t xml:space="preserve">, nr 67259/14, 9 </w:t>
      </w:r>
      <w:proofErr w:type="spellStart"/>
      <w:r>
        <w:rPr>
          <w:sz w:val="20"/>
        </w:rPr>
        <w:t>lutego</w:t>
      </w:r>
      <w:proofErr w:type="spellEnd"/>
      <w:r>
        <w:rPr>
          <w:sz w:val="20"/>
        </w:rPr>
        <w:t xml:space="preserve"> 2017 r. (</w:t>
      </w:r>
      <w:proofErr w:type="spellStart"/>
      <w:r>
        <w:rPr>
          <w:sz w:val="20"/>
        </w:rPr>
        <w:t>naruszenie</w:t>
      </w:r>
      <w:proofErr w:type="spellEnd"/>
      <w:r>
        <w:rPr>
          <w:sz w:val="20"/>
        </w:rPr>
        <w:t>);</w:t>
      </w:r>
    </w:p>
    <w:p w14:paraId="245AF0E9" w14:textId="0E59D550" w:rsidR="004D1679" w:rsidRDefault="004D1679">
      <w:pPr>
        <w:pStyle w:val="Akapitzlist"/>
        <w:numPr>
          <w:ilvl w:val="0"/>
          <w:numId w:val="1"/>
        </w:numPr>
        <w:tabs>
          <w:tab w:val="left" w:pos="1583"/>
        </w:tabs>
        <w:ind w:right="728" w:hanging="284"/>
        <w:rPr>
          <w:rFonts w:ascii="Arial" w:hAnsi="Arial"/>
          <w:color w:val="0072BC"/>
        </w:rPr>
      </w:pPr>
      <w:hyperlink r:id="rId108">
        <w:r>
          <w:rPr>
            <w:i/>
            <w:color w:val="0072BC"/>
            <w:sz w:val="20"/>
          </w:rPr>
          <w:t xml:space="preserve">Acar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Turcji</w:t>
        </w:r>
        <w:proofErr w:type="spellEnd"/>
      </w:hyperlink>
      <w:r>
        <w:rPr>
          <w:sz w:val="20"/>
        </w:rPr>
        <w:t xml:space="preserve"> (dec.), nr 26878/07 </w:t>
      </w:r>
      <w:proofErr w:type="spellStart"/>
      <w:r>
        <w:rPr>
          <w:sz w:val="20"/>
        </w:rPr>
        <w:t>i</w:t>
      </w:r>
      <w:proofErr w:type="spellEnd"/>
      <w:r>
        <w:rPr>
          <w:sz w:val="20"/>
        </w:rPr>
        <w:t xml:space="preserve"> 32446/07, 12 </w:t>
      </w:r>
      <w:proofErr w:type="spellStart"/>
      <w:r>
        <w:rPr>
          <w:sz w:val="20"/>
        </w:rPr>
        <w:t>grudnia</w:t>
      </w:r>
      <w:proofErr w:type="spellEnd"/>
      <w:r>
        <w:rPr>
          <w:sz w:val="20"/>
        </w:rPr>
        <w:t xml:space="preserve"> 2017 r.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w:t>
      </w:r>
      <w:r w:rsidR="00DA4C31">
        <w:rPr>
          <w:sz w:val="20"/>
        </w:rPr>
        <w:t>a</w:t>
      </w:r>
      <w:proofErr w:type="spellEnd"/>
      <w:r>
        <w:rPr>
          <w:sz w:val="20"/>
        </w:rPr>
        <w:t>);</w:t>
      </w:r>
    </w:p>
    <w:p w14:paraId="4FD8D2D7" w14:textId="4782D290" w:rsidR="004D1679" w:rsidRDefault="004D1679">
      <w:pPr>
        <w:pStyle w:val="Akapitzlist"/>
        <w:numPr>
          <w:ilvl w:val="0"/>
          <w:numId w:val="1"/>
        </w:numPr>
        <w:tabs>
          <w:tab w:val="left" w:pos="1583"/>
        </w:tabs>
        <w:ind w:right="729" w:hanging="284"/>
        <w:rPr>
          <w:rFonts w:ascii="Arial" w:hAnsi="Arial"/>
          <w:color w:val="0072BC"/>
        </w:rPr>
      </w:pPr>
      <w:hyperlink r:id="rId109">
        <w:proofErr w:type="spellStart"/>
        <w:r>
          <w:rPr>
            <w:i/>
            <w:color w:val="0072BC"/>
            <w:sz w:val="20"/>
          </w:rPr>
          <w:t>Arrozpide</w:t>
        </w:r>
        <w:proofErr w:type="spellEnd"/>
        <w:r>
          <w:rPr>
            <w:i/>
            <w:color w:val="0072BC"/>
            <w:sz w:val="20"/>
          </w:rPr>
          <w:t xml:space="preserve"> </w:t>
        </w:r>
        <w:proofErr w:type="spellStart"/>
        <w:r>
          <w:rPr>
            <w:i/>
            <w:color w:val="0072BC"/>
            <w:sz w:val="20"/>
          </w:rPr>
          <w:t>Sarasola</w:t>
        </w:r>
        <w:proofErr w:type="spellEnd"/>
        <w:r>
          <w:rPr>
            <w:i/>
            <w:color w:val="0072BC"/>
            <w:sz w:val="20"/>
          </w:rPr>
          <w:t xml:space="preserve">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nr 65101/16 </w:t>
      </w:r>
      <w:proofErr w:type="spellStart"/>
      <w:r>
        <w:rPr>
          <w:sz w:val="20"/>
        </w:rPr>
        <w:t>i</w:t>
      </w:r>
      <w:proofErr w:type="spellEnd"/>
      <w:r>
        <w:rPr>
          <w:sz w:val="20"/>
        </w:rPr>
        <w:t xml:space="preserve"> 2 </w:t>
      </w:r>
      <w:proofErr w:type="spellStart"/>
      <w:r>
        <w:rPr>
          <w:sz w:val="20"/>
        </w:rPr>
        <w:t>inne</w:t>
      </w:r>
      <w:proofErr w:type="spellEnd"/>
      <w:r>
        <w:rPr>
          <w:sz w:val="20"/>
        </w:rPr>
        <w:t xml:space="preserve">, 23 </w:t>
      </w:r>
      <w:proofErr w:type="spellStart"/>
      <w:r>
        <w:rPr>
          <w:sz w:val="20"/>
        </w:rPr>
        <w:t>października</w:t>
      </w:r>
      <w:proofErr w:type="spellEnd"/>
      <w:r>
        <w:rPr>
          <w:sz w:val="20"/>
        </w:rPr>
        <w:t xml:space="preserve"> 2018 r. </w:t>
      </w:r>
      <w:r>
        <w:rPr>
          <w:spacing w:val="-2"/>
          <w:sz w:val="20"/>
        </w:rPr>
        <w:t>(</w:t>
      </w:r>
      <w:proofErr w:type="spellStart"/>
      <w:r>
        <w:rPr>
          <w:spacing w:val="-2"/>
          <w:sz w:val="20"/>
        </w:rPr>
        <w:t>naruszenie</w:t>
      </w:r>
      <w:proofErr w:type="spellEnd"/>
      <w:r>
        <w:rPr>
          <w:spacing w:val="-2"/>
          <w:sz w:val="20"/>
        </w:rPr>
        <w:t>);</w:t>
      </w:r>
    </w:p>
    <w:p w14:paraId="4C1D64C9" w14:textId="4ABD5590" w:rsidR="004D1679" w:rsidRDefault="004D1679">
      <w:pPr>
        <w:pStyle w:val="Akapitzlist"/>
        <w:numPr>
          <w:ilvl w:val="0"/>
          <w:numId w:val="1"/>
        </w:numPr>
        <w:tabs>
          <w:tab w:val="left" w:pos="1583"/>
        </w:tabs>
        <w:ind w:right="728" w:hanging="284"/>
        <w:rPr>
          <w:rFonts w:ascii="Arial" w:hAnsi="Arial"/>
          <w:color w:val="0072BC"/>
        </w:rPr>
      </w:pPr>
      <w:hyperlink r:id="rId110">
        <w:r>
          <w:rPr>
            <w:i/>
            <w:color w:val="0072BC"/>
            <w:sz w:val="20"/>
          </w:rPr>
          <w:t xml:space="preserve">Fraile Iturralde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(dec.), nr 66498/17, 7 maja 2019 r. (</w:t>
      </w:r>
      <w:proofErr w:type="spellStart"/>
      <w:r>
        <w:rPr>
          <w:sz w:val="20"/>
        </w:rPr>
        <w:t>niedopuszczaln</w:t>
      </w:r>
      <w:r w:rsidR="00DA4C31">
        <w:rPr>
          <w:sz w:val="20"/>
        </w:rPr>
        <w:t>a</w:t>
      </w:r>
      <w:proofErr w:type="spellEnd"/>
      <w:r>
        <w:rPr>
          <w:sz w:val="20"/>
        </w:rPr>
        <w:t xml:space="preserve"> - </w:t>
      </w:r>
      <w:proofErr w:type="spellStart"/>
      <w:r>
        <w:rPr>
          <w:sz w:val="20"/>
        </w:rPr>
        <w:t>oczywiście</w:t>
      </w:r>
      <w:proofErr w:type="spellEnd"/>
      <w:r>
        <w:rPr>
          <w:sz w:val="20"/>
        </w:rPr>
        <w:t xml:space="preserve"> </w:t>
      </w:r>
      <w:proofErr w:type="spellStart"/>
      <w:r>
        <w:rPr>
          <w:sz w:val="20"/>
        </w:rPr>
        <w:t>bezzasadn</w:t>
      </w:r>
      <w:r w:rsidR="00DA4C31">
        <w:rPr>
          <w:sz w:val="20"/>
        </w:rPr>
        <w:t>a</w:t>
      </w:r>
      <w:proofErr w:type="spellEnd"/>
      <w:r>
        <w:rPr>
          <w:spacing w:val="-2"/>
          <w:sz w:val="20"/>
        </w:rPr>
        <w:t>);</w:t>
      </w:r>
    </w:p>
    <w:p w14:paraId="1EB05554" w14:textId="77777777" w:rsidR="004D1679" w:rsidRDefault="004D1679">
      <w:pPr>
        <w:pStyle w:val="Akapitzlist"/>
        <w:numPr>
          <w:ilvl w:val="0"/>
          <w:numId w:val="1"/>
        </w:numPr>
        <w:tabs>
          <w:tab w:val="left" w:pos="1582"/>
        </w:tabs>
        <w:ind w:left="1582" w:hanging="283"/>
        <w:rPr>
          <w:rFonts w:ascii="Arial" w:hAnsi="Arial"/>
          <w:color w:val="0072BC"/>
        </w:rPr>
      </w:pPr>
      <w:hyperlink r:id="rId111">
        <w:r>
          <w:rPr>
            <w:i/>
            <w:color w:val="0072BC"/>
            <w:sz w:val="20"/>
          </w:rPr>
          <w:t xml:space="preserve">Grace </w:t>
        </w:r>
        <w:proofErr w:type="spellStart"/>
        <w:r>
          <w:rPr>
            <w:i/>
            <w:color w:val="0072BC"/>
            <w:sz w:val="20"/>
          </w:rPr>
          <w:t>Gatt</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xml:space="preserve">, nr. 46466/16, 8 </w:t>
      </w:r>
      <w:proofErr w:type="spellStart"/>
      <w:r>
        <w:rPr>
          <w:sz w:val="20"/>
        </w:rPr>
        <w:t>października</w:t>
      </w:r>
      <w:proofErr w:type="spellEnd"/>
      <w:r>
        <w:rPr>
          <w:sz w:val="20"/>
        </w:rPr>
        <w:t xml:space="preserve"> 2019 r. </w:t>
      </w:r>
      <w:r>
        <w:rPr>
          <w:spacing w:val="-2"/>
          <w:sz w:val="20"/>
        </w:rPr>
        <w:t>(</w:t>
      </w:r>
      <w:proofErr w:type="spellStart"/>
      <w:r>
        <w:rPr>
          <w:spacing w:val="-2"/>
          <w:sz w:val="20"/>
        </w:rPr>
        <w:t>naruszenie</w:t>
      </w:r>
      <w:proofErr w:type="spellEnd"/>
      <w:r>
        <w:rPr>
          <w:spacing w:val="-2"/>
          <w:sz w:val="20"/>
        </w:rPr>
        <w:t>);</w:t>
      </w:r>
    </w:p>
    <w:p w14:paraId="6DC636FA" w14:textId="00D4B695" w:rsidR="004D1679" w:rsidRDefault="004D1679">
      <w:pPr>
        <w:pStyle w:val="Akapitzlist"/>
        <w:numPr>
          <w:ilvl w:val="0"/>
          <w:numId w:val="1"/>
        </w:numPr>
        <w:tabs>
          <w:tab w:val="left" w:pos="1582"/>
        </w:tabs>
        <w:ind w:left="1582" w:hanging="283"/>
        <w:rPr>
          <w:rFonts w:ascii="Arial" w:hAnsi="Arial"/>
          <w:color w:val="0072BC"/>
        </w:rPr>
      </w:pPr>
      <w:hyperlink r:id="rId112">
        <w:proofErr w:type="spellStart"/>
        <w:r>
          <w:rPr>
            <w:i/>
            <w:color w:val="0072BC"/>
            <w:sz w:val="20"/>
          </w:rPr>
          <w:t>Polyakh</w:t>
        </w:r>
        <w:proofErr w:type="spellEnd"/>
        <w:r>
          <w:rPr>
            <w:i/>
            <w:color w:val="0072BC"/>
            <w:sz w:val="20"/>
          </w:rPr>
          <w:t xml:space="preserve">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Ukrainie</w:t>
        </w:r>
        <w:proofErr w:type="spellEnd"/>
      </w:hyperlink>
      <w:r>
        <w:rPr>
          <w:sz w:val="20"/>
        </w:rPr>
        <w:t xml:space="preserve">, nr 58812/15 </w:t>
      </w:r>
      <w:proofErr w:type="spellStart"/>
      <w:r>
        <w:rPr>
          <w:sz w:val="20"/>
        </w:rPr>
        <w:t>i</w:t>
      </w:r>
      <w:proofErr w:type="spellEnd"/>
      <w:r>
        <w:rPr>
          <w:sz w:val="20"/>
        </w:rPr>
        <w:t xml:space="preserve"> 4 </w:t>
      </w:r>
      <w:proofErr w:type="spellStart"/>
      <w:r>
        <w:rPr>
          <w:sz w:val="20"/>
        </w:rPr>
        <w:t>inne</w:t>
      </w:r>
      <w:proofErr w:type="spellEnd"/>
      <w:r>
        <w:rPr>
          <w:sz w:val="20"/>
        </w:rPr>
        <w:t xml:space="preserve">, 17 </w:t>
      </w:r>
      <w:proofErr w:type="spellStart"/>
      <w:r>
        <w:rPr>
          <w:sz w:val="20"/>
        </w:rPr>
        <w:t>października</w:t>
      </w:r>
      <w:proofErr w:type="spellEnd"/>
      <w:r>
        <w:rPr>
          <w:sz w:val="20"/>
        </w:rPr>
        <w:t xml:space="preserve"> 2019 r. </w:t>
      </w:r>
      <w:r>
        <w:rPr>
          <w:spacing w:val="-2"/>
          <w:sz w:val="20"/>
        </w:rPr>
        <w:t>(</w:t>
      </w:r>
      <w:proofErr w:type="spellStart"/>
      <w:r>
        <w:rPr>
          <w:spacing w:val="-2"/>
          <w:sz w:val="20"/>
        </w:rPr>
        <w:t>naruszenie</w:t>
      </w:r>
      <w:proofErr w:type="spellEnd"/>
      <w:r>
        <w:rPr>
          <w:spacing w:val="-2"/>
          <w:sz w:val="20"/>
        </w:rPr>
        <w:t>);</w:t>
      </w:r>
    </w:p>
    <w:p w14:paraId="68380F40" w14:textId="77777777" w:rsidR="004D1679" w:rsidRDefault="004D1679">
      <w:pPr>
        <w:pStyle w:val="Akapitzlist"/>
        <w:numPr>
          <w:ilvl w:val="0"/>
          <w:numId w:val="1"/>
        </w:numPr>
        <w:tabs>
          <w:tab w:val="left" w:pos="1582"/>
        </w:tabs>
        <w:ind w:left="1582" w:hanging="283"/>
        <w:rPr>
          <w:rFonts w:ascii="Arial" w:hAnsi="Arial"/>
          <w:color w:val="0072BC"/>
        </w:rPr>
      </w:pPr>
      <w:hyperlink r:id="rId113">
        <w:proofErr w:type="spellStart"/>
        <w:r>
          <w:rPr>
            <w:i/>
            <w:color w:val="0072BC"/>
            <w:sz w:val="20"/>
          </w:rPr>
          <w:t>Alminovich</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Rosji</w:t>
        </w:r>
        <w:proofErr w:type="spellEnd"/>
      </w:hyperlink>
      <w:r>
        <w:rPr>
          <w:sz w:val="20"/>
        </w:rPr>
        <w:t xml:space="preserve"> (dec.), nr 24192/05, 22 </w:t>
      </w:r>
      <w:proofErr w:type="spellStart"/>
      <w:r>
        <w:rPr>
          <w:sz w:val="20"/>
        </w:rPr>
        <w:t>października</w:t>
      </w:r>
      <w:proofErr w:type="spellEnd"/>
      <w:r>
        <w:rPr>
          <w:sz w:val="20"/>
        </w:rPr>
        <w:t xml:space="preserve"> 2019 r. (art. 6 </w:t>
      </w:r>
      <w:proofErr w:type="spellStart"/>
      <w:r>
        <w:rPr>
          <w:sz w:val="20"/>
        </w:rPr>
        <w:t>nie</w:t>
      </w:r>
      <w:proofErr w:type="spellEnd"/>
      <w:r>
        <w:rPr>
          <w:sz w:val="20"/>
        </w:rPr>
        <w:t xml:space="preserve"> ma </w:t>
      </w:r>
      <w:proofErr w:type="spellStart"/>
      <w:r>
        <w:rPr>
          <w:spacing w:val="-2"/>
          <w:sz w:val="20"/>
        </w:rPr>
        <w:t>zastosowania</w:t>
      </w:r>
      <w:proofErr w:type="spellEnd"/>
      <w:r>
        <w:rPr>
          <w:spacing w:val="-2"/>
          <w:sz w:val="20"/>
        </w:rPr>
        <w:t>);</w:t>
      </w:r>
    </w:p>
    <w:p w14:paraId="49AE02F6" w14:textId="4399B3DF" w:rsidR="004D1679" w:rsidRDefault="004D1679">
      <w:pPr>
        <w:pStyle w:val="Akapitzlist"/>
        <w:numPr>
          <w:ilvl w:val="0"/>
          <w:numId w:val="1"/>
        </w:numPr>
        <w:tabs>
          <w:tab w:val="left" w:pos="1583"/>
        </w:tabs>
        <w:ind w:right="730" w:hanging="284"/>
        <w:jc w:val="both"/>
        <w:rPr>
          <w:rFonts w:ascii="Arial" w:hAnsi="Arial"/>
          <w:color w:val="0072BC"/>
        </w:rPr>
      </w:pPr>
      <w:hyperlink r:id="rId114">
        <w:r>
          <w:rPr>
            <w:i/>
            <w:color w:val="0072BC"/>
            <w:sz w:val="20"/>
          </w:rPr>
          <w:t xml:space="preserve">Dos Santos Calado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Portugalii</w:t>
        </w:r>
        <w:proofErr w:type="spellEnd"/>
      </w:hyperlink>
      <w:r>
        <w:rPr>
          <w:sz w:val="20"/>
        </w:rPr>
        <w:t xml:space="preserve">, nr. 55997/14 </w:t>
      </w:r>
      <w:proofErr w:type="spellStart"/>
      <w:r>
        <w:rPr>
          <w:sz w:val="20"/>
        </w:rPr>
        <w:t>i</w:t>
      </w:r>
      <w:proofErr w:type="spellEnd"/>
      <w:r>
        <w:rPr>
          <w:sz w:val="20"/>
        </w:rPr>
        <w:t xml:space="preserve"> </w:t>
      </w:r>
      <w:proofErr w:type="spellStart"/>
      <w:r>
        <w:rPr>
          <w:sz w:val="20"/>
        </w:rPr>
        <w:t>trzy</w:t>
      </w:r>
      <w:proofErr w:type="spellEnd"/>
      <w:r>
        <w:rPr>
          <w:sz w:val="20"/>
        </w:rPr>
        <w:t xml:space="preserve"> </w:t>
      </w:r>
      <w:proofErr w:type="spellStart"/>
      <w:r>
        <w:rPr>
          <w:sz w:val="20"/>
        </w:rPr>
        <w:t>inne</w:t>
      </w:r>
      <w:proofErr w:type="spellEnd"/>
      <w:r>
        <w:rPr>
          <w:sz w:val="20"/>
        </w:rPr>
        <w:t xml:space="preserve">, 31 </w:t>
      </w:r>
      <w:proofErr w:type="spellStart"/>
      <w:r>
        <w:rPr>
          <w:sz w:val="20"/>
        </w:rPr>
        <w:t>marca</w:t>
      </w:r>
      <w:proofErr w:type="spellEnd"/>
      <w:r>
        <w:rPr>
          <w:sz w:val="20"/>
        </w:rPr>
        <w:t xml:space="preserve"> 2020 r. (</w:t>
      </w:r>
      <w:proofErr w:type="spellStart"/>
      <w:r>
        <w:rPr>
          <w:sz w:val="20"/>
        </w:rPr>
        <w:t>naruszenie</w:t>
      </w:r>
      <w:proofErr w:type="spellEnd"/>
      <w:r>
        <w:rPr>
          <w:sz w:val="20"/>
        </w:rPr>
        <w:t xml:space="preserve"> w </w:t>
      </w:r>
      <w:proofErr w:type="spellStart"/>
      <w:r>
        <w:rPr>
          <w:sz w:val="20"/>
        </w:rPr>
        <w:t>zakresie</w:t>
      </w:r>
      <w:proofErr w:type="spellEnd"/>
      <w:r>
        <w:rPr>
          <w:sz w:val="20"/>
        </w:rPr>
        <w:t xml:space="preserve"> </w:t>
      </w:r>
      <w:proofErr w:type="spellStart"/>
      <w:r>
        <w:rPr>
          <w:sz w:val="20"/>
        </w:rPr>
        <w:t>dostępu</w:t>
      </w:r>
      <w:proofErr w:type="spellEnd"/>
      <w:r>
        <w:rPr>
          <w:sz w:val="20"/>
        </w:rPr>
        <w:t xml:space="preserve"> do </w:t>
      </w:r>
      <w:proofErr w:type="spellStart"/>
      <w:r>
        <w:rPr>
          <w:sz w:val="20"/>
        </w:rPr>
        <w:t>sądu</w:t>
      </w:r>
      <w:proofErr w:type="spellEnd"/>
      <w:r>
        <w:rPr>
          <w:sz w:val="20"/>
        </w:rPr>
        <w:t xml:space="preserve"> w </w:t>
      </w:r>
      <w:proofErr w:type="spellStart"/>
      <w:r>
        <w:rPr>
          <w:sz w:val="20"/>
        </w:rPr>
        <w:t>odniesieniu</w:t>
      </w:r>
      <w:proofErr w:type="spellEnd"/>
      <w:r>
        <w:rPr>
          <w:sz w:val="20"/>
        </w:rPr>
        <w:t xml:space="preserve"> do </w:t>
      </w:r>
      <w:proofErr w:type="spellStart"/>
      <w:r>
        <w:rPr>
          <w:sz w:val="20"/>
        </w:rPr>
        <w:t>dwóch</w:t>
      </w:r>
      <w:proofErr w:type="spellEnd"/>
      <w:r>
        <w:rPr>
          <w:sz w:val="20"/>
        </w:rPr>
        <w:t xml:space="preserve"> </w:t>
      </w:r>
      <w:proofErr w:type="spellStart"/>
      <w:r w:rsidR="00DA4C31">
        <w:rPr>
          <w:sz w:val="20"/>
        </w:rPr>
        <w:t>skarg</w:t>
      </w:r>
      <w:proofErr w:type="spellEnd"/>
      <w:r>
        <w:rPr>
          <w:sz w:val="20"/>
        </w:rPr>
        <w:t xml:space="preserve">, </w:t>
      </w:r>
      <w:proofErr w:type="spellStart"/>
      <w:r>
        <w:rPr>
          <w:sz w:val="20"/>
        </w:rPr>
        <w:t>brak</w:t>
      </w:r>
      <w:proofErr w:type="spellEnd"/>
      <w:r>
        <w:rPr>
          <w:sz w:val="20"/>
        </w:rPr>
        <w:t xml:space="preserve"> </w:t>
      </w:r>
      <w:proofErr w:type="spellStart"/>
      <w:r>
        <w:rPr>
          <w:sz w:val="20"/>
        </w:rPr>
        <w:t>naruszenia</w:t>
      </w:r>
      <w:proofErr w:type="spellEnd"/>
      <w:r>
        <w:rPr>
          <w:sz w:val="20"/>
        </w:rPr>
        <w:t xml:space="preserve"> w </w:t>
      </w:r>
      <w:proofErr w:type="spellStart"/>
      <w:r>
        <w:rPr>
          <w:sz w:val="20"/>
        </w:rPr>
        <w:t>odniesieniu</w:t>
      </w:r>
      <w:proofErr w:type="spellEnd"/>
      <w:r>
        <w:rPr>
          <w:sz w:val="20"/>
        </w:rPr>
        <w:t xml:space="preserve"> do </w:t>
      </w:r>
      <w:proofErr w:type="spellStart"/>
      <w:r w:rsidR="00DA4C31">
        <w:rPr>
          <w:sz w:val="20"/>
        </w:rPr>
        <w:t>pozostałej</w:t>
      </w:r>
      <w:proofErr w:type="spellEnd"/>
      <w:r w:rsidR="00DA4C31">
        <w:rPr>
          <w:sz w:val="20"/>
        </w:rPr>
        <w:t xml:space="preserve"> </w:t>
      </w:r>
      <w:proofErr w:type="spellStart"/>
      <w:r w:rsidR="00DA4C31">
        <w:rPr>
          <w:sz w:val="20"/>
        </w:rPr>
        <w:t>skargi</w:t>
      </w:r>
      <w:proofErr w:type="spellEnd"/>
      <w:r>
        <w:rPr>
          <w:sz w:val="20"/>
        </w:rPr>
        <w:t xml:space="preserve">; </w:t>
      </w:r>
      <w:proofErr w:type="spellStart"/>
      <w:r>
        <w:rPr>
          <w:sz w:val="20"/>
        </w:rPr>
        <w:t>oczywiście</w:t>
      </w:r>
      <w:proofErr w:type="spellEnd"/>
      <w:r>
        <w:rPr>
          <w:sz w:val="20"/>
        </w:rPr>
        <w:t xml:space="preserve"> </w:t>
      </w:r>
      <w:proofErr w:type="spellStart"/>
      <w:r>
        <w:rPr>
          <w:sz w:val="20"/>
        </w:rPr>
        <w:t>bezzasadne</w:t>
      </w:r>
      <w:proofErr w:type="spellEnd"/>
      <w:r>
        <w:rPr>
          <w:sz w:val="20"/>
        </w:rPr>
        <w:t xml:space="preserve"> w </w:t>
      </w:r>
      <w:proofErr w:type="spellStart"/>
      <w:r>
        <w:rPr>
          <w:sz w:val="20"/>
        </w:rPr>
        <w:t>odniesieniu</w:t>
      </w:r>
      <w:proofErr w:type="spellEnd"/>
      <w:r>
        <w:rPr>
          <w:sz w:val="20"/>
        </w:rPr>
        <w:t xml:space="preserve"> do </w:t>
      </w:r>
      <w:proofErr w:type="spellStart"/>
      <w:r>
        <w:rPr>
          <w:sz w:val="20"/>
        </w:rPr>
        <w:t>bezstronności</w:t>
      </w:r>
      <w:proofErr w:type="spellEnd"/>
      <w:r>
        <w:rPr>
          <w:sz w:val="20"/>
        </w:rPr>
        <w:t>);</w:t>
      </w:r>
    </w:p>
    <w:p w14:paraId="33B462BF"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15">
        <w:r>
          <w:rPr>
            <w:i/>
            <w:color w:val="0072BC"/>
            <w:sz w:val="20"/>
          </w:rPr>
          <w:t xml:space="preserve">Scerri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xml:space="preserve">, nr. 36318/18, 7 </w:t>
      </w:r>
      <w:proofErr w:type="spellStart"/>
      <w:r>
        <w:rPr>
          <w:sz w:val="20"/>
        </w:rPr>
        <w:t>lipca</w:t>
      </w:r>
      <w:proofErr w:type="spellEnd"/>
      <w:r>
        <w:rPr>
          <w:sz w:val="20"/>
        </w:rPr>
        <w:t xml:space="preserve"> 2020 r. </w:t>
      </w:r>
      <w:r>
        <w:rPr>
          <w:spacing w:val="-2"/>
          <w:sz w:val="20"/>
        </w:rPr>
        <w:t>(</w:t>
      </w:r>
      <w:proofErr w:type="spellStart"/>
      <w:r>
        <w:rPr>
          <w:spacing w:val="-2"/>
          <w:sz w:val="20"/>
        </w:rPr>
        <w:t>naruszenie</w:t>
      </w:r>
      <w:proofErr w:type="spellEnd"/>
      <w:r>
        <w:rPr>
          <w:spacing w:val="-2"/>
          <w:sz w:val="20"/>
        </w:rPr>
        <w:t>);</w:t>
      </w:r>
    </w:p>
    <w:p w14:paraId="2A3D08E3"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16">
        <w:r>
          <w:rPr>
            <w:i/>
            <w:color w:val="0072BC"/>
            <w:sz w:val="20"/>
          </w:rPr>
          <w:t xml:space="preserve">Project-Tade d.o.o.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nr 1920/14, 19 </w:t>
      </w:r>
      <w:proofErr w:type="spellStart"/>
      <w:r>
        <w:rPr>
          <w:sz w:val="20"/>
        </w:rPr>
        <w:t>listopada</w:t>
      </w:r>
      <w:proofErr w:type="spellEnd"/>
      <w:r>
        <w:rPr>
          <w:sz w:val="20"/>
        </w:rPr>
        <w:t xml:space="preserve"> 2020 r. </w:t>
      </w:r>
      <w:r>
        <w:rPr>
          <w:spacing w:val="-2"/>
          <w:sz w:val="20"/>
        </w:rPr>
        <w:t>(</w:t>
      </w:r>
      <w:proofErr w:type="spellStart"/>
      <w:r>
        <w:rPr>
          <w:spacing w:val="-2"/>
          <w:sz w:val="20"/>
        </w:rPr>
        <w:t>naruszenie</w:t>
      </w:r>
      <w:proofErr w:type="spellEnd"/>
      <w:r>
        <w:rPr>
          <w:spacing w:val="-2"/>
          <w:sz w:val="20"/>
        </w:rPr>
        <w:t>);</w:t>
      </w:r>
    </w:p>
    <w:p w14:paraId="028ABB98"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17">
        <w:proofErr w:type="spellStart"/>
        <w:r>
          <w:rPr>
            <w:i/>
            <w:color w:val="0072BC"/>
            <w:sz w:val="20"/>
          </w:rPr>
          <w:t>Chorwacka</w:t>
        </w:r>
        <w:proofErr w:type="spellEnd"/>
        <w:r>
          <w:rPr>
            <w:i/>
            <w:color w:val="0072BC"/>
            <w:sz w:val="20"/>
          </w:rPr>
          <w:t xml:space="preserve"> </w:t>
        </w:r>
        <w:proofErr w:type="spellStart"/>
        <w:r>
          <w:rPr>
            <w:i/>
            <w:color w:val="0072BC"/>
            <w:sz w:val="20"/>
          </w:rPr>
          <w:t>Federacja</w:t>
        </w:r>
        <w:proofErr w:type="spellEnd"/>
        <w:r>
          <w:rPr>
            <w:i/>
            <w:color w:val="0072BC"/>
            <w:sz w:val="20"/>
          </w:rPr>
          <w:t xml:space="preserve"> </w:t>
        </w:r>
        <w:proofErr w:type="spellStart"/>
        <w:r>
          <w:rPr>
            <w:i/>
            <w:color w:val="0072BC"/>
            <w:sz w:val="20"/>
          </w:rPr>
          <w:t>Golfa</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nr 66994/14, 17 </w:t>
      </w:r>
      <w:proofErr w:type="spellStart"/>
      <w:r>
        <w:rPr>
          <w:sz w:val="20"/>
        </w:rPr>
        <w:t>grudnia</w:t>
      </w:r>
      <w:proofErr w:type="spellEnd"/>
      <w:r>
        <w:rPr>
          <w:sz w:val="20"/>
        </w:rPr>
        <w:t xml:space="preserve"> 2020 r. </w:t>
      </w:r>
      <w:r>
        <w:rPr>
          <w:spacing w:val="-2"/>
          <w:sz w:val="20"/>
        </w:rPr>
        <w:t>(</w:t>
      </w:r>
      <w:proofErr w:type="spellStart"/>
      <w:r>
        <w:rPr>
          <w:spacing w:val="-2"/>
          <w:sz w:val="20"/>
        </w:rPr>
        <w:t>naruszenie</w:t>
      </w:r>
      <w:proofErr w:type="spellEnd"/>
      <w:r>
        <w:rPr>
          <w:spacing w:val="-2"/>
          <w:sz w:val="20"/>
        </w:rPr>
        <w:t>);</w:t>
      </w:r>
    </w:p>
    <w:p w14:paraId="1F4B6281"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18">
        <w:proofErr w:type="spellStart"/>
        <w:r>
          <w:rPr>
            <w:i/>
            <w:color w:val="0072BC"/>
            <w:sz w:val="20"/>
          </w:rPr>
          <w:t>Šaltinytė</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Litwie</w:t>
        </w:r>
        <w:proofErr w:type="spellEnd"/>
      </w:hyperlink>
      <w:r>
        <w:rPr>
          <w:sz w:val="20"/>
        </w:rPr>
        <w:t xml:space="preserve">, nr. 32934/19, 26 </w:t>
      </w:r>
      <w:proofErr w:type="spellStart"/>
      <w:r>
        <w:rPr>
          <w:sz w:val="20"/>
        </w:rPr>
        <w:t>października</w:t>
      </w:r>
      <w:proofErr w:type="spellEnd"/>
      <w:r>
        <w:rPr>
          <w:sz w:val="20"/>
        </w:rPr>
        <w:t xml:space="preserve"> 2021 </w:t>
      </w:r>
      <w:r>
        <w:rPr>
          <w:spacing w:val="-2"/>
          <w:sz w:val="20"/>
        </w:rPr>
        <w:t>r. (</w:t>
      </w:r>
      <w:proofErr w:type="spellStart"/>
      <w:r>
        <w:rPr>
          <w:spacing w:val="-2"/>
          <w:sz w:val="20"/>
        </w:rPr>
        <w:t>naruszenie</w:t>
      </w:r>
      <w:proofErr w:type="spellEnd"/>
      <w:r>
        <w:rPr>
          <w:spacing w:val="-2"/>
          <w:sz w:val="20"/>
        </w:rPr>
        <w:t>);</w:t>
      </w:r>
    </w:p>
    <w:p w14:paraId="2A0EAFC1"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19">
        <w:r>
          <w:rPr>
            <w:i/>
            <w:color w:val="0072BC"/>
            <w:sz w:val="20"/>
          </w:rPr>
          <w:t xml:space="preserve">Dragan Kovačević </w:t>
        </w:r>
        <w:proofErr w:type="spellStart"/>
        <w:r>
          <w:rPr>
            <w:i/>
            <w:color w:val="0072BC"/>
            <w:sz w:val="20"/>
          </w:rPr>
          <w:t>przeciwko</w:t>
        </w:r>
        <w:proofErr w:type="spellEnd"/>
        <w:r>
          <w:rPr>
            <w:i/>
            <w:color w:val="0072BC"/>
            <w:sz w:val="20"/>
          </w:rPr>
          <w:t xml:space="preserve"> </w:t>
        </w:r>
        <w:proofErr w:type="spellStart"/>
        <w:r>
          <w:rPr>
            <w:i/>
            <w:color w:val="0072BC"/>
            <w:sz w:val="20"/>
          </w:rPr>
          <w:t>Chorwacji</w:t>
        </w:r>
        <w:proofErr w:type="spellEnd"/>
      </w:hyperlink>
      <w:r>
        <w:rPr>
          <w:sz w:val="20"/>
        </w:rPr>
        <w:t xml:space="preserve">, nr. 49281/15, 12 maja 2022 </w:t>
      </w:r>
      <w:r>
        <w:rPr>
          <w:spacing w:val="-2"/>
          <w:sz w:val="20"/>
        </w:rPr>
        <w:t>r. (</w:t>
      </w:r>
      <w:proofErr w:type="spellStart"/>
      <w:r>
        <w:rPr>
          <w:spacing w:val="-2"/>
          <w:sz w:val="20"/>
        </w:rPr>
        <w:t>naruszenie</w:t>
      </w:r>
      <w:proofErr w:type="spellEnd"/>
      <w:r>
        <w:rPr>
          <w:spacing w:val="-2"/>
          <w:sz w:val="20"/>
        </w:rPr>
        <w:t>);</w:t>
      </w:r>
    </w:p>
    <w:p w14:paraId="10795522"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20">
        <w:proofErr w:type="spellStart"/>
        <w:r>
          <w:rPr>
            <w:i/>
            <w:color w:val="0072BC"/>
            <w:sz w:val="20"/>
          </w:rPr>
          <w:t>Bieliński</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Polsce</w:t>
        </w:r>
        <w:proofErr w:type="spellEnd"/>
      </w:hyperlink>
      <w:r>
        <w:rPr>
          <w:sz w:val="20"/>
        </w:rPr>
        <w:t xml:space="preserve">, nr. 48762/19, 21 </w:t>
      </w:r>
      <w:proofErr w:type="spellStart"/>
      <w:r>
        <w:rPr>
          <w:sz w:val="20"/>
        </w:rPr>
        <w:t>lipca</w:t>
      </w:r>
      <w:proofErr w:type="spellEnd"/>
      <w:r>
        <w:rPr>
          <w:sz w:val="20"/>
        </w:rPr>
        <w:t xml:space="preserve"> 2022 </w:t>
      </w:r>
      <w:r>
        <w:rPr>
          <w:spacing w:val="-2"/>
          <w:sz w:val="20"/>
        </w:rPr>
        <w:t>r. (</w:t>
      </w:r>
      <w:proofErr w:type="spellStart"/>
      <w:r>
        <w:rPr>
          <w:spacing w:val="-2"/>
          <w:sz w:val="20"/>
        </w:rPr>
        <w:t>naruszenie</w:t>
      </w:r>
      <w:proofErr w:type="spellEnd"/>
      <w:r>
        <w:rPr>
          <w:spacing w:val="-2"/>
          <w:sz w:val="20"/>
        </w:rPr>
        <w:t>);</w:t>
      </w:r>
    </w:p>
    <w:p w14:paraId="19C3C0E9" w14:textId="77777777" w:rsidR="004D1679" w:rsidRDefault="004D1679">
      <w:pPr>
        <w:pStyle w:val="Akapitzlist"/>
        <w:numPr>
          <w:ilvl w:val="0"/>
          <w:numId w:val="1"/>
        </w:numPr>
        <w:tabs>
          <w:tab w:val="left" w:pos="1582"/>
        </w:tabs>
        <w:ind w:left="1582" w:hanging="283"/>
        <w:jc w:val="both"/>
        <w:rPr>
          <w:rFonts w:ascii="Arial" w:hAnsi="Arial"/>
          <w:color w:val="0072BC"/>
        </w:rPr>
      </w:pPr>
      <w:hyperlink r:id="rId121">
        <w:r>
          <w:rPr>
            <w:i/>
            <w:color w:val="0072BC"/>
            <w:sz w:val="20"/>
          </w:rPr>
          <w:t xml:space="preserve">Shorazova </w:t>
        </w:r>
        <w:proofErr w:type="spellStart"/>
        <w:r>
          <w:rPr>
            <w:i/>
            <w:color w:val="0072BC"/>
            <w:sz w:val="20"/>
          </w:rPr>
          <w:t>przeciwko</w:t>
        </w:r>
        <w:proofErr w:type="spellEnd"/>
        <w:r>
          <w:rPr>
            <w:i/>
            <w:color w:val="0072BC"/>
            <w:sz w:val="20"/>
          </w:rPr>
          <w:t xml:space="preserve"> </w:t>
        </w:r>
        <w:proofErr w:type="spellStart"/>
        <w:r>
          <w:rPr>
            <w:i/>
            <w:color w:val="0072BC"/>
            <w:sz w:val="20"/>
          </w:rPr>
          <w:t>Malcie</w:t>
        </w:r>
        <w:proofErr w:type="spellEnd"/>
      </w:hyperlink>
      <w:r>
        <w:rPr>
          <w:sz w:val="20"/>
        </w:rPr>
        <w:t xml:space="preserve">, nr. 51853/19, 3 </w:t>
      </w:r>
      <w:proofErr w:type="spellStart"/>
      <w:r>
        <w:rPr>
          <w:sz w:val="20"/>
        </w:rPr>
        <w:t>marca</w:t>
      </w:r>
      <w:proofErr w:type="spellEnd"/>
      <w:r>
        <w:rPr>
          <w:sz w:val="20"/>
        </w:rPr>
        <w:t xml:space="preserve"> 2022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05CC7008" w14:textId="7957C7C7" w:rsidR="004D1679" w:rsidRDefault="004D1679">
      <w:pPr>
        <w:pStyle w:val="Akapitzlist"/>
        <w:numPr>
          <w:ilvl w:val="0"/>
          <w:numId w:val="1"/>
        </w:numPr>
        <w:tabs>
          <w:tab w:val="left" w:pos="1583"/>
        </w:tabs>
        <w:ind w:right="728" w:hanging="284"/>
        <w:rPr>
          <w:rFonts w:ascii="Arial" w:hAnsi="Arial"/>
          <w:color w:val="0072BC"/>
        </w:rPr>
      </w:pPr>
      <w:hyperlink r:id="rId122">
        <w:r>
          <w:rPr>
            <w:i/>
            <w:color w:val="0072BC"/>
            <w:sz w:val="20"/>
          </w:rPr>
          <w:t xml:space="preserve">A.T. </w:t>
        </w:r>
        <w:proofErr w:type="spellStart"/>
        <w:r>
          <w:rPr>
            <w:i/>
            <w:color w:val="0072BC"/>
            <w:sz w:val="20"/>
          </w:rPr>
          <w:t>przeciwko</w:t>
        </w:r>
        <w:proofErr w:type="spellEnd"/>
        <w:r>
          <w:rPr>
            <w:i/>
            <w:color w:val="0072BC"/>
            <w:sz w:val="20"/>
          </w:rPr>
          <w:t xml:space="preserve"> </w:t>
        </w:r>
        <w:proofErr w:type="spellStart"/>
        <w:r>
          <w:rPr>
            <w:i/>
            <w:color w:val="0072BC"/>
            <w:sz w:val="20"/>
          </w:rPr>
          <w:t>Słowenii</w:t>
        </w:r>
        <w:proofErr w:type="spellEnd"/>
      </w:hyperlink>
      <w:r>
        <w:rPr>
          <w:sz w:val="20"/>
        </w:rPr>
        <w:t xml:space="preserve"> (dec.), nr 20952/21, 20 </w:t>
      </w:r>
      <w:proofErr w:type="spellStart"/>
      <w:r>
        <w:rPr>
          <w:sz w:val="20"/>
        </w:rPr>
        <w:t>września</w:t>
      </w:r>
      <w:proofErr w:type="spellEnd"/>
      <w:r>
        <w:rPr>
          <w:sz w:val="20"/>
        </w:rPr>
        <w:t xml:space="preserve"> 2022 r. (</w:t>
      </w:r>
      <w:proofErr w:type="spellStart"/>
      <w:r>
        <w:rPr>
          <w:sz w:val="20"/>
        </w:rPr>
        <w:t>niedopuszczaln</w:t>
      </w:r>
      <w:r w:rsidR="00DA4C31">
        <w:rPr>
          <w:sz w:val="20"/>
        </w:rPr>
        <w:t>a</w:t>
      </w:r>
      <w:proofErr w:type="spellEnd"/>
      <w:r>
        <w:rPr>
          <w:sz w:val="20"/>
        </w:rPr>
        <w:t xml:space="preserve">- </w:t>
      </w:r>
      <w:proofErr w:type="spellStart"/>
      <w:r>
        <w:rPr>
          <w:sz w:val="20"/>
        </w:rPr>
        <w:t>oczywiście</w:t>
      </w:r>
      <w:proofErr w:type="spellEnd"/>
      <w:r>
        <w:rPr>
          <w:sz w:val="20"/>
        </w:rPr>
        <w:t xml:space="preserve"> </w:t>
      </w:r>
      <w:proofErr w:type="spellStart"/>
      <w:r>
        <w:rPr>
          <w:sz w:val="20"/>
        </w:rPr>
        <w:t>bezzasadn</w:t>
      </w:r>
      <w:r w:rsidR="00DA4C31">
        <w:rPr>
          <w:sz w:val="20"/>
        </w:rPr>
        <w:t>a</w:t>
      </w:r>
      <w:proofErr w:type="spellEnd"/>
      <w:r>
        <w:rPr>
          <w:spacing w:val="-2"/>
          <w:sz w:val="20"/>
        </w:rPr>
        <w:t>);</w:t>
      </w:r>
    </w:p>
    <w:p w14:paraId="0EF29E07" w14:textId="25203ECB" w:rsidR="004D1679" w:rsidRDefault="004D1679">
      <w:pPr>
        <w:pStyle w:val="Akapitzlist"/>
        <w:numPr>
          <w:ilvl w:val="0"/>
          <w:numId w:val="1"/>
        </w:numPr>
        <w:tabs>
          <w:tab w:val="left" w:pos="1582"/>
        </w:tabs>
        <w:ind w:left="1582" w:hanging="283"/>
        <w:rPr>
          <w:rFonts w:ascii="Arial" w:hAnsi="Arial"/>
          <w:color w:val="0072BC"/>
        </w:rPr>
      </w:pPr>
      <w:hyperlink r:id="rId123">
        <w:r>
          <w:rPr>
            <w:i/>
            <w:color w:val="0072BC"/>
            <w:sz w:val="20"/>
          </w:rPr>
          <w:t xml:space="preserve">Pinkas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Bośni</w:t>
        </w:r>
        <w:proofErr w:type="spellEnd"/>
        <w:r>
          <w:rPr>
            <w:i/>
            <w:color w:val="0072BC"/>
            <w:sz w:val="20"/>
          </w:rPr>
          <w:t xml:space="preserve"> </w:t>
        </w:r>
        <w:proofErr w:type="spellStart"/>
        <w:r>
          <w:rPr>
            <w:i/>
            <w:color w:val="0072BC"/>
            <w:sz w:val="20"/>
          </w:rPr>
          <w:t>i</w:t>
        </w:r>
        <w:proofErr w:type="spellEnd"/>
        <w:r>
          <w:rPr>
            <w:i/>
            <w:color w:val="0072BC"/>
            <w:sz w:val="20"/>
          </w:rPr>
          <w:t xml:space="preserve"> </w:t>
        </w:r>
        <w:proofErr w:type="spellStart"/>
        <w:r>
          <w:rPr>
            <w:i/>
            <w:color w:val="0072BC"/>
            <w:sz w:val="20"/>
          </w:rPr>
          <w:t>Hercegowinie</w:t>
        </w:r>
        <w:proofErr w:type="spellEnd"/>
      </w:hyperlink>
      <w:r>
        <w:rPr>
          <w:sz w:val="20"/>
        </w:rPr>
        <w:t xml:space="preserve">, nr 8701/21, 4 </w:t>
      </w:r>
      <w:proofErr w:type="spellStart"/>
      <w:r>
        <w:rPr>
          <w:sz w:val="20"/>
        </w:rPr>
        <w:t>października</w:t>
      </w:r>
      <w:proofErr w:type="spellEnd"/>
      <w:r>
        <w:rPr>
          <w:sz w:val="20"/>
        </w:rPr>
        <w:t xml:space="preserve"> 2022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p w14:paraId="0CA53216" w14:textId="77777777" w:rsidR="004D1679" w:rsidRDefault="004D1679">
      <w:pPr>
        <w:pStyle w:val="Akapitzlist"/>
        <w:numPr>
          <w:ilvl w:val="0"/>
          <w:numId w:val="1"/>
        </w:numPr>
        <w:tabs>
          <w:tab w:val="left" w:pos="1582"/>
        </w:tabs>
        <w:ind w:left="1582" w:hanging="283"/>
        <w:rPr>
          <w:rFonts w:ascii="Arial" w:hAnsi="Arial"/>
          <w:color w:val="0072BC"/>
        </w:rPr>
      </w:pPr>
      <w:hyperlink r:id="rId124">
        <w:r>
          <w:rPr>
            <w:i/>
            <w:color w:val="0072BC"/>
            <w:sz w:val="20"/>
          </w:rPr>
          <w:t xml:space="preserve">Çela </w:t>
        </w:r>
        <w:proofErr w:type="spellStart"/>
        <w:r>
          <w:rPr>
            <w:i/>
            <w:color w:val="0072BC"/>
            <w:sz w:val="20"/>
          </w:rPr>
          <w:t>przeciwko</w:t>
        </w:r>
        <w:proofErr w:type="spellEnd"/>
        <w:r>
          <w:rPr>
            <w:i/>
            <w:color w:val="0072BC"/>
            <w:sz w:val="20"/>
          </w:rPr>
          <w:t xml:space="preserve"> </w:t>
        </w:r>
        <w:proofErr w:type="spellStart"/>
        <w:r>
          <w:rPr>
            <w:i/>
            <w:color w:val="0072BC"/>
            <w:sz w:val="20"/>
          </w:rPr>
          <w:t>Albanii</w:t>
        </w:r>
        <w:proofErr w:type="spellEnd"/>
      </w:hyperlink>
      <w:r>
        <w:rPr>
          <w:i/>
          <w:sz w:val="20"/>
        </w:rPr>
        <w:t xml:space="preserve">, </w:t>
      </w:r>
      <w:r>
        <w:rPr>
          <w:sz w:val="20"/>
        </w:rPr>
        <w:t xml:space="preserve">nr 73274/17, 29 </w:t>
      </w:r>
      <w:proofErr w:type="spellStart"/>
      <w:r>
        <w:rPr>
          <w:sz w:val="20"/>
        </w:rPr>
        <w:t>listopada</w:t>
      </w:r>
      <w:proofErr w:type="spellEnd"/>
      <w:r>
        <w:rPr>
          <w:sz w:val="20"/>
        </w:rPr>
        <w:t xml:space="preserve"> 2022 </w:t>
      </w:r>
      <w:r>
        <w:rPr>
          <w:spacing w:val="-2"/>
          <w:sz w:val="20"/>
        </w:rPr>
        <w:t>r. (</w:t>
      </w:r>
      <w:proofErr w:type="spellStart"/>
      <w:r>
        <w:rPr>
          <w:spacing w:val="-2"/>
          <w:sz w:val="20"/>
        </w:rPr>
        <w:t>naruszenie</w:t>
      </w:r>
      <w:proofErr w:type="spellEnd"/>
      <w:r>
        <w:rPr>
          <w:spacing w:val="-2"/>
          <w:sz w:val="20"/>
        </w:rPr>
        <w:t>);</w:t>
      </w:r>
    </w:p>
    <w:p w14:paraId="387F2AAB" w14:textId="77777777" w:rsidR="004D1679" w:rsidRDefault="004D1679">
      <w:pPr>
        <w:pStyle w:val="Akapitzlist"/>
        <w:numPr>
          <w:ilvl w:val="0"/>
          <w:numId w:val="1"/>
        </w:numPr>
        <w:tabs>
          <w:tab w:val="left" w:pos="1582"/>
        </w:tabs>
        <w:ind w:left="1582" w:hanging="283"/>
        <w:rPr>
          <w:rFonts w:ascii="Arial" w:hAnsi="Arial"/>
          <w:color w:val="0072BC"/>
        </w:rPr>
      </w:pPr>
      <w:hyperlink r:id="rId125">
        <w:r>
          <w:rPr>
            <w:i/>
            <w:color w:val="0072BC"/>
            <w:sz w:val="20"/>
          </w:rPr>
          <w:t xml:space="preserve">Olivares Zúñiga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nr 11/18, 15 </w:t>
      </w:r>
      <w:proofErr w:type="spellStart"/>
      <w:r>
        <w:rPr>
          <w:sz w:val="20"/>
        </w:rPr>
        <w:t>grudnia</w:t>
      </w:r>
      <w:proofErr w:type="spellEnd"/>
      <w:r>
        <w:rPr>
          <w:sz w:val="20"/>
        </w:rPr>
        <w:t xml:space="preserve"> 2022 </w:t>
      </w:r>
      <w:r>
        <w:rPr>
          <w:spacing w:val="-2"/>
          <w:sz w:val="20"/>
        </w:rPr>
        <w:t>r. (</w:t>
      </w:r>
      <w:proofErr w:type="spellStart"/>
      <w:r>
        <w:rPr>
          <w:spacing w:val="-2"/>
          <w:sz w:val="20"/>
        </w:rPr>
        <w:t>naruszenie</w:t>
      </w:r>
      <w:proofErr w:type="spellEnd"/>
      <w:r>
        <w:rPr>
          <w:spacing w:val="-2"/>
          <w:sz w:val="20"/>
        </w:rPr>
        <w:t>);</w:t>
      </w:r>
    </w:p>
    <w:p w14:paraId="0194B033" w14:textId="77777777" w:rsidR="004D1679" w:rsidRDefault="004D1679">
      <w:pPr>
        <w:pStyle w:val="Akapitzlist"/>
        <w:numPr>
          <w:ilvl w:val="0"/>
          <w:numId w:val="1"/>
        </w:numPr>
        <w:tabs>
          <w:tab w:val="left" w:pos="1583"/>
        </w:tabs>
        <w:ind w:right="728" w:hanging="284"/>
        <w:rPr>
          <w:rFonts w:ascii="Arial" w:hAnsi="Arial"/>
          <w:color w:val="0072BC"/>
        </w:rPr>
      </w:pPr>
      <w:hyperlink r:id="rId126">
        <w:r>
          <w:rPr>
            <w:i/>
            <w:color w:val="0072BC"/>
            <w:sz w:val="20"/>
          </w:rPr>
          <w:t xml:space="preserve">Ovcharenko </w:t>
        </w:r>
        <w:proofErr w:type="spellStart"/>
        <w:r>
          <w:rPr>
            <w:i/>
            <w:color w:val="0072BC"/>
            <w:sz w:val="20"/>
          </w:rPr>
          <w:t>i</w:t>
        </w:r>
        <w:proofErr w:type="spellEnd"/>
        <w:r>
          <w:rPr>
            <w:i/>
            <w:color w:val="0072BC"/>
            <w:sz w:val="20"/>
          </w:rPr>
          <w:t xml:space="preserve"> Kolos </w:t>
        </w:r>
        <w:proofErr w:type="spellStart"/>
        <w:r>
          <w:rPr>
            <w:i/>
            <w:color w:val="0072BC"/>
            <w:sz w:val="20"/>
          </w:rPr>
          <w:t>przeciwko</w:t>
        </w:r>
        <w:proofErr w:type="spellEnd"/>
        <w:r>
          <w:rPr>
            <w:i/>
            <w:color w:val="0072BC"/>
            <w:sz w:val="20"/>
          </w:rPr>
          <w:t xml:space="preserve"> </w:t>
        </w:r>
        <w:proofErr w:type="spellStart"/>
        <w:r>
          <w:rPr>
            <w:i/>
            <w:color w:val="0072BC"/>
            <w:sz w:val="20"/>
          </w:rPr>
          <w:t>Ukrainie</w:t>
        </w:r>
        <w:proofErr w:type="spellEnd"/>
      </w:hyperlink>
      <w:r>
        <w:rPr>
          <w:sz w:val="20"/>
        </w:rPr>
        <w:t xml:space="preserve">, nr 27276/15 </w:t>
      </w:r>
      <w:proofErr w:type="spellStart"/>
      <w:r>
        <w:rPr>
          <w:sz w:val="20"/>
        </w:rPr>
        <w:t>i</w:t>
      </w:r>
      <w:proofErr w:type="spellEnd"/>
      <w:r>
        <w:rPr>
          <w:sz w:val="20"/>
        </w:rPr>
        <w:t xml:space="preserve"> 33692/15, 12 </w:t>
      </w:r>
      <w:proofErr w:type="spellStart"/>
      <w:r>
        <w:rPr>
          <w:sz w:val="20"/>
        </w:rPr>
        <w:t>stycznia</w:t>
      </w:r>
      <w:proofErr w:type="spellEnd"/>
      <w:r>
        <w:rPr>
          <w:sz w:val="20"/>
        </w:rPr>
        <w:t xml:space="preserve"> 2023 </w:t>
      </w:r>
      <w:r>
        <w:rPr>
          <w:spacing w:val="-2"/>
          <w:sz w:val="20"/>
        </w:rPr>
        <w:t>r. (</w:t>
      </w:r>
      <w:proofErr w:type="spellStart"/>
      <w:r>
        <w:rPr>
          <w:spacing w:val="-2"/>
          <w:sz w:val="20"/>
        </w:rPr>
        <w:t>naruszenie</w:t>
      </w:r>
      <w:proofErr w:type="spellEnd"/>
      <w:r>
        <w:rPr>
          <w:spacing w:val="-2"/>
          <w:sz w:val="20"/>
        </w:rPr>
        <w:t>);</w:t>
      </w:r>
    </w:p>
    <w:p w14:paraId="40385258" w14:textId="77777777" w:rsidR="004D1679" w:rsidRDefault="004D1679">
      <w:pPr>
        <w:pStyle w:val="Akapitzlist"/>
        <w:numPr>
          <w:ilvl w:val="0"/>
          <w:numId w:val="1"/>
        </w:numPr>
        <w:tabs>
          <w:tab w:val="left" w:pos="1582"/>
        </w:tabs>
        <w:ind w:left="1582" w:hanging="283"/>
        <w:rPr>
          <w:rFonts w:ascii="Arial" w:hAnsi="Arial"/>
          <w:color w:val="0072BC"/>
        </w:rPr>
      </w:pPr>
      <w:hyperlink r:id="rId127">
        <w:r>
          <w:rPr>
            <w:i/>
            <w:color w:val="0072BC"/>
            <w:sz w:val="20"/>
          </w:rPr>
          <w:t xml:space="preserve">Janáček </w:t>
        </w:r>
        <w:proofErr w:type="spellStart"/>
        <w:r>
          <w:rPr>
            <w:i/>
            <w:color w:val="0072BC"/>
            <w:sz w:val="20"/>
          </w:rPr>
          <w:t>przeciwko</w:t>
        </w:r>
        <w:proofErr w:type="spellEnd"/>
        <w:r>
          <w:rPr>
            <w:i/>
            <w:color w:val="0072BC"/>
            <w:sz w:val="20"/>
          </w:rPr>
          <w:t xml:space="preserve"> </w:t>
        </w:r>
        <w:proofErr w:type="spellStart"/>
        <w:r>
          <w:rPr>
            <w:i/>
            <w:color w:val="0072BC"/>
            <w:sz w:val="20"/>
          </w:rPr>
          <w:t>Republice</w:t>
        </w:r>
        <w:proofErr w:type="spellEnd"/>
        <w:r>
          <w:rPr>
            <w:i/>
            <w:color w:val="0072BC"/>
            <w:sz w:val="20"/>
          </w:rPr>
          <w:t xml:space="preserve"> </w:t>
        </w:r>
        <w:proofErr w:type="spellStart"/>
        <w:r>
          <w:rPr>
            <w:i/>
            <w:color w:val="0072BC"/>
            <w:sz w:val="20"/>
          </w:rPr>
          <w:t>Czeskiej</w:t>
        </w:r>
        <w:proofErr w:type="spellEnd"/>
      </w:hyperlink>
      <w:r>
        <w:rPr>
          <w:sz w:val="20"/>
        </w:rPr>
        <w:t xml:space="preserve">, nr 9634/17, 2 </w:t>
      </w:r>
      <w:proofErr w:type="spellStart"/>
      <w:r>
        <w:rPr>
          <w:sz w:val="20"/>
        </w:rPr>
        <w:t>lutego</w:t>
      </w:r>
      <w:proofErr w:type="spellEnd"/>
      <w:r>
        <w:rPr>
          <w:sz w:val="20"/>
        </w:rPr>
        <w:t xml:space="preserve"> 2023 </w:t>
      </w:r>
      <w:r>
        <w:rPr>
          <w:spacing w:val="-2"/>
          <w:sz w:val="20"/>
        </w:rPr>
        <w:t>r. (</w:t>
      </w:r>
      <w:proofErr w:type="spellStart"/>
      <w:r>
        <w:rPr>
          <w:spacing w:val="-2"/>
          <w:sz w:val="20"/>
        </w:rPr>
        <w:t>naruszenie</w:t>
      </w:r>
      <w:proofErr w:type="spellEnd"/>
      <w:r>
        <w:rPr>
          <w:spacing w:val="-2"/>
          <w:sz w:val="20"/>
        </w:rPr>
        <w:t>);</w:t>
      </w:r>
    </w:p>
    <w:p w14:paraId="4BBBCE30" w14:textId="77777777" w:rsidR="004D1679" w:rsidRDefault="004D1679">
      <w:pPr>
        <w:pStyle w:val="Akapitzlist"/>
        <w:numPr>
          <w:ilvl w:val="0"/>
          <w:numId w:val="1"/>
        </w:numPr>
        <w:tabs>
          <w:tab w:val="left" w:pos="1582"/>
        </w:tabs>
        <w:ind w:left="1582" w:hanging="283"/>
        <w:rPr>
          <w:rFonts w:ascii="Arial" w:hAnsi="Arial"/>
          <w:color w:val="0072BC"/>
        </w:rPr>
      </w:pPr>
      <w:hyperlink r:id="rId128">
        <w:r>
          <w:rPr>
            <w:i/>
            <w:color w:val="0072BC"/>
            <w:sz w:val="20"/>
          </w:rPr>
          <w:t xml:space="preserve">Paun Jovanović </w:t>
        </w:r>
        <w:proofErr w:type="spellStart"/>
        <w:r>
          <w:rPr>
            <w:i/>
            <w:color w:val="0072BC"/>
            <w:sz w:val="20"/>
          </w:rPr>
          <w:t>przeciwko</w:t>
        </w:r>
        <w:proofErr w:type="spellEnd"/>
        <w:r>
          <w:rPr>
            <w:i/>
            <w:color w:val="0072BC"/>
            <w:sz w:val="20"/>
          </w:rPr>
          <w:t xml:space="preserve"> </w:t>
        </w:r>
        <w:proofErr w:type="spellStart"/>
        <w:r>
          <w:rPr>
            <w:i/>
            <w:color w:val="0072BC"/>
            <w:sz w:val="20"/>
          </w:rPr>
          <w:t>Serbii</w:t>
        </w:r>
        <w:proofErr w:type="spellEnd"/>
      </w:hyperlink>
      <w:r>
        <w:rPr>
          <w:sz w:val="20"/>
        </w:rPr>
        <w:t xml:space="preserve">, nr. 41394/15, 7 </w:t>
      </w:r>
      <w:proofErr w:type="spellStart"/>
      <w:r>
        <w:rPr>
          <w:sz w:val="20"/>
        </w:rPr>
        <w:t>lutego</w:t>
      </w:r>
      <w:proofErr w:type="spellEnd"/>
      <w:r>
        <w:rPr>
          <w:sz w:val="20"/>
        </w:rPr>
        <w:t xml:space="preserve"> 2023 </w:t>
      </w:r>
      <w:r>
        <w:rPr>
          <w:spacing w:val="-2"/>
          <w:sz w:val="20"/>
        </w:rPr>
        <w:t>r. (</w:t>
      </w:r>
      <w:proofErr w:type="spellStart"/>
      <w:r>
        <w:rPr>
          <w:spacing w:val="-2"/>
          <w:sz w:val="20"/>
        </w:rPr>
        <w:t>naruszenie</w:t>
      </w:r>
      <w:proofErr w:type="spellEnd"/>
      <w:r>
        <w:rPr>
          <w:spacing w:val="-2"/>
          <w:sz w:val="20"/>
        </w:rPr>
        <w:t>);</w:t>
      </w:r>
    </w:p>
    <w:p w14:paraId="7EE1F308" w14:textId="77777777" w:rsidR="004D1679" w:rsidRDefault="004D1679">
      <w:pPr>
        <w:pStyle w:val="Akapitzlist"/>
        <w:numPr>
          <w:ilvl w:val="0"/>
          <w:numId w:val="1"/>
        </w:numPr>
        <w:tabs>
          <w:tab w:val="left" w:pos="1582"/>
        </w:tabs>
        <w:ind w:left="1582" w:hanging="283"/>
        <w:rPr>
          <w:rFonts w:ascii="Arial" w:hAnsi="Arial"/>
          <w:color w:val="0072BC"/>
        </w:rPr>
      </w:pPr>
      <w:hyperlink r:id="rId129">
        <w:proofErr w:type="spellStart"/>
        <w:r>
          <w:rPr>
            <w:i/>
            <w:color w:val="0072BC"/>
            <w:sz w:val="20"/>
          </w:rPr>
          <w:t>Supergrav</w:t>
        </w:r>
        <w:proofErr w:type="spellEnd"/>
        <w:r>
          <w:rPr>
            <w:i/>
            <w:color w:val="0072BC"/>
            <w:sz w:val="20"/>
          </w:rPr>
          <w:t xml:space="preserve"> Albania </w:t>
        </w:r>
        <w:proofErr w:type="spellStart"/>
        <w:r>
          <w:rPr>
            <w:i/>
            <w:color w:val="0072BC"/>
            <w:sz w:val="20"/>
          </w:rPr>
          <w:t>Shpk</w:t>
        </w:r>
        <w:proofErr w:type="spellEnd"/>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Albanii</w:t>
        </w:r>
        <w:proofErr w:type="spellEnd"/>
      </w:hyperlink>
      <w:r>
        <w:rPr>
          <w:sz w:val="20"/>
        </w:rPr>
        <w:t xml:space="preserve">, nr 20702/18, 9 maja 2023 </w:t>
      </w:r>
      <w:r>
        <w:rPr>
          <w:spacing w:val="-2"/>
          <w:sz w:val="20"/>
        </w:rPr>
        <w:t>r. (</w:t>
      </w:r>
      <w:proofErr w:type="spellStart"/>
      <w:r>
        <w:rPr>
          <w:spacing w:val="-2"/>
          <w:sz w:val="20"/>
        </w:rPr>
        <w:t>naruszenie</w:t>
      </w:r>
      <w:proofErr w:type="spellEnd"/>
      <w:r>
        <w:rPr>
          <w:spacing w:val="-2"/>
          <w:sz w:val="20"/>
        </w:rPr>
        <w:t>);</w:t>
      </w:r>
    </w:p>
    <w:p w14:paraId="3D3573D1" w14:textId="6115C3A4" w:rsidR="004D1679" w:rsidRDefault="004D1679">
      <w:pPr>
        <w:pStyle w:val="Akapitzlist"/>
        <w:numPr>
          <w:ilvl w:val="0"/>
          <w:numId w:val="1"/>
        </w:numPr>
        <w:tabs>
          <w:tab w:val="left" w:pos="1582"/>
        </w:tabs>
        <w:ind w:left="1582" w:hanging="283"/>
        <w:rPr>
          <w:rFonts w:ascii="Arial" w:hAnsi="Arial"/>
          <w:color w:val="0072BC"/>
        </w:rPr>
      </w:pPr>
      <w:hyperlink r:id="rId130">
        <w:r>
          <w:rPr>
            <w:i/>
            <w:color w:val="0072BC"/>
            <w:sz w:val="20"/>
          </w:rPr>
          <w:t xml:space="preserve">Lorenzo Bragado </w:t>
        </w:r>
        <w:proofErr w:type="spellStart"/>
        <w:r>
          <w:rPr>
            <w:i/>
            <w:color w:val="0072BC"/>
            <w:sz w:val="20"/>
          </w:rPr>
          <w:t>i</w:t>
        </w:r>
        <w:proofErr w:type="spellEnd"/>
        <w:r>
          <w:rPr>
            <w:i/>
            <w:color w:val="0072BC"/>
            <w:sz w:val="20"/>
          </w:rPr>
          <w:t xml:space="preserve"> </w:t>
        </w:r>
        <w:r w:rsidR="00836DB6">
          <w:rPr>
            <w:i/>
            <w:color w:val="0072BC"/>
            <w:sz w:val="20"/>
          </w:rPr>
          <w:t>I</w:t>
        </w:r>
        <w:r>
          <w:rPr>
            <w:i/>
            <w:color w:val="0072BC"/>
            <w:sz w:val="20"/>
          </w:rPr>
          <w:t xml:space="preserve">nni </w:t>
        </w:r>
        <w:proofErr w:type="spellStart"/>
        <w:r>
          <w:rPr>
            <w:i/>
            <w:color w:val="0072BC"/>
            <w:sz w:val="20"/>
          </w:rPr>
          <w:t>przeciwko</w:t>
        </w:r>
        <w:proofErr w:type="spellEnd"/>
        <w:r>
          <w:rPr>
            <w:i/>
            <w:color w:val="0072BC"/>
            <w:sz w:val="20"/>
          </w:rPr>
          <w:t xml:space="preserve"> </w:t>
        </w:r>
        <w:proofErr w:type="spellStart"/>
        <w:r>
          <w:rPr>
            <w:i/>
            <w:color w:val="0072BC"/>
            <w:sz w:val="20"/>
          </w:rPr>
          <w:t>Hiszpanii</w:t>
        </w:r>
        <w:proofErr w:type="spellEnd"/>
      </w:hyperlink>
      <w:r>
        <w:rPr>
          <w:sz w:val="20"/>
        </w:rPr>
        <w:t xml:space="preserve">, nr 53193/21 </w:t>
      </w:r>
      <w:proofErr w:type="spellStart"/>
      <w:r>
        <w:rPr>
          <w:sz w:val="20"/>
        </w:rPr>
        <w:t>i</w:t>
      </w:r>
      <w:proofErr w:type="spellEnd"/>
      <w:r>
        <w:rPr>
          <w:sz w:val="20"/>
        </w:rPr>
        <w:t xml:space="preserve"> 5 </w:t>
      </w:r>
      <w:proofErr w:type="spellStart"/>
      <w:r>
        <w:rPr>
          <w:sz w:val="20"/>
        </w:rPr>
        <w:t>innych</w:t>
      </w:r>
      <w:proofErr w:type="spellEnd"/>
      <w:r>
        <w:rPr>
          <w:sz w:val="20"/>
        </w:rPr>
        <w:t xml:space="preserve">, 22 </w:t>
      </w:r>
      <w:proofErr w:type="spellStart"/>
      <w:r>
        <w:rPr>
          <w:sz w:val="20"/>
        </w:rPr>
        <w:t>czerwca</w:t>
      </w:r>
      <w:proofErr w:type="spellEnd"/>
      <w:r>
        <w:rPr>
          <w:sz w:val="20"/>
        </w:rPr>
        <w:t xml:space="preserve"> 2023 </w:t>
      </w:r>
      <w:r>
        <w:rPr>
          <w:spacing w:val="-2"/>
          <w:sz w:val="20"/>
        </w:rPr>
        <w:t>r. (</w:t>
      </w:r>
      <w:proofErr w:type="spellStart"/>
      <w:r>
        <w:rPr>
          <w:spacing w:val="-2"/>
          <w:sz w:val="20"/>
        </w:rPr>
        <w:t>naruszenie</w:t>
      </w:r>
      <w:proofErr w:type="spellEnd"/>
      <w:r>
        <w:rPr>
          <w:spacing w:val="-2"/>
          <w:sz w:val="20"/>
        </w:rPr>
        <w:t>);</w:t>
      </w:r>
    </w:p>
    <w:p w14:paraId="46A8E0C8" w14:textId="03C5C4FC" w:rsidR="004D1679" w:rsidRDefault="004D1679">
      <w:pPr>
        <w:pStyle w:val="Akapitzlist"/>
        <w:numPr>
          <w:ilvl w:val="0"/>
          <w:numId w:val="1"/>
        </w:numPr>
        <w:tabs>
          <w:tab w:val="left" w:pos="1581"/>
          <w:tab w:val="left" w:pos="1632"/>
        </w:tabs>
        <w:ind w:left="1632" w:right="729" w:hanging="334"/>
        <w:rPr>
          <w:rFonts w:ascii="Arial" w:hAnsi="Arial"/>
          <w:color w:val="0072BC"/>
        </w:rPr>
      </w:pPr>
      <w:hyperlink r:id="rId131">
        <w:proofErr w:type="spellStart"/>
        <w:r>
          <w:rPr>
            <w:i/>
            <w:color w:val="0072BC"/>
            <w:sz w:val="20"/>
          </w:rPr>
          <w:t>Gyulumyan</w:t>
        </w:r>
        <w:proofErr w:type="spellEnd"/>
        <w:r>
          <w:rPr>
            <w:i/>
            <w:color w:val="0072BC"/>
            <w:sz w:val="20"/>
          </w:rPr>
          <w:t xml:space="preserve"> </w:t>
        </w:r>
        <w:proofErr w:type="spellStart"/>
        <w:r>
          <w:rPr>
            <w:i/>
            <w:color w:val="0072BC"/>
            <w:sz w:val="20"/>
          </w:rPr>
          <w:t>i</w:t>
        </w:r>
        <w:proofErr w:type="spellEnd"/>
        <w:r>
          <w:rPr>
            <w:i/>
            <w:color w:val="0072BC"/>
            <w:sz w:val="20"/>
          </w:rPr>
          <w:t xml:space="preserve"> </w:t>
        </w:r>
        <w:r w:rsidR="00836DB6">
          <w:rPr>
            <w:i/>
            <w:color w:val="0072BC"/>
            <w:sz w:val="20"/>
          </w:rPr>
          <w:t>Inni</w:t>
        </w:r>
        <w:r>
          <w:rPr>
            <w:i/>
            <w:color w:val="0072BC"/>
            <w:sz w:val="20"/>
          </w:rPr>
          <w:t xml:space="preserve">. </w:t>
        </w:r>
        <w:proofErr w:type="spellStart"/>
        <w:r>
          <w:rPr>
            <w:i/>
            <w:color w:val="0072BC"/>
            <w:sz w:val="20"/>
          </w:rPr>
          <w:t>przeciwko</w:t>
        </w:r>
        <w:proofErr w:type="spellEnd"/>
        <w:r>
          <w:rPr>
            <w:i/>
            <w:color w:val="0072BC"/>
            <w:sz w:val="20"/>
          </w:rPr>
          <w:t xml:space="preserve"> </w:t>
        </w:r>
        <w:proofErr w:type="spellStart"/>
        <w:r>
          <w:rPr>
            <w:i/>
            <w:color w:val="0072BC"/>
            <w:sz w:val="20"/>
          </w:rPr>
          <w:t>Armenii</w:t>
        </w:r>
        <w:proofErr w:type="spellEnd"/>
      </w:hyperlink>
      <w:r>
        <w:rPr>
          <w:sz w:val="20"/>
        </w:rPr>
        <w:t xml:space="preserve"> (dec.), nr 25240/20, 21 </w:t>
      </w:r>
      <w:proofErr w:type="spellStart"/>
      <w:r>
        <w:rPr>
          <w:sz w:val="20"/>
        </w:rPr>
        <w:t>listopada</w:t>
      </w:r>
      <w:proofErr w:type="spellEnd"/>
      <w:r>
        <w:rPr>
          <w:sz w:val="20"/>
        </w:rPr>
        <w:t xml:space="preserve"> 2023 r. (</w:t>
      </w:r>
      <w:proofErr w:type="spellStart"/>
      <w:r>
        <w:rPr>
          <w:sz w:val="20"/>
        </w:rPr>
        <w:t>niedopuszczaln</w:t>
      </w:r>
      <w:r w:rsidR="00DA4C31">
        <w:rPr>
          <w:sz w:val="20"/>
        </w:rPr>
        <w:t>a</w:t>
      </w:r>
      <w:proofErr w:type="spellEnd"/>
      <w:r>
        <w:rPr>
          <w:sz w:val="20"/>
        </w:rPr>
        <w:t xml:space="preserve"> - </w:t>
      </w:r>
      <w:proofErr w:type="spellStart"/>
      <w:r>
        <w:rPr>
          <w:sz w:val="20"/>
        </w:rPr>
        <w:t>niezgodn</w:t>
      </w:r>
      <w:r w:rsidR="00DA4C31">
        <w:rPr>
          <w:sz w:val="20"/>
        </w:rPr>
        <w:t>a</w:t>
      </w:r>
      <w:proofErr w:type="spellEnd"/>
      <w:r>
        <w:rPr>
          <w:sz w:val="20"/>
        </w:rPr>
        <w:t xml:space="preserve"> </w:t>
      </w:r>
      <w:r>
        <w:rPr>
          <w:i/>
          <w:sz w:val="20"/>
        </w:rPr>
        <w:t xml:space="preserve">ratione </w:t>
      </w:r>
      <w:proofErr w:type="spellStart"/>
      <w:r>
        <w:rPr>
          <w:i/>
          <w:sz w:val="20"/>
        </w:rPr>
        <w:t>materiae</w:t>
      </w:r>
      <w:proofErr w:type="spellEnd"/>
      <w:r>
        <w:rPr>
          <w:sz w:val="20"/>
        </w:rPr>
        <w:t>);</w:t>
      </w:r>
    </w:p>
    <w:p w14:paraId="57C439E9" w14:textId="77777777" w:rsidR="004D1679" w:rsidRDefault="004D1679">
      <w:pPr>
        <w:pStyle w:val="Akapitzlist"/>
        <w:numPr>
          <w:ilvl w:val="0"/>
          <w:numId w:val="1"/>
        </w:numPr>
        <w:tabs>
          <w:tab w:val="left" w:pos="1582"/>
        </w:tabs>
        <w:ind w:left="1582" w:hanging="283"/>
        <w:rPr>
          <w:rFonts w:ascii="Arial" w:hAnsi="Arial"/>
          <w:color w:val="0072BC"/>
        </w:rPr>
      </w:pPr>
      <w:hyperlink r:id="rId132">
        <w:r>
          <w:rPr>
            <w:i/>
            <w:color w:val="0072BC"/>
            <w:sz w:val="20"/>
          </w:rPr>
          <w:t xml:space="preserve">Jarre </w:t>
        </w:r>
        <w:proofErr w:type="spellStart"/>
        <w:r>
          <w:rPr>
            <w:i/>
            <w:color w:val="0072BC"/>
            <w:sz w:val="20"/>
          </w:rPr>
          <w:t>przeciwko</w:t>
        </w:r>
        <w:proofErr w:type="spellEnd"/>
        <w:r>
          <w:rPr>
            <w:i/>
            <w:color w:val="0072BC"/>
            <w:sz w:val="20"/>
          </w:rPr>
          <w:t xml:space="preserve"> </w:t>
        </w:r>
        <w:proofErr w:type="spellStart"/>
        <w:r>
          <w:rPr>
            <w:i/>
            <w:color w:val="0072BC"/>
            <w:sz w:val="20"/>
          </w:rPr>
          <w:t>Francji</w:t>
        </w:r>
        <w:proofErr w:type="spellEnd"/>
      </w:hyperlink>
      <w:r>
        <w:rPr>
          <w:sz w:val="20"/>
        </w:rPr>
        <w:t xml:space="preserve">, nr 14157/18, 15 </w:t>
      </w:r>
      <w:proofErr w:type="spellStart"/>
      <w:r>
        <w:rPr>
          <w:sz w:val="20"/>
        </w:rPr>
        <w:t>lutego</w:t>
      </w:r>
      <w:proofErr w:type="spellEnd"/>
      <w:r>
        <w:rPr>
          <w:sz w:val="20"/>
        </w:rPr>
        <w:t xml:space="preserve"> 2024 r. (</w:t>
      </w:r>
      <w:proofErr w:type="spellStart"/>
      <w:r>
        <w:rPr>
          <w:sz w:val="20"/>
        </w:rPr>
        <w:t>brak</w:t>
      </w:r>
      <w:proofErr w:type="spellEnd"/>
      <w:r>
        <w:rPr>
          <w:sz w:val="20"/>
        </w:rPr>
        <w:t xml:space="preserve"> </w:t>
      </w:r>
      <w:proofErr w:type="spellStart"/>
      <w:r>
        <w:rPr>
          <w:spacing w:val="-2"/>
          <w:sz w:val="20"/>
        </w:rPr>
        <w:t>naruszenia</w:t>
      </w:r>
      <w:proofErr w:type="spellEnd"/>
      <w:r>
        <w:rPr>
          <w:spacing w:val="-2"/>
          <w:sz w:val="20"/>
        </w:rPr>
        <w:t>).</w:t>
      </w:r>
    </w:p>
    <w:sectPr w:rsidR="004D1679">
      <w:pgSz w:w="11910" w:h="16840"/>
      <w:pgMar w:top="1080" w:right="708" w:bottom="860" w:left="708" w:header="698" w:footer="6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22C06" w14:textId="77777777" w:rsidR="0055366A" w:rsidRDefault="0055366A">
      <w:r>
        <w:separator/>
      </w:r>
    </w:p>
  </w:endnote>
  <w:endnote w:type="continuationSeparator" w:id="0">
    <w:p w14:paraId="1332C2AB" w14:textId="77777777" w:rsidR="0055366A" w:rsidRDefault="005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7903" w14:textId="77777777" w:rsidR="004D1679" w:rsidRDefault="00000000">
    <w:pPr>
      <w:pStyle w:val="Tekstpodstawowy"/>
      <w:spacing w:before="0" w:line="14" w:lineRule="auto"/>
      <w:ind w:left="0" w:right="0" w:firstLine="0"/>
      <w:jc w:val="left"/>
      <w:rPr>
        <w:sz w:val="20"/>
      </w:rPr>
    </w:pPr>
    <w:r>
      <w:rPr>
        <w:noProof/>
        <w:sz w:val="20"/>
      </w:rPr>
      <mc:AlternateContent>
        <mc:Choice Requires="wps">
          <w:drawing>
            <wp:anchor distT="0" distB="0" distL="0" distR="0" simplePos="0" relativeHeight="251656704" behindDoc="1" locked="0" layoutInCell="1" allowOverlap="1" wp14:anchorId="2FE2828E" wp14:editId="1FB75F19">
              <wp:simplePos x="0" y="0"/>
              <wp:positionH relativeFrom="page">
                <wp:posOffset>482600</wp:posOffset>
              </wp:positionH>
              <wp:positionV relativeFrom="page">
                <wp:posOffset>10085628</wp:posOffset>
              </wp:positionV>
              <wp:extent cx="6595745" cy="19050"/>
              <wp:effectExtent l="0" t="0" r="0" b="0"/>
              <wp:wrapNone/>
              <wp:docPr id="10" name="Graphic 10"/>
              <wp:cNvGraphicFramePr/>
              <a:graphic xmlns:a="http://schemas.openxmlformats.org/drawingml/2006/main">
                <a:graphicData uri="http://schemas.microsoft.com/office/word/2010/wordprocessingShape">
                  <wps:wsp>
                    <wps:cNvSpPr/>
                    <wps:spPr>
                      <a:xfrm>
                        <a:off x="0" y="0"/>
                        <a:ext cx="6595745" cy="19050"/>
                      </a:xfrm>
                      <a:custGeom>
                        <a:avLst/>
                        <a:gdLst/>
                        <a:ahLst/>
                        <a:cxnLst/>
                        <a:rect l="l" t="t" r="r" b="b"/>
                        <a:pathLst>
                          <a:path w="6595745" h="19050">
                            <a:moveTo>
                              <a:pt x="6595744" y="19050"/>
                            </a:moveTo>
                            <a:lnTo>
                              <a:pt x="0" y="19050"/>
                            </a:lnTo>
                            <a:lnTo>
                              <a:pt x="0" y="0"/>
                            </a:lnTo>
                            <a:lnTo>
                              <a:pt x="6595744" y="0"/>
                            </a:lnTo>
                            <a:lnTo>
                              <a:pt x="6595744" y="19050"/>
                            </a:lnTo>
                            <a:close/>
                          </a:path>
                        </a:pathLst>
                      </a:custGeom>
                      <a:solidFill>
                        <a:srgbClr val="A0A0A0"/>
                      </a:solidFill>
                    </wps:spPr>
                    <wps:bodyPr wrap="square" lIns="0" tIns="0" rIns="0" bIns="0" rtlCol="0">
                      <a:prstTxWarp prst="textNoShape">
                        <a:avLst/>
                      </a:prstTxWarp>
                    </wps:bodyPr>
                  </wps:wsp>
                </a:graphicData>
              </a:graphic>
            </wp:anchor>
          </w:drawing>
        </mc:Choice>
        <mc:Fallback>
          <w:pict>
            <v:shape w14:anchorId="186E72F2" id="Graphic 10" o:spid="_x0000_s1026" style="position:absolute;margin-left:38pt;margin-top:794.15pt;width:519.35pt;height:1.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5957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" path="m6595744,19050l,19050,,,6595744,r,19050xe" fillcolor="#a0a0a0"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58C80FEE" wp14:editId="0E18131A">
              <wp:simplePos x="0" y="0"/>
              <wp:positionH relativeFrom="page">
                <wp:posOffset>3658882</wp:posOffset>
              </wp:positionH>
              <wp:positionV relativeFrom="page">
                <wp:posOffset>10151973</wp:posOffset>
              </wp:positionV>
              <wp:extent cx="247015" cy="1651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47015" cy="165100"/>
                      </a:xfrm>
                      <a:prstGeom prst="rect">
                        <a:avLst/>
                      </a:prstGeom>
                    </wps:spPr>
                    <wps:txbx>
                      <w:txbxContent>
                        <w:p w14:paraId="12B44974" w14:textId="77777777" w:rsidR="004D1679" w:rsidRDefault="00000000">
                          <w:pPr>
                            <w:pStyle w:val="Tekstpodstawowy"/>
                            <w:spacing w:before="0" w:line="244" w:lineRule="exact"/>
                            <w:ind w:left="60" w:right="0" w:firstLine="0"/>
                            <w:jc w:val="left"/>
                          </w:pPr>
                          <w:r>
                            <w:rPr>
                              <w:spacing w:val="-5"/>
                            </w:rPr>
                            <w:fldChar w:fldCharType="begin"/>
                          </w:r>
                          <w:r>
                            <w:rPr>
                              <w:spacing w:val="-5"/>
                              <w:sz w:val="20"/>
                            </w:rPr>
                            <w:instrText xml:space="preserve"> PAGE </w:instrText>
                          </w:r>
                          <w:r>
                            <w:rPr>
                              <w:spacing w:val="-5"/>
                            </w:rPr>
                            <w:fldChar w:fldCharType="separate"/>
                          </w:r>
                          <w:r>
                            <w:rPr>
                              <w:spacing w:val="-5"/>
                              <w:sz w:val="20"/>
                            </w:rPr>
                            <w:t>7</w:t>
                          </w:r>
                          <w:r>
                            <w:rPr>
                              <w:spacing w:val="-5"/>
                            </w:rPr>
                            <w:fldChar w:fldCharType="end"/>
                          </w:r>
                          <w:r>
                            <w:rPr>
                              <w:spacing w:val="-5"/>
                              <w:sz w:val="20"/>
                            </w:rPr>
                            <w:t>/7</w:t>
                          </w:r>
                        </w:p>
                      </w:txbxContent>
                    </wps:txbx>
                    <wps:bodyPr wrap="square" lIns="0" tIns="0" rIns="0" bIns="0" rtlCol="0"/>
                  </wps:wsp>
                </a:graphicData>
              </a:graphic>
            </wp:anchor>
          </w:drawing>
        </mc:Choice>
        <mc:Fallback>
          <w:pict>
            <v:shapetype w14:anchorId="58C80FEE" id="_x0000_t202" coordsize="21600,21600" o:spt="202" path="m,l,21600r21600,l21600,xe">
              <v:stroke joinstyle="miter"/>
              <v:path gradientshapeok="t" o:connecttype="rect"/>
            </v:shapetype>
            <v:shape id="Textbox 11" o:spid="_x0000_s1028" type="#_x0000_t202" style="position:absolute;margin-left:288.1pt;margin-top:799.35pt;width:19.45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" filled="f" stroked="f">
              <v:textbox inset="0,0,0,0">
                <w:txbxContent>
                  <w:p w14:paraId="12B44974" w14:textId="77777777" w:rsidR="004D1679" w:rsidRDefault="00000000">
                    <w:pPr>
                      <w:pStyle w:val="Tekstpodstawowy"/>
                      <w:spacing w:before="0" w:line="244" w:lineRule="exact"/>
                      <w:ind w:left="60" w:right="0" w:firstLine="0"/>
                      <w:jc w:val="left"/>
                    </w:pPr>
                    <w:r>
                      <w:rPr>
                        <w:spacing w:val="-5"/>
                      </w:rPr>
                      <w:fldChar w:fldCharType="begin"/>
                    </w:r>
                    <w:r>
                      <w:rPr>
                        <w:spacing w:val="-5"/>
                        <w:sz w:val="20"/>
                      </w:rPr>
                      <w:instrText xml:space="preserve"> PAGE </w:instrText>
                    </w:r>
                    <w:r>
                      <w:rPr>
                        <w:spacing w:val="-5"/>
                      </w:rPr>
                      <w:fldChar w:fldCharType="separate"/>
                    </w:r>
                    <w:r>
                      <w:rPr>
                        <w:spacing w:val="-5"/>
                        <w:sz w:val="20"/>
                      </w:rPr>
                      <w:t>7</w:t>
                    </w:r>
                    <w:r>
                      <w:rPr>
                        <w:spacing w:val="-5"/>
                      </w:rPr>
                      <w:fldChar w:fldCharType="end"/>
                    </w:r>
                    <w:r>
                      <w:rPr>
                        <w:spacing w:val="-5"/>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A864" w14:textId="77777777" w:rsidR="0055366A" w:rsidRDefault="0055366A">
      <w:r>
        <w:separator/>
      </w:r>
    </w:p>
  </w:footnote>
  <w:footnote w:type="continuationSeparator" w:id="0">
    <w:p w14:paraId="33A5BCB1" w14:textId="77777777" w:rsidR="0055366A" w:rsidRDefault="0055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BB7D" w14:textId="77777777" w:rsidR="0090066D" w:rsidRDefault="0090066D">
    <w:pPr>
      <w:pStyle w:val="Tekstpodstawowy"/>
      <w:spacing w:before="0" w:line="14" w:lineRule="auto"/>
      <w:ind w:left="0" w:right="0" w:firstLine="0"/>
      <w:jc w:val="left"/>
      <w:rPr>
        <w:sz w:val="20"/>
      </w:rPr>
    </w:pPr>
  </w:p>
  <w:p w14:paraId="58B99E02" w14:textId="69E81724" w:rsidR="004D1679" w:rsidRDefault="00AA1CFE">
    <w:pPr>
      <w:pStyle w:val="Tekstpodstawowy"/>
      <w:spacing w:before="0" w:line="14" w:lineRule="auto"/>
      <w:ind w:left="0" w:right="0" w:firstLine="0"/>
      <w:jc w:val="left"/>
      <w:rPr>
        <w:sz w:val="20"/>
      </w:rPr>
    </w:pPr>
    <w:r>
      <w:rPr>
        <w:noProof/>
        <w:sz w:val="20"/>
      </w:rPr>
      <mc:AlternateContent>
        <mc:Choice Requires="wps">
          <w:drawing>
            <wp:anchor distT="0" distB="0" distL="0" distR="0" simplePos="0" relativeHeight="251660288" behindDoc="1" locked="0" layoutInCell="1" allowOverlap="1" wp14:anchorId="70EC5086" wp14:editId="737F02BB">
              <wp:simplePos x="0" y="0"/>
              <wp:positionH relativeFrom="page">
                <wp:posOffset>469557</wp:posOffset>
              </wp:positionH>
              <wp:positionV relativeFrom="page">
                <wp:posOffset>551935</wp:posOffset>
              </wp:positionV>
              <wp:extent cx="3262184" cy="131806"/>
              <wp:effectExtent l="0" t="0" r="0" b="0"/>
              <wp:wrapNone/>
              <wp:docPr id="9" name="Textbox 9"/>
              <wp:cNvGraphicFramePr/>
              <a:graphic xmlns:a="http://schemas.openxmlformats.org/drawingml/2006/main">
                <a:graphicData uri="http://schemas.microsoft.com/office/word/2010/wordprocessingShape">
                  <wps:wsp>
                    <wps:cNvSpPr txBox="1"/>
                    <wps:spPr>
                      <a:xfrm>
                        <a:off x="0" y="0"/>
                        <a:ext cx="3262184" cy="131806"/>
                      </a:xfrm>
                      <a:prstGeom prst="rect">
                        <a:avLst/>
                      </a:prstGeom>
                    </wps:spPr>
                    <wps:txbx>
                      <w:txbxContent>
                        <w:p w14:paraId="0DE87355" w14:textId="372FB10C" w:rsidR="004D1679" w:rsidRDefault="00996B0A">
                          <w:pPr>
                            <w:spacing w:line="203" w:lineRule="exact"/>
                            <w:ind w:left="20"/>
                            <w:rPr>
                              <w:sz w:val="18"/>
                            </w:rPr>
                          </w:pPr>
                          <w:proofErr w:type="spellStart"/>
                          <w:r w:rsidRPr="009E35EA">
                            <w:rPr>
                              <w:iCs/>
                              <w:color w:val="000000" w:themeColor="text1"/>
                              <w:sz w:val="14"/>
                              <w:szCs w:val="14"/>
                            </w:rPr>
                            <w:t>Kluczowy</w:t>
                          </w:r>
                          <w:proofErr w:type="spellEnd"/>
                          <w:r w:rsidRPr="009E35EA">
                            <w:rPr>
                              <w:iCs/>
                              <w:color w:val="000000" w:themeColor="text1"/>
                              <w:sz w:val="14"/>
                              <w:szCs w:val="14"/>
                            </w:rPr>
                            <w:t xml:space="preserve"> </w:t>
                          </w:r>
                          <w:proofErr w:type="spellStart"/>
                          <w:r w:rsidRPr="009E35EA">
                            <w:rPr>
                              <w:iCs/>
                              <w:color w:val="000000" w:themeColor="text1"/>
                              <w:sz w:val="14"/>
                              <w:szCs w:val="14"/>
                            </w:rPr>
                            <w:t>temat</w:t>
                          </w:r>
                          <w:proofErr w:type="spellEnd"/>
                          <w:r w:rsidRPr="009E35EA">
                            <w:rPr>
                              <w:iCs/>
                              <w:color w:val="000000" w:themeColor="text1"/>
                              <w:sz w:val="14"/>
                              <w:szCs w:val="14"/>
                            </w:rPr>
                            <w:t xml:space="preserve"> - </w:t>
                          </w:r>
                          <w:proofErr w:type="spellStart"/>
                          <w:r w:rsidRPr="009E35EA">
                            <w:rPr>
                              <w:iCs/>
                              <w:color w:val="000000" w:themeColor="text1"/>
                              <w:sz w:val="14"/>
                              <w:szCs w:val="14"/>
                            </w:rPr>
                            <w:t>Artykuł</w:t>
                          </w:r>
                          <w:proofErr w:type="spellEnd"/>
                          <w:r w:rsidRPr="009E35EA">
                            <w:rPr>
                              <w:iCs/>
                              <w:color w:val="000000" w:themeColor="text1"/>
                              <w:sz w:val="14"/>
                              <w:szCs w:val="14"/>
                            </w:rPr>
                            <w:t xml:space="preserve"> 6 (</w:t>
                          </w:r>
                          <w:proofErr w:type="spellStart"/>
                          <w:r w:rsidRPr="009E35EA">
                            <w:rPr>
                              <w:iCs/>
                              <w:color w:val="000000" w:themeColor="text1"/>
                              <w:sz w:val="14"/>
                              <w:szCs w:val="14"/>
                            </w:rPr>
                            <w:t>cywilne</w:t>
                          </w:r>
                          <w:proofErr w:type="spellEnd"/>
                          <w:r w:rsidRPr="009E35EA">
                            <w:rPr>
                              <w:iCs/>
                              <w:color w:val="000000" w:themeColor="text1"/>
                              <w:sz w:val="14"/>
                              <w:szCs w:val="14"/>
                            </w:rPr>
                            <w:t xml:space="preserve">) </w:t>
                          </w:r>
                          <w:proofErr w:type="spellStart"/>
                          <w:r w:rsidRPr="009E35EA">
                            <w:rPr>
                              <w:iCs/>
                              <w:color w:val="000000" w:themeColor="text1"/>
                              <w:spacing w:val="-2"/>
                              <w:sz w:val="14"/>
                              <w:szCs w:val="14"/>
                            </w:rPr>
                            <w:t>postępowanie</w:t>
                          </w:r>
                          <w:proofErr w:type="spellEnd"/>
                          <w:r w:rsidRPr="009E35EA">
                            <w:rPr>
                              <w:iCs/>
                              <w:color w:val="000000" w:themeColor="text1"/>
                              <w:spacing w:val="-2"/>
                              <w:sz w:val="14"/>
                              <w:szCs w:val="14"/>
                            </w:rPr>
                            <w:t xml:space="preserve"> </w:t>
                          </w:r>
                          <w:proofErr w:type="spellStart"/>
                          <w:r w:rsidRPr="009E35EA">
                            <w:rPr>
                              <w:iCs/>
                              <w:color w:val="000000" w:themeColor="text1"/>
                              <w:sz w:val="14"/>
                              <w:szCs w:val="14"/>
                            </w:rPr>
                            <w:t>przed</w:t>
                          </w:r>
                          <w:proofErr w:type="spellEnd"/>
                          <w:r w:rsidRPr="009E35EA">
                            <w:rPr>
                              <w:iCs/>
                              <w:color w:val="000000" w:themeColor="text1"/>
                              <w:sz w:val="14"/>
                              <w:szCs w:val="14"/>
                            </w:rPr>
                            <w:t xml:space="preserve"> </w:t>
                          </w:r>
                          <w:proofErr w:type="spellStart"/>
                          <w:r w:rsidRPr="009E35EA">
                            <w:rPr>
                              <w:iCs/>
                              <w:color w:val="000000" w:themeColor="text1"/>
                              <w:sz w:val="14"/>
                              <w:szCs w:val="14"/>
                            </w:rPr>
                            <w:t>Trybunałem</w:t>
                          </w:r>
                          <w:proofErr w:type="spellEnd"/>
                          <w:r w:rsidRPr="009E35EA">
                            <w:rPr>
                              <w:iCs/>
                              <w:color w:val="000000" w:themeColor="text1"/>
                              <w:sz w:val="14"/>
                              <w:szCs w:val="14"/>
                            </w:rPr>
                            <w:t xml:space="preserve"> </w:t>
                          </w:r>
                          <w:proofErr w:type="spellStart"/>
                          <w:r w:rsidRPr="009E35EA">
                            <w:rPr>
                              <w:iCs/>
                              <w:color w:val="000000" w:themeColor="text1"/>
                              <w:sz w:val="14"/>
                              <w:szCs w:val="14"/>
                            </w:rPr>
                            <w:t>Konstytucyjnym</w:t>
                          </w:r>
                          <w:proofErr w:type="spellEnd"/>
                          <w:r w:rsidDel="00996B0A">
                            <w:rPr>
                              <w:sz w:val="17"/>
                            </w:rPr>
                            <w:t xml:space="preserve"> </w:t>
                          </w:r>
                          <w:proofErr w:type="spellStart"/>
                          <w:r>
                            <w:rPr>
                              <w:sz w:val="17"/>
                            </w:rPr>
                            <w:t>tTTrybunałem</w:t>
                          </w:r>
                          <w:proofErr w:type="spellEnd"/>
                          <w:r>
                            <w:rPr>
                              <w:sz w:val="17"/>
                            </w:rPr>
                            <w:t xml:space="preserve"> </w:t>
                          </w:r>
                          <w:proofErr w:type="spellStart"/>
                          <w:r>
                            <w:rPr>
                              <w:sz w:val="17"/>
                            </w:rPr>
                            <w:t>Konstytucyjnym</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EC5086" id="_x0000_t202" coordsize="21600,21600" o:spt="202" path="m,l,21600r21600,l21600,xe">
              <v:stroke joinstyle="miter"/>
              <v:path gradientshapeok="t" o:connecttype="rect"/>
            </v:shapetype>
            <v:shape id="Textbox 9" o:spid="_x0000_s1026" type="#_x0000_t202" style="position:absolute;margin-left:36.95pt;margin-top:43.45pt;width:256.85pt;height:1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" filled="f" stroked="f">
              <v:textbox inset="0,0,0,0">
                <w:txbxContent>
                  <w:p w14:paraId="0DE87355" w14:textId="372FB10C" w:rsidR="004D1679" w:rsidRDefault="00996B0A">
                    <w:pPr>
                      <w:spacing w:line="203" w:lineRule="exact"/>
                      <w:ind w:left="20"/>
                      <w:rPr>
                        <w:sz w:val="18"/>
                      </w:rPr>
                    </w:pPr>
                    <w:proofErr w:type="spellStart"/>
                    <w:r w:rsidRPr="009E35EA">
                      <w:rPr>
                        <w:iCs/>
                        <w:color w:val="000000" w:themeColor="text1"/>
                        <w:sz w:val="14"/>
                        <w:szCs w:val="14"/>
                      </w:rPr>
                      <w:t>Kluczowy</w:t>
                    </w:r>
                    <w:proofErr w:type="spellEnd"/>
                    <w:r w:rsidRPr="009E35EA">
                      <w:rPr>
                        <w:iCs/>
                        <w:color w:val="000000" w:themeColor="text1"/>
                        <w:sz w:val="14"/>
                        <w:szCs w:val="14"/>
                      </w:rPr>
                      <w:t xml:space="preserve"> </w:t>
                    </w:r>
                    <w:proofErr w:type="spellStart"/>
                    <w:r w:rsidRPr="009E35EA">
                      <w:rPr>
                        <w:iCs/>
                        <w:color w:val="000000" w:themeColor="text1"/>
                        <w:sz w:val="14"/>
                        <w:szCs w:val="14"/>
                      </w:rPr>
                      <w:t>temat</w:t>
                    </w:r>
                    <w:proofErr w:type="spellEnd"/>
                    <w:r w:rsidRPr="009E35EA">
                      <w:rPr>
                        <w:iCs/>
                        <w:color w:val="000000" w:themeColor="text1"/>
                        <w:sz w:val="14"/>
                        <w:szCs w:val="14"/>
                      </w:rPr>
                      <w:t xml:space="preserve"> - </w:t>
                    </w:r>
                    <w:proofErr w:type="spellStart"/>
                    <w:r w:rsidRPr="009E35EA">
                      <w:rPr>
                        <w:iCs/>
                        <w:color w:val="000000" w:themeColor="text1"/>
                        <w:sz w:val="14"/>
                        <w:szCs w:val="14"/>
                      </w:rPr>
                      <w:t>Artykuł</w:t>
                    </w:r>
                    <w:proofErr w:type="spellEnd"/>
                    <w:r w:rsidRPr="009E35EA">
                      <w:rPr>
                        <w:iCs/>
                        <w:color w:val="000000" w:themeColor="text1"/>
                        <w:sz w:val="14"/>
                        <w:szCs w:val="14"/>
                      </w:rPr>
                      <w:t xml:space="preserve"> 6 (</w:t>
                    </w:r>
                    <w:proofErr w:type="spellStart"/>
                    <w:r w:rsidRPr="009E35EA">
                      <w:rPr>
                        <w:iCs/>
                        <w:color w:val="000000" w:themeColor="text1"/>
                        <w:sz w:val="14"/>
                        <w:szCs w:val="14"/>
                      </w:rPr>
                      <w:t>cywilne</w:t>
                    </w:r>
                    <w:proofErr w:type="spellEnd"/>
                    <w:r w:rsidRPr="009E35EA">
                      <w:rPr>
                        <w:iCs/>
                        <w:color w:val="000000" w:themeColor="text1"/>
                        <w:sz w:val="14"/>
                        <w:szCs w:val="14"/>
                      </w:rPr>
                      <w:t xml:space="preserve">) </w:t>
                    </w:r>
                    <w:proofErr w:type="spellStart"/>
                    <w:r w:rsidRPr="009E35EA">
                      <w:rPr>
                        <w:iCs/>
                        <w:color w:val="000000" w:themeColor="text1"/>
                        <w:spacing w:val="-2"/>
                        <w:sz w:val="14"/>
                        <w:szCs w:val="14"/>
                      </w:rPr>
                      <w:t>postępowanie</w:t>
                    </w:r>
                    <w:proofErr w:type="spellEnd"/>
                    <w:r w:rsidRPr="009E35EA">
                      <w:rPr>
                        <w:iCs/>
                        <w:color w:val="000000" w:themeColor="text1"/>
                        <w:spacing w:val="-2"/>
                        <w:sz w:val="14"/>
                        <w:szCs w:val="14"/>
                      </w:rPr>
                      <w:t xml:space="preserve"> </w:t>
                    </w:r>
                    <w:proofErr w:type="spellStart"/>
                    <w:r w:rsidRPr="009E35EA">
                      <w:rPr>
                        <w:iCs/>
                        <w:color w:val="000000" w:themeColor="text1"/>
                        <w:sz w:val="14"/>
                        <w:szCs w:val="14"/>
                      </w:rPr>
                      <w:t>przed</w:t>
                    </w:r>
                    <w:proofErr w:type="spellEnd"/>
                    <w:r w:rsidRPr="009E35EA">
                      <w:rPr>
                        <w:iCs/>
                        <w:color w:val="000000" w:themeColor="text1"/>
                        <w:sz w:val="14"/>
                        <w:szCs w:val="14"/>
                      </w:rPr>
                      <w:t xml:space="preserve"> </w:t>
                    </w:r>
                    <w:proofErr w:type="spellStart"/>
                    <w:r w:rsidRPr="009E35EA">
                      <w:rPr>
                        <w:iCs/>
                        <w:color w:val="000000" w:themeColor="text1"/>
                        <w:sz w:val="14"/>
                        <w:szCs w:val="14"/>
                      </w:rPr>
                      <w:t>Trybunałem</w:t>
                    </w:r>
                    <w:proofErr w:type="spellEnd"/>
                    <w:r w:rsidRPr="009E35EA">
                      <w:rPr>
                        <w:iCs/>
                        <w:color w:val="000000" w:themeColor="text1"/>
                        <w:sz w:val="14"/>
                        <w:szCs w:val="14"/>
                      </w:rPr>
                      <w:t xml:space="preserve"> </w:t>
                    </w:r>
                    <w:proofErr w:type="spellStart"/>
                    <w:r w:rsidRPr="009E35EA">
                      <w:rPr>
                        <w:iCs/>
                        <w:color w:val="000000" w:themeColor="text1"/>
                        <w:sz w:val="14"/>
                        <w:szCs w:val="14"/>
                      </w:rPr>
                      <w:t>Konstytucyjnym</w:t>
                    </w:r>
                    <w:proofErr w:type="spellEnd"/>
                    <w:r w:rsidDel="00996B0A">
                      <w:rPr>
                        <w:sz w:val="17"/>
                      </w:rPr>
                      <w:t xml:space="preserve"> </w:t>
                    </w:r>
                    <w:proofErr w:type="spellStart"/>
                    <w:r>
                      <w:rPr>
                        <w:sz w:val="17"/>
                      </w:rPr>
                      <w:t>tTTrybunałem</w:t>
                    </w:r>
                    <w:proofErr w:type="spellEnd"/>
                    <w:r>
                      <w:rPr>
                        <w:sz w:val="17"/>
                      </w:rPr>
                      <w:t xml:space="preserve"> </w:t>
                    </w:r>
                    <w:proofErr w:type="spellStart"/>
                    <w:r>
                      <w:rPr>
                        <w:sz w:val="17"/>
                      </w:rPr>
                      <w:t>Konstytucyjnym</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050B3101" wp14:editId="1963A4E5">
              <wp:simplePos x="0" y="0"/>
              <wp:positionH relativeFrom="page">
                <wp:posOffset>482600</wp:posOffset>
              </wp:positionH>
              <wp:positionV relativeFrom="page">
                <wp:posOffset>684568</wp:posOffset>
              </wp:positionV>
              <wp:extent cx="6624955" cy="1270"/>
              <wp:effectExtent l="0" t="0" r="0" b="0"/>
              <wp:wrapNone/>
              <wp:docPr id="7" name="Graphic 7"/>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29880AF6" id="Graphic 7" o:spid="_x0000_s1026" style="position:absolute;margin-left:38pt;margin-top:53.9pt;width:521.6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" path="m,l6624955,e" filled="f" strokecolor="#949494">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1EB99B24" wp14:editId="3A1C26A5">
              <wp:simplePos x="0" y="0"/>
              <wp:positionH relativeFrom="page">
                <wp:posOffset>6374104</wp:posOffset>
              </wp:positionH>
              <wp:positionV relativeFrom="page">
                <wp:posOffset>430613</wp:posOffset>
              </wp:positionV>
              <wp:extent cx="746125" cy="262255"/>
              <wp:effectExtent l="0" t="0" r="0" b="0"/>
              <wp:wrapNone/>
              <wp:docPr id="8" name="Textbox 8"/>
              <wp:cNvGraphicFramePr/>
              <a:graphic xmlns:a="http://schemas.openxmlformats.org/drawingml/2006/main">
                <a:graphicData uri="http://schemas.microsoft.com/office/word/2010/wordprocessingShape">
                  <wps:wsp>
                    <wps:cNvSpPr txBox="1"/>
                    <wps:spPr>
                      <a:xfrm>
                        <a:off x="0" y="0"/>
                        <a:ext cx="746125" cy="262255"/>
                      </a:xfrm>
                      <a:prstGeom prst="rect">
                        <a:avLst/>
                      </a:prstGeom>
                    </wps:spPr>
                    <wps:txbx>
                      <w:txbxContent>
                        <w:p w14:paraId="4CA186AA" w14:textId="77777777" w:rsidR="004D1679" w:rsidRDefault="00000000">
                          <w:pPr>
                            <w:spacing w:before="55"/>
                            <w:ind w:left="20"/>
                            <w:rPr>
                              <w:b/>
                              <w:sz w:val="28"/>
                            </w:rPr>
                          </w:pPr>
                          <w:r>
                            <w:rPr>
                              <w:b/>
                              <w:color w:val="002856"/>
                              <w:spacing w:val="-5"/>
                              <w:w w:val="115"/>
                              <w:sz w:val="26"/>
                            </w:rPr>
                            <w:t>ECHR-KS</w:t>
                          </w:r>
                        </w:p>
                      </w:txbxContent>
                    </wps:txbx>
                    <wps:bodyPr wrap="square" lIns="0" tIns="0" rIns="0" bIns="0" rtlCol="0"/>
                  </wps:wsp>
                </a:graphicData>
              </a:graphic>
            </wp:anchor>
          </w:drawing>
        </mc:Choice>
        <mc:Fallback>
          <w:pict>
            <v:shape w14:anchorId="1EB99B24" id="Textbox 8" o:spid="_x0000_s1027" type="#_x0000_t202" style="position:absolute;margin-left:501.9pt;margin-top:33.9pt;width:58.75pt;height:20.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" filled="f" stroked="f">
              <v:textbox inset="0,0,0,0">
                <w:txbxContent>
                  <w:p w14:paraId="4CA186AA" w14:textId="77777777" w:rsidR="004D1679" w:rsidRDefault="00000000">
                    <w:pPr>
                      <w:spacing w:before="55"/>
                      <w:ind w:left="20"/>
                      <w:rPr>
                        <w:b/>
                        <w:sz w:val="28"/>
                      </w:rPr>
                    </w:pPr>
                    <w:r>
                      <w:rPr>
                        <w:b/>
                        <w:color w:val="002856"/>
                        <w:spacing w:val="-5"/>
                        <w:w w:val="115"/>
                        <w:sz w:val="26"/>
                      </w:rPr>
                      <w:t>ECHR-KS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CC089"/>
    <w:multiLevelType w:val="hybridMultilevel"/>
    <w:tmpl w:val="00000000"/>
    <w:lvl w:ilvl="0" w:tplc="9CBEA4F6">
      <w:numFmt w:val="bullet"/>
      <w:lvlText w:val="▪"/>
      <w:lvlJc w:val="left"/>
      <w:pPr>
        <w:ind w:left="1583" w:hanging="285"/>
      </w:pPr>
      <w:rPr>
        <w:rFonts w:ascii="Arial" w:eastAsia="Arial" w:hAnsi="Arial" w:cs="Arial" w:hint="default"/>
        <w:spacing w:val="0"/>
        <w:w w:val="129"/>
        <w:lang w:val="en-US" w:eastAsia="en-US" w:bidi="ar-SA"/>
      </w:rPr>
    </w:lvl>
    <w:lvl w:ilvl="1" w:tplc="F6D627EE">
      <w:numFmt w:val="bullet"/>
      <w:lvlText w:val="•"/>
      <w:lvlJc w:val="left"/>
      <w:pPr>
        <w:ind w:left="2471" w:hanging="285"/>
      </w:pPr>
      <w:rPr>
        <w:rFonts w:hint="default"/>
        <w:lang w:val="en-US" w:eastAsia="en-US" w:bidi="ar-SA"/>
      </w:rPr>
    </w:lvl>
    <w:lvl w:ilvl="2" w:tplc="18FE38E8">
      <w:numFmt w:val="bullet"/>
      <w:lvlText w:val="•"/>
      <w:lvlJc w:val="left"/>
      <w:pPr>
        <w:ind w:left="3362" w:hanging="285"/>
      </w:pPr>
      <w:rPr>
        <w:rFonts w:hint="default"/>
        <w:lang w:val="en-US" w:eastAsia="en-US" w:bidi="ar-SA"/>
      </w:rPr>
    </w:lvl>
    <w:lvl w:ilvl="3" w:tplc="90884240">
      <w:numFmt w:val="bullet"/>
      <w:lvlText w:val="•"/>
      <w:lvlJc w:val="left"/>
      <w:pPr>
        <w:ind w:left="4253" w:hanging="285"/>
      </w:pPr>
      <w:rPr>
        <w:rFonts w:hint="default"/>
        <w:lang w:val="en-US" w:eastAsia="en-US" w:bidi="ar-SA"/>
      </w:rPr>
    </w:lvl>
    <w:lvl w:ilvl="4" w:tplc="EFEA718A">
      <w:numFmt w:val="bullet"/>
      <w:lvlText w:val="•"/>
      <w:lvlJc w:val="left"/>
      <w:pPr>
        <w:ind w:left="5144" w:hanging="285"/>
      </w:pPr>
      <w:rPr>
        <w:rFonts w:hint="default"/>
        <w:lang w:val="en-US" w:eastAsia="en-US" w:bidi="ar-SA"/>
      </w:rPr>
    </w:lvl>
    <w:lvl w:ilvl="5" w:tplc="534E2D8E">
      <w:numFmt w:val="bullet"/>
      <w:lvlText w:val="•"/>
      <w:lvlJc w:val="left"/>
      <w:pPr>
        <w:ind w:left="6035" w:hanging="285"/>
      </w:pPr>
      <w:rPr>
        <w:rFonts w:hint="default"/>
        <w:lang w:val="en-US" w:eastAsia="en-US" w:bidi="ar-SA"/>
      </w:rPr>
    </w:lvl>
    <w:lvl w:ilvl="6" w:tplc="21308A86">
      <w:numFmt w:val="bullet"/>
      <w:lvlText w:val="•"/>
      <w:lvlJc w:val="left"/>
      <w:pPr>
        <w:ind w:left="6926" w:hanging="285"/>
      </w:pPr>
      <w:rPr>
        <w:rFonts w:hint="default"/>
        <w:lang w:val="en-US" w:eastAsia="en-US" w:bidi="ar-SA"/>
      </w:rPr>
    </w:lvl>
    <w:lvl w:ilvl="7" w:tplc="B3205E5A">
      <w:numFmt w:val="bullet"/>
      <w:lvlText w:val="•"/>
      <w:lvlJc w:val="left"/>
      <w:pPr>
        <w:ind w:left="7817" w:hanging="285"/>
      </w:pPr>
      <w:rPr>
        <w:rFonts w:hint="default"/>
        <w:lang w:val="en-US" w:eastAsia="en-US" w:bidi="ar-SA"/>
      </w:rPr>
    </w:lvl>
    <w:lvl w:ilvl="8" w:tplc="1812E620">
      <w:numFmt w:val="bullet"/>
      <w:lvlText w:val="•"/>
      <w:lvlJc w:val="left"/>
      <w:pPr>
        <w:ind w:left="8708" w:hanging="285"/>
      </w:pPr>
      <w:rPr>
        <w:rFonts w:hint="default"/>
        <w:lang w:val="en-US" w:eastAsia="en-US" w:bidi="ar-SA"/>
      </w:rPr>
    </w:lvl>
  </w:abstractNum>
  <w:num w:numId="1" w16cid:durableId="146184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79"/>
    <w:rsid w:val="00016379"/>
    <w:rsid w:val="00060496"/>
    <w:rsid w:val="000A45E9"/>
    <w:rsid w:val="000B4D1A"/>
    <w:rsid w:val="000C4EB9"/>
    <w:rsid w:val="001306AF"/>
    <w:rsid w:val="001410B8"/>
    <w:rsid w:val="00181FB5"/>
    <w:rsid w:val="00191449"/>
    <w:rsid w:val="0024649E"/>
    <w:rsid w:val="00264C6A"/>
    <w:rsid w:val="002C6BC6"/>
    <w:rsid w:val="002F1737"/>
    <w:rsid w:val="002F3C3A"/>
    <w:rsid w:val="002F44AF"/>
    <w:rsid w:val="00310D3B"/>
    <w:rsid w:val="00315DCC"/>
    <w:rsid w:val="003210C4"/>
    <w:rsid w:val="00365FFE"/>
    <w:rsid w:val="003A385A"/>
    <w:rsid w:val="003B6F40"/>
    <w:rsid w:val="003B708E"/>
    <w:rsid w:val="003C2C19"/>
    <w:rsid w:val="003D0CE1"/>
    <w:rsid w:val="003E6B91"/>
    <w:rsid w:val="00442520"/>
    <w:rsid w:val="00485CD2"/>
    <w:rsid w:val="00497BA7"/>
    <w:rsid w:val="004C11F0"/>
    <w:rsid w:val="004D1679"/>
    <w:rsid w:val="004E1CF9"/>
    <w:rsid w:val="004E28F4"/>
    <w:rsid w:val="004E5D57"/>
    <w:rsid w:val="00512B07"/>
    <w:rsid w:val="00514FCC"/>
    <w:rsid w:val="0055366A"/>
    <w:rsid w:val="00591FE4"/>
    <w:rsid w:val="005C5E65"/>
    <w:rsid w:val="005F7E28"/>
    <w:rsid w:val="00612204"/>
    <w:rsid w:val="006131FF"/>
    <w:rsid w:val="00623281"/>
    <w:rsid w:val="006524F5"/>
    <w:rsid w:val="006570AD"/>
    <w:rsid w:val="006A26D7"/>
    <w:rsid w:val="00703C7E"/>
    <w:rsid w:val="00776548"/>
    <w:rsid w:val="007903F5"/>
    <w:rsid w:val="007B645F"/>
    <w:rsid w:val="007C00D8"/>
    <w:rsid w:val="0080631F"/>
    <w:rsid w:val="00817B8E"/>
    <w:rsid w:val="00823654"/>
    <w:rsid w:val="0082735C"/>
    <w:rsid w:val="00836DB6"/>
    <w:rsid w:val="00864FED"/>
    <w:rsid w:val="008C04EB"/>
    <w:rsid w:val="008E32AF"/>
    <w:rsid w:val="0090066D"/>
    <w:rsid w:val="00911C60"/>
    <w:rsid w:val="009120DA"/>
    <w:rsid w:val="00913CF2"/>
    <w:rsid w:val="00917FEB"/>
    <w:rsid w:val="009565B6"/>
    <w:rsid w:val="00996B0A"/>
    <w:rsid w:val="009B6230"/>
    <w:rsid w:val="009E35EA"/>
    <w:rsid w:val="00A03545"/>
    <w:rsid w:val="00A36B6F"/>
    <w:rsid w:val="00A40273"/>
    <w:rsid w:val="00A50024"/>
    <w:rsid w:val="00A80B4F"/>
    <w:rsid w:val="00A850CC"/>
    <w:rsid w:val="00AA1CFE"/>
    <w:rsid w:val="00AB6EBD"/>
    <w:rsid w:val="00AD5474"/>
    <w:rsid w:val="00AF08AD"/>
    <w:rsid w:val="00B26868"/>
    <w:rsid w:val="00C019A2"/>
    <w:rsid w:val="00C2084E"/>
    <w:rsid w:val="00C22A9A"/>
    <w:rsid w:val="00C66FB1"/>
    <w:rsid w:val="00C8728B"/>
    <w:rsid w:val="00CD3BC6"/>
    <w:rsid w:val="00CF4912"/>
    <w:rsid w:val="00DA4C31"/>
    <w:rsid w:val="00E133EF"/>
    <w:rsid w:val="00E4395E"/>
    <w:rsid w:val="00E66059"/>
    <w:rsid w:val="00F45D9C"/>
    <w:rsid w:val="00FD56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6648F"/>
  <w15:docId w15:val="{EE9F4014-1713-4C79-BEB8-F1C1DE98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jc w:val="center"/>
      <w:outlineLvl w:val="0"/>
    </w:pPr>
    <w:rPr>
      <w:b/>
      <w:bCs/>
      <w:sz w:val="32"/>
      <w:szCs w:val="32"/>
    </w:rPr>
  </w:style>
  <w:style w:type="paragraph" w:styleId="Nagwek2">
    <w:name w:val="heading 2"/>
    <w:basedOn w:val="Normalny"/>
    <w:uiPriority w:val="1"/>
    <w:qFormat/>
    <w:pPr>
      <w:spacing w:before="240"/>
      <w:ind w:left="732"/>
      <w:outlineLvl w:val="1"/>
    </w:pPr>
    <w:rPr>
      <w:b/>
      <w:bCs/>
      <w:sz w:val="28"/>
      <w:szCs w:val="28"/>
    </w:rPr>
  </w:style>
  <w:style w:type="paragraph" w:styleId="Nagwek3">
    <w:name w:val="heading 3"/>
    <w:basedOn w:val="Normalny"/>
    <w:uiPriority w:val="1"/>
    <w:qFormat/>
    <w:pPr>
      <w:spacing w:before="244"/>
      <w:ind w:left="732"/>
      <w:outlineLvl w:val="2"/>
    </w:pPr>
    <w:rPr>
      <w:rFonts w:ascii="Arial" w:eastAsia="Arial" w:hAnsi="Arial" w:cs="Arial"/>
      <w:b/>
      <w:bCs/>
      <w:i/>
      <w:iCs/>
      <w:sz w:val="28"/>
      <w:szCs w:val="28"/>
    </w:rPr>
  </w:style>
  <w:style w:type="paragraph" w:styleId="Nagwek4">
    <w:name w:val="heading 4"/>
    <w:basedOn w:val="Normalny"/>
    <w:uiPriority w:val="1"/>
    <w:qFormat/>
    <w:pPr>
      <w:spacing w:before="240"/>
      <w:jc w:val="cente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0"/>
      <w:ind w:left="1583" w:right="729" w:hanging="284"/>
      <w:jc w:val="both"/>
    </w:pPr>
  </w:style>
  <w:style w:type="paragraph" w:styleId="Akapitzlist">
    <w:name w:val="List Paragraph"/>
    <w:basedOn w:val="Normalny"/>
    <w:uiPriority w:val="1"/>
    <w:qFormat/>
    <w:pPr>
      <w:spacing w:before="60"/>
      <w:ind w:left="1583" w:hanging="284"/>
    </w:pPr>
  </w:style>
  <w:style w:type="paragraph" w:customStyle="1" w:styleId="TableParagraph">
    <w:name w:val="Table Paragraph"/>
    <w:basedOn w:val="Normalny"/>
    <w:uiPriority w:val="1"/>
    <w:qFormat/>
  </w:style>
  <w:style w:type="paragraph" w:styleId="Poprawka">
    <w:name w:val="Revision"/>
    <w:hidden/>
    <w:uiPriority w:val="99"/>
    <w:semiHidden/>
    <w:rsid w:val="001410B8"/>
    <w:pPr>
      <w:widowControl/>
      <w:autoSpaceDE/>
      <w:autoSpaceDN/>
    </w:pPr>
    <w:rPr>
      <w:rFonts w:ascii="Calibri" w:eastAsia="Calibri" w:hAnsi="Calibri" w:cs="Calibri"/>
    </w:rPr>
  </w:style>
  <w:style w:type="character" w:styleId="Odwoaniedokomentarza">
    <w:name w:val="annotation reference"/>
    <w:basedOn w:val="Domylnaczcionkaakapitu"/>
    <w:uiPriority w:val="99"/>
    <w:semiHidden/>
    <w:unhideWhenUsed/>
    <w:rsid w:val="000B4D1A"/>
    <w:rPr>
      <w:sz w:val="16"/>
      <w:szCs w:val="16"/>
    </w:rPr>
  </w:style>
  <w:style w:type="paragraph" w:styleId="Tekstkomentarza">
    <w:name w:val="annotation text"/>
    <w:basedOn w:val="Normalny"/>
    <w:link w:val="TekstkomentarzaZnak"/>
    <w:uiPriority w:val="99"/>
    <w:unhideWhenUsed/>
    <w:rsid w:val="000B4D1A"/>
    <w:rPr>
      <w:sz w:val="20"/>
      <w:szCs w:val="20"/>
    </w:rPr>
  </w:style>
  <w:style w:type="character" w:customStyle="1" w:styleId="TekstkomentarzaZnak">
    <w:name w:val="Tekst komentarza Znak"/>
    <w:basedOn w:val="Domylnaczcionkaakapitu"/>
    <w:link w:val="Tekstkomentarza"/>
    <w:uiPriority w:val="99"/>
    <w:rsid w:val="000B4D1A"/>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0B4D1A"/>
    <w:rPr>
      <w:b/>
      <w:bCs/>
    </w:rPr>
  </w:style>
  <w:style w:type="character" w:customStyle="1" w:styleId="TematkomentarzaZnak">
    <w:name w:val="Temat komentarza Znak"/>
    <w:basedOn w:val="TekstkomentarzaZnak"/>
    <w:link w:val="Tematkomentarza"/>
    <w:uiPriority w:val="99"/>
    <w:semiHidden/>
    <w:rsid w:val="000B4D1A"/>
    <w:rPr>
      <w:rFonts w:ascii="Calibri" w:eastAsia="Calibri" w:hAnsi="Calibri" w:cs="Calibri"/>
      <w:b/>
      <w:bCs/>
      <w:sz w:val="20"/>
      <w:szCs w:val="20"/>
    </w:rPr>
  </w:style>
  <w:style w:type="character" w:styleId="Hipercze">
    <w:name w:val="Hyperlink"/>
    <w:basedOn w:val="Domylnaczcionkaakapitu"/>
    <w:uiPriority w:val="99"/>
    <w:unhideWhenUsed/>
    <w:rsid w:val="00A850CC"/>
    <w:rPr>
      <w:color w:val="0000FF" w:themeColor="hyperlink"/>
      <w:u w:val="single"/>
    </w:rPr>
  </w:style>
  <w:style w:type="character" w:styleId="Nierozpoznanawzmianka">
    <w:name w:val="Unresolved Mention"/>
    <w:basedOn w:val="Domylnaczcionkaakapitu"/>
    <w:uiPriority w:val="99"/>
    <w:semiHidden/>
    <w:unhideWhenUsed/>
    <w:rsid w:val="00A850CC"/>
    <w:rPr>
      <w:color w:val="605E5C"/>
      <w:shd w:val="clear" w:color="auto" w:fill="E1DFDD"/>
    </w:rPr>
  </w:style>
  <w:style w:type="character" w:styleId="UyteHipercze">
    <w:name w:val="FollowedHyperlink"/>
    <w:basedOn w:val="Domylnaczcionkaakapitu"/>
    <w:uiPriority w:val="99"/>
    <w:semiHidden/>
    <w:unhideWhenUsed/>
    <w:rsid w:val="00A850CC"/>
    <w:rPr>
      <w:color w:val="800080" w:themeColor="followedHyperlink"/>
      <w:u w:val="single"/>
    </w:rPr>
  </w:style>
  <w:style w:type="paragraph" w:styleId="Bezodstpw">
    <w:name w:val="No Spacing"/>
    <w:uiPriority w:val="1"/>
    <w:qFormat/>
    <w:rsid w:val="002F44AF"/>
    <w:rPr>
      <w:rFonts w:ascii="Calibri" w:eastAsia="Calibri" w:hAnsi="Calibri" w:cs="Calibri"/>
    </w:rPr>
  </w:style>
  <w:style w:type="paragraph" w:styleId="Nagwek">
    <w:name w:val="header"/>
    <w:basedOn w:val="Normalny"/>
    <w:link w:val="NagwekZnak"/>
    <w:uiPriority w:val="99"/>
    <w:unhideWhenUsed/>
    <w:rsid w:val="00996B0A"/>
    <w:pPr>
      <w:tabs>
        <w:tab w:val="center" w:pos="4536"/>
        <w:tab w:val="right" w:pos="9072"/>
      </w:tabs>
    </w:pPr>
  </w:style>
  <w:style w:type="character" w:customStyle="1" w:styleId="NagwekZnak">
    <w:name w:val="Nagłówek Znak"/>
    <w:basedOn w:val="Domylnaczcionkaakapitu"/>
    <w:link w:val="Nagwek"/>
    <w:uiPriority w:val="99"/>
    <w:rsid w:val="00996B0A"/>
    <w:rPr>
      <w:rFonts w:ascii="Calibri" w:eastAsia="Calibri" w:hAnsi="Calibri" w:cs="Calibri"/>
    </w:rPr>
  </w:style>
  <w:style w:type="paragraph" w:styleId="Stopka">
    <w:name w:val="footer"/>
    <w:basedOn w:val="Normalny"/>
    <w:link w:val="StopkaZnak"/>
    <w:uiPriority w:val="99"/>
    <w:unhideWhenUsed/>
    <w:rsid w:val="00996B0A"/>
    <w:pPr>
      <w:tabs>
        <w:tab w:val="center" w:pos="4536"/>
        <w:tab w:val="right" w:pos="9072"/>
      </w:tabs>
    </w:pPr>
  </w:style>
  <w:style w:type="character" w:customStyle="1" w:styleId="StopkaZnak">
    <w:name w:val="Stopka Znak"/>
    <w:basedOn w:val="Domylnaczcionkaakapitu"/>
    <w:link w:val="Stopka"/>
    <w:uiPriority w:val="99"/>
    <w:rsid w:val="00996B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206513" TargetMode="External"/><Relationship Id="rId21" Type="http://schemas.openxmlformats.org/officeDocument/2006/relationships/hyperlink" Target="https://hudoc.echr.coe.int/eng?i=001-221552" TargetMode="External"/><Relationship Id="rId42" Type="http://schemas.openxmlformats.org/officeDocument/2006/relationships/hyperlink" Target="http://hudoc.echr.coe.int/eng?i=001-170839" TargetMode="External"/><Relationship Id="rId63" Type="http://schemas.openxmlformats.org/officeDocument/2006/relationships/hyperlink" Target="https://hudoc.echr.coe.int/eng?i=001-202318" TargetMode="External"/><Relationship Id="rId84" Type="http://schemas.openxmlformats.org/officeDocument/2006/relationships/hyperlink" Target="http://hudoc.echr.coe.int/eng?i=001-58045" TargetMode="External"/><Relationship Id="rId16" Type="http://schemas.openxmlformats.org/officeDocument/2006/relationships/hyperlink" Target="http://hudoc.echr.coe.int/eng?i=001-84061" TargetMode="External"/><Relationship Id="rId107" Type="http://schemas.openxmlformats.org/officeDocument/2006/relationships/hyperlink" Target="http://hudoc.echr.coe.int/eng?i=001-170839" TargetMode="External"/><Relationship Id="rId11" Type="http://schemas.openxmlformats.org/officeDocument/2006/relationships/hyperlink" Target="https://hudoc.echr.coe.int/eng?i=001-207540" TargetMode="External"/><Relationship Id="rId32" Type="http://schemas.openxmlformats.org/officeDocument/2006/relationships/hyperlink" Target="http://hudoc.echr.coe.int/eng?i=001-57838" TargetMode="External"/><Relationship Id="rId37" Type="http://schemas.openxmlformats.org/officeDocument/2006/relationships/hyperlink" Target="http://hudoc.echr.coe.int/eng?i=001-225331" TargetMode="External"/><Relationship Id="rId53" Type="http://schemas.openxmlformats.org/officeDocument/2006/relationships/hyperlink" Target="https://hudoc.echr.coe.int/eng?i=001-217418" TargetMode="External"/><Relationship Id="rId58" Type="http://schemas.openxmlformats.org/officeDocument/2006/relationships/hyperlink" Target="https://hudoc.echr.coe.int/eng?i=001-231233" TargetMode="External"/><Relationship Id="rId74" Type="http://schemas.openxmlformats.org/officeDocument/2006/relationships/hyperlink" Target="https://www.venice.coe.int/WebForms/pages/?p=01_Constitutional_Justice&amp;lang=EN" TargetMode="External"/><Relationship Id="rId79" Type="http://schemas.openxmlformats.org/officeDocument/2006/relationships/hyperlink" Target="http://hudoc.echr.coe.int/eng?i=001-69426" TargetMode="External"/><Relationship Id="rId102" Type="http://schemas.openxmlformats.org/officeDocument/2006/relationships/hyperlink" Target="http://hudoc.echr.coe.int/eng?i=001-102617" TargetMode="External"/><Relationship Id="rId123" Type="http://schemas.openxmlformats.org/officeDocument/2006/relationships/hyperlink" Target="https://hudoc.echr.coe.int/eng?i=001-219562" TargetMode="External"/><Relationship Id="rId128" Type="http://schemas.openxmlformats.org/officeDocument/2006/relationships/hyperlink" Target="https://hudoc.echr.coe.int/eng?i=001-222867" TargetMode="External"/><Relationship Id="rId5" Type="http://schemas.openxmlformats.org/officeDocument/2006/relationships/webSettings" Target="webSettings.xml"/><Relationship Id="rId90" Type="http://schemas.openxmlformats.org/officeDocument/2006/relationships/hyperlink" Target="http://hudoc.echr.coe.int/eng?i=001-61731" TargetMode="External"/><Relationship Id="rId95" Type="http://schemas.openxmlformats.org/officeDocument/2006/relationships/hyperlink" Target="https://hudoc.echr.coe.int/eng?i=001-76457" TargetMode="External"/><Relationship Id="rId22" Type="http://schemas.openxmlformats.org/officeDocument/2006/relationships/hyperlink" Target="https://hudoc.echr.coe.int/eng?i=001-202318" TargetMode="External"/><Relationship Id="rId27" Type="http://schemas.openxmlformats.org/officeDocument/2006/relationships/image" Target="media/image2.jpeg"/><Relationship Id="rId43" Type="http://schemas.openxmlformats.org/officeDocument/2006/relationships/hyperlink" Target="http://hudoc.echr.coe.int/eng?i=001-57838" TargetMode="External"/><Relationship Id="rId48" Type="http://schemas.openxmlformats.org/officeDocument/2006/relationships/hyperlink" Target="https://hudoc.echr.coe.int/eng?i=001-95011" TargetMode="External"/><Relationship Id="rId64" Type="http://schemas.openxmlformats.org/officeDocument/2006/relationships/hyperlink" Target="http://hudoc.echr.coe.int/eng?i=001-203484" TargetMode="External"/><Relationship Id="rId69" Type="http://schemas.openxmlformats.org/officeDocument/2006/relationships/hyperlink" Target="http://hudoc.echr.coe.int/eng?i=001-5496" TargetMode="External"/><Relationship Id="rId113" Type="http://schemas.openxmlformats.org/officeDocument/2006/relationships/hyperlink" Target="http://hudoc.echr.coe.int/eng?i=001-198755" TargetMode="External"/><Relationship Id="rId118" Type="http://schemas.openxmlformats.org/officeDocument/2006/relationships/hyperlink" Target="http://hudoc.echr.coe.int/eng?i=001-212692" TargetMode="External"/><Relationship Id="rId134" Type="http://schemas.openxmlformats.org/officeDocument/2006/relationships/theme" Target="theme/theme1.xml"/><Relationship Id="rId80" Type="http://schemas.openxmlformats.org/officeDocument/2006/relationships/hyperlink" Target="https://hudoc.echr.coe.int/eng?i=001-207540" TargetMode="External"/><Relationship Id="rId85" Type="http://schemas.openxmlformats.org/officeDocument/2006/relationships/hyperlink" Target="http://hudoc.echr.coe.int/eng?i=001-5496" TargetMode="External"/><Relationship Id="rId12" Type="http://schemas.openxmlformats.org/officeDocument/2006/relationships/hyperlink" Target="http://hudoc.echr.coe.int/eng?i=001-210065" TargetMode="External"/><Relationship Id="rId17" Type="http://schemas.openxmlformats.org/officeDocument/2006/relationships/hyperlink" Target="http://hudoc.echr.coe.int/eng?i=001-59590" TargetMode="External"/><Relationship Id="rId33" Type="http://schemas.openxmlformats.org/officeDocument/2006/relationships/hyperlink" Target="http://hudoc.echr.coe.int/eng?i=001-61731" TargetMode="External"/><Relationship Id="rId38" Type="http://schemas.openxmlformats.org/officeDocument/2006/relationships/hyperlink" Target="http://hudoc.echr.coe.int/eng?i=001-22710" TargetMode="External"/><Relationship Id="rId59" Type="http://schemas.openxmlformats.org/officeDocument/2006/relationships/hyperlink" Target="https://hudoc.echr.coe.int/eng?i=001-229606" TargetMode="External"/><Relationship Id="rId103" Type="http://schemas.openxmlformats.org/officeDocument/2006/relationships/hyperlink" Target="http://hudoc.echr.coe.int/eng?i=001-102811" TargetMode="External"/><Relationship Id="rId108" Type="http://schemas.openxmlformats.org/officeDocument/2006/relationships/hyperlink" Target="http://hudoc.echr.coe.int/eng?i=001-180375" TargetMode="External"/><Relationship Id="rId124" Type="http://schemas.openxmlformats.org/officeDocument/2006/relationships/hyperlink" Target="https://hudoc.echr.coe.int/eng?i=001-221369" TargetMode="External"/><Relationship Id="rId129" Type="http://schemas.openxmlformats.org/officeDocument/2006/relationships/hyperlink" Target="http://hudoc.echr.coe.int/eng?i=001-224794" TargetMode="External"/><Relationship Id="rId54" Type="http://schemas.openxmlformats.org/officeDocument/2006/relationships/hyperlink" Target="https://hudoc.echr.coe.int/eng?i=001-221369" TargetMode="External"/><Relationship Id="rId70" Type="http://schemas.openxmlformats.org/officeDocument/2006/relationships/hyperlink" Target="http://hudoc.echr.coe.int/eng?i=001-97689" TargetMode="External"/><Relationship Id="rId75" Type="http://schemas.openxmlformats.org/officeDocument/2006/relationships/hyperlink" Target="https://www.venice.coe.int/WebForms/pages/?p=01_Constitutional_Justice&amp;lang=EN" TargetMode="External"/><Relationship Id="rId91" Type="http://schemas.openxmlformats.org/officeDocument/2006/relationships/hyperlink" Target="http://hudoc.echr.coe.int/eng?i=001-68660" TargetMode="External"/><Relationship Id="rId96" Type="http://schemas.openxmlformats.org/officeDocument/2006/relationships/hyperlink" Target="http://hudoc.echr.coe.int/eng?i=001-7937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udoc.echr.coe.int/eng?i=001-202318" TargetMode="External"/><Relationship Id="rId28" Type="http://schemas.openxmlformats.org/officeDocument/2006/relationships/hyperlink" Target="https://hudoc.echr.coe.int/eng?i=001-202318" TargetMode="External"/><Relationship Id="rId49" Type="http://schemas.openxmlformats.org/officeDocument/2006/relationships/hyperlink" Target="http://hudoc.echr.coe.int/eng?i=001-151029" TargetMode="External"/><Relationship Id="rId114" Type="http://schemas.openxmlformats.org/officeDocument/2006/relationships/hyperlink" Target="https://hudoc.echr.coe.int/eng?i=001-202318" TargetMode="External"/><Relationship Id="rId119" Type="http://schemas.openxmlformats.org/officeDocument/2006/relationships/hyperlink" Target="https://hudoc.echr.coe.int/eng?i=001-217418" TargetMode="External"/><Relationship Id="rId44" Type="http://schemas.openxmlformats.org/officeDocument/2006/relationships/hyperlink" Target="http://hudoc.echr.coe.int/eng?i=001-57999" TargetMode="External"/><Relationship Id="rId60" Type="http://schemas.openxmlformats.org/officeDocument/2006/relationships/hyperlink" Target="http://hudoc.echr.coe.int/eng?i=001-69095" TargetMode="External"/><Relationship Id="rId65" Type="http://schemas.openxmlformats.org/officeDocument/2006/relationships/hyperlink" Target="http://hudoc.echr.coe.int/eng?i=001-206513" TargetMode="External"/><Relationship Id="rId81" Type="http://schemas.openxmlformats.org/officeDocument/2006/relationships/hyperlink" Target="http://hudoc.echr.coe.int/eng?i=001-210065" TargetMode="External"/><Relationship Id="rId86" Type="http://schemas.openxmlformats.org/officeDocument/2006/relationships/hyperlink" Target="http://hudoc.echr.coe.int/eng?i=001-59590" TargetMode="External"/><Relationship Id="rId130" Type="http://schemas.openxmlformats.org/officeDocument/2006/relationships/hyperlink" Target="http://hudoc.echr.coe.int/eng?i=001-225331" TargetMode="External"/><Relationship Id="rId13" Type="http://schemas.openxmlformats.org/officeDocument/2006/relationships/hyperlink" Target="http://hudoc.echr.coe.int/eng?i=001-210065" TargetMode="External"/><Relationship Id="rId18" Type="http://schemas.openxmlformats.org/officeDocument/2006/relationships/hyperlink" Target="http://hudoc.echr.coe.int/eng?i=001-57847" TargetMode="External"/><Relationship Id="rId39" Type="http://schemas.openxmlformats.org/officeDocument/2006/relationships/header" Target="header1.xml"/><Relationship Id="rId109" Type="http://schemas.openxmlformats.org/officeDocument/2006/relationships/hyperlink" Target="http://hudoc.echr.coe.int/eng?i=001-187419" TargetMode="External"/><Relationship Id="rId34" Type="http://schemas.openxmlformats.org/officeDocument/2006/relationships/hyperlink" Target="http://hudoc.echr.coe.int/eng?i=001-210065" TargetMode="External"/><Relationship Id="rId50" Type="http://schemas.openxmlformats.org/officeDocument/2006/relationships/hyperlink" Target="https://hudoc.echr.coe.int/eng?i=001-202318" TargetMode="External"/><Relationship Id="rId55" Type="http://schemas.openxmlformats.org/officeDocument/2006/relationships/hyperlink" Target="https://hudoc.echr.coe.int/eng?i=001-221552" TargetMode="External"/><Relationship Id="rId76" Type="http://schemas.openxmlformats.org/officeDocument/2006/relationships/hyperlink" Target="http://hudoc.echr.coe.int/eng?i=001-57838" TargetMode="External"/><Relationship Id="rId97" Type="http://schemas.openxmlformats.org/officeDocument/2006/relationships/hyperlink" Target="http://hudoc.echr.coe.int/eng?i=001-84061" TargetMode="External"/><Relationship Id="rId104" Type="http://schemas.openxmlformats.org/officeDocument/2006/relationships/hyperlink" Target="http://hudoc.echr.coe.int/eng?i=001-105219" TargetMode="External"/><Relationship Id="rId120" Type="http://schemas.openxmlformats.org/officeDocument/2006/relationships/hyperlink" Target="https://hudoc.echr.coe.int/eng?i=001-218430" TargetMode="External"/><Relationship Id="rId125" Type="http://schemas.openxmlformats.org/officeDocument/2006/relationships/hyperlink" Target="https://hudoc.echr.coe.int/eng?i=001-221552" TargetMode="External"/><Relationship Id="rId7" Type="http://schemas.openxmlformats.org/officeDocument/2006/relationships/endnotes" Target="endnotes.xml"/><Relationship Id="rId71" Type="http://schemas.openxmlformats.org/officeDocument/2006/relationships/hyperlink" Target="http://hudoc.echr.coe.int/eng?i=001-206159" TargetMode="External"/><Relationship Id="rId92" Type="http://schemas.openxmlformats.org/officeDocument/2006/relationships/hyperlink" Target="http://hudoc.echr.coe.int/eng?i=001-69095" TargetMode="External"/><Relationship Id="rId2" Type="http://schemas.openxmlformats.org/officeDocument/2006/relationships/numbering" Target="numbering.xml"/><Relationship Id="rId29" Type="http://schemas.openxmlformats.org/officeDocument/2006/relationships/hyperlink" Target="https://hudoc.echr.coe.int/eng?i=001-207540" TargetMode="External"/><Relationship Id="rId24" Type="http://schemas.openxmlformats.org/officeDocument/2006/relationships/hyperlink" Target="https://hudoc.echr.coe.int/eng?i=001-207540" TargetMode="External"/><Relationship Id="rId40" Type="http://schemas.openxmlformats.org/officeDocument/2006/relationships/footer" Target="footer1.xml"/><Relationship Id="rId45" Type="http://schemas.openxmlformats.org/officeDocument/2006/relationships/hyperlink" Target="https://hudoc.echr.coe.int/eng?i=001-218430" TargetMode="External"/><Relationship Id="rId66" Type="http://schemas.openxmlformats.org/officeDocument/2006/relationships/hyperlink" Target="http://hudoc.echr.coe.int/eng?i=001-210065" TargetMode="External"/><Relationship Id="rId87" Type="http://schemas.openxmlformats.org/officeDocument/2006/relationships/hyperlink" Target="http://hudoc.echr.coe.int/eng?i=001-22710" TargetMode="External"/><Relationship Id="rId110" Type="http://schemas.openxmlformats.org/officeDocument/2006/relationships/hyperlink" Target="http://hudoc.echr.coe.int/eng?i=001-193592" TargetMode="External"/><Relationship Id="rId115" Type="http://schemas.openxmlformats.org/officeDocument/2006/relationships/hyperlink" Target="http://hudoc.echr.coe.int/eng?i=001-203484" TargetMode="External"/><Relationship Id="rId131" Type="http://schemas.openxmlformats.org/officeDocument/2006/relationships/hyperlink" Target="https://hudoc.echr.coe.int/eng?i=001-229606" TargetMode="External"/><Relationship Id="rId61" Type="http://schemas.openxmlformats.org/officeDocument/2006/relationships/hyperlink" Target="http://hudoc.echr.coe.int/eng?i=001-79375" TargetMode="External"/><Relationship Id="rId82" Type="http://schemas.openxmlformats.org/officeDocument/2006/relationships/hyperlink" Target="http://hudoc.echr.coe.int/eng?i=001-57468" TargetMode="External"/><Relationship Id="rId19" Type="http://schemas.openxmlformats.org/officeDocument/2006/relationships/hyperlink" Target="https://hudoc.echr.coe.int/eng?i=001-150768" TargetMode="External"/><Relationship Id="rId14" Type="http://schemas.openxmlformats.org/officeDocument/2006/relationships/hyperlink" Target="https://hudoc.echr.coe.int/eng?i=001-219562" TargetMode="External"/><Relationship Id="rId30" Type="http://schemas.openxmlformats.org/officeDocument/2006/relationships/hyperlink" Target="http://hudoc.echr.coe.int/eng?i=001-69726" TargetMode="External"/><Relationship Id="rId35" Type="http://schemas.openxmlformats.org/officeDocument/2006/relationships/hyperlink" Target="https://hudoc.echr.coe.int/eng?i=001-222867" TargetMode="External"/><Relationship Id="rId56" Type="http://schemas.openxmlformats.org/officeDocument/2006/relationships/hyperlink" Target="http://hudoc.echr.coe.int/eng?i=001-224794" TargetMode="External"/><Relationship Id="rId77" Type="http://schemas.openxmlformats.org/officeDocument/2006/relationships/hyperlink" Target="http://hudoc.echr.coe.int/eng?i=001-57999" TargetMode="External"/><Relationship Id="rId100" Type="http://schemas.openxmlformats.org/officeDocument/2006/relationships/hyperlink" Target="https://hudoc.echr.coe.int/eng?i=001-95011" TargetMode="External"/><Relationship Id="rId105" Type="http://schemas.openxmlformats.org/officeDocument/2006/relationships/hyperlink" Target="http://hudoc.echr.coe.int/eng?i=001-151029" TargetMode="External"/><Relationship Id="rId126" Type="http://schemas.openxmlformats.org/officeDocument/2006/relationships/hyperlink" Target="https://hudoc.echr.coe.int/eng?i=001-222138" TargetMode="External"/><Relationship Id="rId8" Type="http://schemas.openxmlformats.org/officeDocument/2006/relationships/image" Target="media/image1.jpeg"/><Relationship Id="rId51" Type="http://schemas.openxmlformats.org/officeDocument/2006/relationships/hyperlink" Target="http://hudoc.echr.coe.int/eng?i=001-181821" TargetMode="External"/><Relationship Id="rId72" Type="http://schemas.openxmlformats.org/officeDocument/2006/relationships/hyperlink" Target="https://hudoc.echr.coe.int/eng?i=001-215942" TargetMode="External"/><Relationship Id="rId93" Type="http://schemas.openxmlformats.org/officeDocument/2006/relationships/hyperlink" Target="http://hudoc.echr.coe.int/eng?i=001-69726" TargetMode="External"/><Relationship Id="rId98" Type="http://schemas.openxmlformats.org/officeDocument/2006/relationships/hyperlink" Target="http://hudoc.echr.coe.int/eng?i=001-91144" TargetMode="External"/><Relationship Id="rId121" Type="http://schemas.openxmlformats.org/officeDocument/2006/relationships/hyperlink" Target="https://hudoc.echr.coe.int/eng?i=001-215942" TargetMode="External"/><Relationship Id="rId3" Type="http://schemas.openxmlformats.org/officeDocument/2006/relationships/styles" Target="styles.xml"/><Relationship Id="rId25" Type="http://schemas.openxmlformats.org/officeDocument/2006/relationships/hyperlink" Target="https://hudoc.echr.coe.int/eng?i=001-207540" TargetMode="External"/><Relationship Id="rId46" Type="http://schemas.openxmlformats.org/officeDocument/2006/relationships/hyperlink" Target="https://hudoc.echr.coe.int/eng?i=001-220276" TargetMode="External"/><Relationship Id="rId67" Type="http://schemas.openxmlformats.org/officeDocument/2006/relationships/hyperlink" Target="http://hudoc.echr.coe.int/eng?i=001-206582" TargetMode="External"/><Relationship Id="rId116" Type="http://schemas.openxmlformats.org/officeDocument/2006/relationships/hyperlink" Target="http://hudoc.echr.coe.int/eng?i=001-206159" TargetMode="External"/><Relationship Id="rId20" Type="http://schemas.openxmlformats.org/officeDocument/2006/relationships/hyperlink" Target="https://hudoc.echr.coe.int/eng?i=001-219562" TargetMode="External"/><Relationship Id="rId41" Type="http://schemas.openxmlformats.org/officeDocument/2006/relationships/hyperlink" Target="http://hudoc.echr.coe.int/eng?i=001-170839" TargetMode="External"/><Relationship Id="rId62" Type="http://schemas.openxmlformats.org/officeDocument/2006/relationships/hyperlink" Target="http://hudoc.echr.coe.int/eng?i=001-105219" TargetMode="External"/><Relationship Id="rId83" Type="http://schemas.openxmlformats.org/officeDocument/2006/relationships/hyperlink" Target="http://hudoc.echr.coe.int/eng?i=001-57847" TargetMode="External"/><Relationship Id="rId88" Type="http://schemas.openxmlformats.org/officeDocument/2006/relationships/hyperlink" Target="http://hudoc.echr.coe.int/eng?i=001-60963" TargetMode="External"/><Relationship Id="rId111" Type="http://schemas.openxmlformats.org/officeDocument/2006/relationships/hyperlink" Target="http://hudoc.echr.coe.int/eng?i=001-196419" TargetMode="External"/><Relationship Id="rId132" Type="http://schemas.openxmlformats.org/officeDocument/2006/relationships/hyperlink" Target="https://hudoc.echr.coe.int/eng?i=001-231233" TargetMode="External"/><Relationship Id="rId15" Type="http://schemas.openxmlformats.org/officeDocument/2006/relationships/hyperlink" Target="http://hudoc.echr.coe.int/eng?i=001-225331" TargetMode="External"/><Relationship Id="rId36" Type="http://schemas.openxmlformats.org/officeDocument/2006/relationships/hyperlink" Target="http://hudoc.echr.coe.int/eng?i=001-225331" TargetMode="External"/><Relationship Id="rId57" Type="http://schemas.openxmlformats.org/officeDocument/2006/relationships/hyperlink" Target="http://hudoc.echr.coe.int/eng?i=001-225331" TargetMode="External"/><Relationship Id="rId106" Type="http://schemas.openxmlformats.org/officeDocument/2006/relationships/hyperlink" Target="http://hudoc.echr.coe.int/eng?i=001-150768" TargetMode="External"/><Relationship Id="rId127" Type="http://schemas.openxmlformats.org/officeDocument/2006/relationships/hyperlink" Target="https://hudoc.echr.coe.int/eng?i=001-222790" TargetMode="External"/><Relationship Id="rId10" Type="http://schemas.openxmlformats.org/officeDocument/2006/relationships/hyperlink" Target="https://hudoc.echr.coe.int/eng?i=001-61564" TargetMode="External"/><Relationship Id="rId31" Type="http://schemas.openxmlformats.org/officeDocument/2006/relationships/hyperlink" Target="https://hudoc.echr.coe.int/eng?i=001-222790" TargetMode="External"/><Relationship Id="rId52" Type="http://schemas.openxmlformats.org/officeDocument/2006/relationships/hyperlink" Target="https://hudoc.echr.coe.int/eng?i=001-207540" TargetMode="External"/><Relationship Id="rId73" Type="http://schemas.openxmlformats.org/officeDocument/2006/relationships/hyperlink" Target="https://hudoc.echr.coe.int/eng?i=001-220276" TargetMode="External"/><Relationship Id="rId78" Type="http://schemas.openxmlformats.org/officeDocument/2006/relationships/hyperlink" Target="http://hudoc.echr.coe.int/eng?i=001-58105" TargetMode="External"/><Relationship Id="rId94" Type="http://schemas.openxmlformats.org/officeDocument/2006/relationships/hyperlink" Target="http://hudoc.echr.coe.int/eng?i=001-76776" TargetMode="External"/><Relationship Id="rId99" Type="http://schemas.openxmlformats.org/officeDocument/2006/relationships/hyperlink" Target="http://hudoc.echr.coe.int/eng?i=001-93658" TargetMode="External"/><Relationship Id="rId101" Type="http://schemas.openxmlformats.org/officeDocument/2006/relationships/hyperlink" Target="http://hudoc.echr.coe.int/eng?i=001-97689" TargetMode="External"/><Relationship Id="rId122" Type="http://schemas.openxmlformats.org/officeDocument/2006/relationships/hyperlink" Target="https://hudoc.echr.coe.int/eng?i=001-220276" TargetMode="External"/><Relationship Id="rId4" Type="http://schemas.openxmlformats.org/officeDocument/2006/relationships/settings" Target="settings.xml"/><Relationship Id="rId9" Type="http://schemas.openxmlformats.org/officeDocument/2006/relationships/hyperlink" Target="http://hudoc.echr.coe.int/eng?i=001-58105" TargetMode="External"/><Relationship Id="rId26" Type="http://schemas.openxmlformats.org/officeDocument/2006/relationships/hyperlink" Target="https://hudoc.echr.coe.int/eng?i=001-221369" TargetMode="External"/><Relationship Id="rId47" Type="http://schemas.openxmlformats.org/officeDocument/2006/relationships/hyperlink" Target="http://hudoc.echr.coe.int/eng?i=001-97689" TargetMode="External"/><Relationship Id="rId68" Type="http://schemas.openxmlformats.org/officeDocument/2006/relationships/hyperlink" Target="http://hudoc.echr.coe.int/eng?i=001-68660" TargetMode="External"/><Relationship Id="rId89" Type="http://schemas.openxmlformats.org/officeDocument/2006/relationships/hyperlink" Target="https://hudoc.echr.coe.int/eng?i=001-61564" TargetMode="External"/><Relationship Id="rId112" Type="http://schemas.openxmlformats.org/officeDocument/2006/relationships/hyperlink" Target="http://hudoc.echr.coe.int/eng?i=001-196607"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7FFAD-C05D-4206-99DC-1E9CC11A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4080</Words>
  <Characters>24482</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Constitutional Court proceedings</vt:lpstr>
    </vt:vector>
  </TitlesOfParts>
  <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Court proceedings</dc:title>
  <dc:subject>Constitutional Court proceedings</dc:subject>
  <dc:creator>Gadomska Natalia  (DWMPC)</dc:creator>
  <cp:keywords>Constitutional Court proceedings, docId:973BFEE321AF44DAA5F4FF44FA8644DB</cp:keywords>
  <cp:lastModifiedBy>Szponar Paweł  (DWMPC)</cp:lastModifiedBy>
  <cp:revision>24</cp:revision>
  <dcterms:created xsi:type="dcterms:W3CDTF">2025-08-04T08:41:00Z</dcterms:created>
  <dcterms:modified xsi:type="dcterms:W3CDTF">2025-08-08T10:48:00Z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Office Word</vt:lpwstr>
  </property>
  <property fmtid="{D5CDD505-2E9C-101B-9397-08002B2CF9AE}" pid="4" name="LastSaved">
    <vt:filetime>2025-08-04T00:00:00Z</vt:filetime>
  </property>
  <property fmtid="{D5CDD505-2E9C-101B-9397-08002B2CF9AE}" pid="5" name="Producer">
    <vt:lpwstr>Aspose.Words for .NET 24.4.0</vt:lpwstr>
  </property>
</Properties>
</file>