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360" w:lineRule="exact"/>
      </w:pPr>
      <w:r>
        <w:drawing>
          <wp:anchor distT="0" distB="0" distL="0" distR="0" simplePos="0" relativeHeight="62914690" behindDoc="1" locked="0" layoutInCell="1" allowOverlap="1">
            <wp:simplePos x="0" y="0"/>
            <wp:positionH relativeFrom="page">
              <wp:posOffset>365125</wp:posOffset>
            </wp:positionH>
            <wp:positionV relativeFrom="margin">
              <wp:posOffset>0</wp:posOffset>
            </wp:positionV>
            <wp:extent cx="3145790" cy="1066800"/>
            <wp:wrapNone/>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3145790" cy="1066800"/>
                    </a:xfrm>
                    <a:prstGeom prst="rect"/>
                  </pic:spPr>
                </pic:pic>
              </a:graphicData>
            </a:graphic>
          </wp:anchor>
        </w:drawing>
      </w:r>
    </w:p>
    <w:p>
      <w:pPr>
        <w:widowControl w:val="0"/>
        <w:spacing w:line="360" w:lineRule="exact"/>
      </w:pPr>
    </w:p>
    <w:p>
      <w:pPr>
        <w:widowControl w:val="0"/>
        <w:spacing w:line="360" w:lineRule="exact"/>
      </w:pPr>
    </w:p>
    <w:p>
      <w:pPr>
        <w:widowControl w:val="0"/>
        <w:spacing w:after="594" w:line="1" w:lineRule="exact"/>
      </w:pPr>
    </w:p>
    <w:p>
      <w:pPr>
        <w:widowControl w:val="0"/>
        <w:spacing w:line="1" w:lineRule="exact"/>
        <w:sectPr>
          <w:footnotePr>
            <w:pos w:val="pageBottom"/>
            <w:numFmt w:val="decimal"/>
            <w:numRestart w:val="continuous"/>
          </w:footnotePr>
          <w:pgSz w:w="11900" w:h="16840"/>
          <w:pgMar w:top="438" w:right="1955" w:bottom="675" w:left="575" w:header="10" w:footer="247" w:gutter="0"/>
          <w:pgNumType w:start="1"/>
          <w:cols w:space="720"/>
          <w:noEndnote/>
          <w:rtlGutter w:val="0"/>
          <w:docGrid w:linePitch="360"/>
        </w:sectPr>
      </w:pPr>
    </w:p>
    <w:p>
      <w:pPr>
        <w:pStyle w:val="Style8"/>
        <w:keepNext w:val="0"/>
        <w:keepLines w:val="0"/>
        <w:widowControl w:val="0"/>
        <w:shd w:val="clear" w:color="auto" w:fill="auto"/>
        <w:bidi w:val="0"/>
        <w:spacing w:before="0" w:after="0" w:line="240" w:lineRule="auto"/>
        <w:ind w:left="0" w:right="0" w:firstLine="0"/>
        <w:jc w:val="both"/>
      </w:pPr>
      <w:r>
        <w:rPr>
          <w:rStyle w:val="CharStyle9"/>
        </w:rPr>
        <w:t>DIŚ-V.053.2.2026.AW</w:t>
      </w:r>
    </w:p>
    <w:p>
      <w:pPr>
        <w:pStyle w:val="Style10"/>
        <w:keepNext w:val="0"/>
        <w:keepLines w:val="0"/>
        <w:widowControl w:val="0"/>
        <w:shd w:val="clear" w:color="auto" w:fill="auto"/>
        <w:bidi w:val="0"/>
        <w:spacing w:before="0" w:after="0" w:line="240" w:lineRule="auto"/>
        <w:ind w:left="0" w:right="0" w:firstLine="0"/>
        <w:jc w:val="both"/>
      </w:pPr>
      <w:r>
        <w:rPr>
          <w:rStyle w:val="CharStyle11"/>
        </w:rPr>
        <w:t>4505475.18889847.15210797</w:t>
      </w:r>
    </w:p>
    <w:p>
      <w:pPr>
        <w:pStyle w:val="Style8"/>
        <w:keepNext w:val="0"/>
        <w:keepLines w:val="0"/>
        <w:widowControl w:val="0"/>
        <w:shd w:val="clear" w:color="auto" w:fill="auto"/>
        <w:bidi w:val="0"/>
        <w:spacing w:before="0" w:after="700" w:line="240" w:lineRule="auto"/>
        <w:ind w:left="0" w:right="0" w:firstLine="0"/>
        <w:jc w:val="both"/>
      </w:pPr>
      <w:r>
        <w:rPr>
          <w:rStyle w:val="CharStyle9"/>
        </w:rPr>
        <w:t>Warszawa, 29-09-2026</w:t>
      </w:r>
    </w:p>
    <w:p>
      <w:pPr>
        <w:pStyle w:val="Style8"/>
        <w:keepNext w:val="0"/>
        <w:keepLines w:val="0"/>
        <w:widowControl w:val="0"/>
        <w:shd w:val="clear" w:color="auto" w:fill="auto"/>
        <w:bidi w:val="0"/>
        <w:spacing w:before="0" w:after="1420" w:line="240" w:lineRule="auto"/>
        <w:ind w:left="0" w:right="0" w:firstLine="0"/>
        <w:jc w:val="both"/>
      </w:pPr>
      <w:r>
        <w:rPr>
          <w:rStyle w:val="CharStyle9"/>
          <w:b/>
          <w:bCs/>
        </w:rPr>
        <w:t>Pan</w:t>
      </w:r>
    </w:p>
    <w:p>
      <w:pPr>
        <w:pStyle w:val="Style8"/>
        <w:keepNext w:val="0"/>
        <w:keepLines w:val="0"/>
        <w:widowControl w:val="0"/>
        <w:shd w:val="clear" w:color="auto" w:fill="auto"/>
        <w:bidi w:val="0"/>
        <w:spacing w:before="0" w:after="140"/>
        <w:ind w:left="0" w:right="0" w:firstLine="0"/>
        <w:jc w:val="both"/>
      </w:pPr>
      <w:r>
        <w:rPr>
          <w:rStyle w:val="CharStyle9"/>
        </w:rPr>
        <w:t>Szanowny Panie,</w:t>
      </w:r>
    </w:p>
    <w:p>
      <w:pPr>
        <w:pStyle w:val="Style8"/>
        <w:keepNext w:val="0"/>
        <w:keepLines w:val="0"/>
        <w:widowControl w:val="0"/>
        <w:shd w:val="clear" w:color="auto" w:fill="auto"/>
        <w:bidi w:val="0"/>
        <w:spacing w:before="0" w:after="140"/>
        <w:ind w:left="0" w:right="0" w:firstLine="0"/>
        <w:jc w:val="both"/>
      </w:pPr>
      <w:r>
        <w:rPr>
          <w:rStyle w:val="CharStyle9"/>
        </w:rPr>
        <w:t>w odpowiedzi na Pana petycję z dnia 5 sierpnia 2026 r. dotyczącą podjęcia prac legislacyjnych nad projektem ustawy o ograniczeniu zanieczyszczenia światłem (smogu świetlnego) uprzejmie informuję, że Ministerstwo Klimatu i Środowiska dostrzega wagę przedstawionej problematyki.</w:t>
      </w:r>
    </w:p>
    <w:p>
      <w:pPr>
        <w:pStyle w:val="Style8"/>
        <w:keepNext w:val="0"/>
        <w:keepLines w:val="0"/>
        <w:widowControl w:val="0"/>
        <w:shd w:val="clear" w:color="auto" w:fill="auto"/>
        <w:bidi w:val="0"/>
        <w:spacing w:before="0" w:after="140"/>
        <w:ind w:left="0" w:right="0" w:firstLine="0"/>
        <w:jc w:val="both"/>
      </w:pPr>
      <w:r>
        <w:rPr>
          <w:rStyle w:val="CharStyle9"/>
        </w:rPr>
        <w:t>Na wstępie należy wyjaśnić, że zgodnie z 28 ust. 1 powołanej ustawy z dnia 4 września 1997 r. o działach administracji rządowej</w:t>
      </w:r>
      <w:r>
        <w:rPr>
          <w:rStyle w:val="CharStyle9"/>
          <w:vertAlign w:val="superscript"/>
        </w:rPr>
        <w:footnoteReference w:id="2"/>
      </w:r>
      <w:r>
        <w:rPr>
          <w:rStyle w:val="CharStyle9"/>
        </w:rPr>
        <w:t xml:space="preserve"> dział administracji rządowej „środowisko” obejmuje sprawy ochrony i kształtowania środowiska przyrodniczego oraz racjonalnego wykorzystywania jego zasobów, w szczególności sprawy ochrony przyrody i różnorodności biologicznej. W konsekwencji właściwość Ministra Klimatu i Środowiska może obejmować te rozwiązania przewidziane w projekcie, które odnoszą się bezpośrednio do oddziaływania sztucznego światła na środowisko przyrodnicze, w szczególności na gatunki roślin i zwierząt, siedliska przyrodnicze, różnorodność biologiczną oraz funkcjonowanie ekosystemów.</w:t>
      </w:r>
    </w:p>
    <w:p>
      <w:pPr>
        <w:pStyle w:val="Style8"/>
        <w:keepNext w:val="0"/>
        <w:keepLines w:val="0"/>
        <w:widowControl w:val="0"/>
        <w:shd w:val="clear" w:color="auto" w:fill="auto"/>
        <w:bidi w:val="0"/>
        <w:spacing w:before="0" w:after="140"/>
        <w:ind w:left="0" w:right="0" w:firstLine="0"/>
        <w:jc w:val="both"/>
      </w:pPr>
      <w:r>
        <w:rPr>
          <w:rStyle w:val="CharStyle9"/>
        </w:rPr>
        <w:t>W tym zakresie należy wskazać działania Generalnego Dyrektora Ochrony Środowiska, będącego organem podległym Ministrowi Klimatu i Środowiska. Organ ten podejmuje, w granicach swojej właściwości, inicjatywy służące rozpoznaniu wpływu zanieczyszczenia światłem na elementy przyrody ożywionej oraz pogłębieniu wiedzy w tym obszarze. W praktyce postępowań dotyczących oceny oddziaływania przedsięwzięć na środowisko, oddziaływanie sztucznego światła jest uwzględniane jeżeli charakter, skala lub lokalizacja planowanego przedsięwzięcia wskazują na możliwość wystąpienia takiego oddziaływania.</w:t>
      </w:r>
    </w:p>
    <w:p>
      <w:pPr>
        <w:pStyle w:val="Style8"/>
        <w:keepNext w:val="0"/>
        <w:keepLines w:val="0"/>
        <w:widowControl w:val="0"/>
        <w:shd w:val="clear" w:color="auto" w:fill="auto"/>
        <w:bidi w:val="0"/>
        <w:spacing w:before="0" w:after="280"/>
        <w:ind w:left="0" w:right="0" w:firstLine="0"/>
        <w:jc w:val="both"/>
      </w:pPr>
      <w:r>
        <w:rPr>
          <w:rStyle w:val="CharStyle9"/>
        </w:rPr>
        <w:t>Jednocześnie procedowany jest projekt ustawy o zmianie ustawy o udostępnianiu informacji o środowisku i jego ochronie, udziale społeczeństwa w ochronie środowiska oraz o ocenach oddziaływania na środowisko oraz niektórych innych ustaw</w:t>
      </w:r>
      <w:r>
        <w:rPr>
          <w:rStyle w:val="CharStyle9"/>
          <w:vertAlign w:val="superscript"/>
        </w:rPr>
        <w:footnoteReference w:id="3"/>
      </w:r>
      <w:r>
        <w:rPr>
          <w:rStyle w:val="CharStyle9"/>
        </w:rPr>
        <w:t>, ujęty w wykazie prac legislacyjnych Rady Ministrów pod numerem UD224. Projektowana zmiana art. 66 ustawy ma na celu wyraźne włączenie zanieczyszczenia światłem do katalogu oddziaływań podlegających opisowi i analizie w raporcie o oddziaływaniu przedsięwzięcia na środowisko. Proponowane rozwiązanie służy normatywnemu ugruntowaniu podejścia stosowanego już w praktyce oraz zapewnieniu jego spójnego stosowania przez organy prowadzące postępowania środowiskowe.</w:t>
      </w:r>
    </w:p>
    <w:p>
      <w:pPr>
        <w:pStyle w:val="Style10"/>
        <w:keepNext w:val="0"/>
        <w:keepLines w:val="0"/>
        <w:widowControl w:val="0"/>
        <w:numPr>
          <w:ilvl w:val="0"/>
          <w:numId w:val="1"/>
        </w:numPr>
        <w:shd w:val="clear" w:color="auto" w:fill="auto"/>
        <w:tabs>
          <w:tab w:pos="188" w:val="left"/>
        </w:tabs>
        <w:bidi w:val="0"/>
        <w:spacing w:before="0" w:after="0"/>
        <w:ind w:left="0" w:right="0" w:firstLine="0"/>
        <w:jc w:val="both"/>
      </w:pPr>
      <w:r>
        <w:rPr>
          <w:rStyle w:val="CharStyle11"/>
        </w:rPr>
        <w:t>t.j. Dz. U. z 2025 r. poz. 1275 z póżn. zm.</w:t>
      </w:r>
    </w:p>
    <w:p>
      <w:pPr>
        <w:pStyle w:val="Style10"/>
        <w:keepNext w:val="0"/>
        <w:keepLines w:val="0"/>
        <w:widowControl w:val="0"/>
        <w:numPr>
          <w:ilvl w:val="0"/>
          <w:numId w:val="1"/>
        </w:numPr>
        <w:shd w:val="clear" w:color="auto" w:fill="auto"/>
        <w:tabs>
          <w:tab w:pos="198" w:val="left"/>
        </w:tabs>
        <w:bidi w:val="0"/>
        <w:spacing w:before="0" w:after="220"/>
        <w:ind w:left="0" w:right="0" w:firstLine="0"/>
        <w:jc w:val="both"/>
      </w:pPr>
      <w:r>
        <w:rPr>
          <w:rStyle w:val="CharStyle11"/>
        </w:rPr>
        <w:t>Rządowe Centrum Legislacji, strona:</w:t>
      </w:r>
      <w:r>
        <w:fldChar w:fldCharType="begin"/>
      </w:r>
      <w:r>
        <w:rPr/>
        <w:instrText> HYPERLINK "https://legislacja.gov.pl/projekt/12405602" </w:instrText>
      </w:r>
      <w:r>
        <w:fldChar w:fldCharType="separate"/>
      </w:r>
      <w:r>
        <w:rPr>
          <w:rStyle w:val="CharStyle11"/>
        </w:rPr>
        <w:t xml:space="preserve"> </w:t>
      </w:r>
      <w:r>
        <w:rPr>
          <w:rStyle w:val="CharStyle11"/>
          <w:color w:val="0563C1"/>
          <w:u w:val="single"/>
        </w:rPr>
        <w:t>https://legislacja.gov.pl/projekt/12405602</w:t>
      </w:r>
      <w:r>
        <w:fldChar w:fldCharType="end"/>
      </w:r>
      <w:r>
        <w:rPr>
          <w:rStyle w:val="CharStyle11"/>
        </w:rPr>
        <w:t>, [dostęp: 25.09.2026 r.].</w:t>
      </w:r>
    </w:p>
    <w:p>
      <w:pPr>
        <w:pStyle w:val="Style8"/>
        <w:keepNext w:val="0"/>
        <w:keepLines w:val="0"/>
        <w:widowControl w:val="0"/>
        <w:shd w:val="clear" w:color="auto" w:fill="auto"/>
        <w:bidi w:val="0"/>
        <w:spacing w:before="0"/>
        <w:ind w:left="0" w:right="0" w:firstLine="0"/>
        <w:jc w:val="both"/>
      </w:pPr>
      <w:r>
        <w:rPr>
          <w:rStyle w:val="CharStyle9"/>
        </w:rPr>
        <w:t>Należy wskazać, że ustawa z dnia 27 kwietnia 2001 r. Prawo ochrony środowiska – zwana dalej „ustawą Poś” określa zasady ochrony środowiska oraz warunki korzystania z jego zasobów, z uwzględnieniem wymagań zrównoważonego rozwoju i pozostaje ściśle związana z ochroną zdrowia. Zgodnie z art. 3 pkt 11 tej ustawy przez oddziaływanie na środowisko rozumie się również oddziaływanie na zdrowie ludzi. Jednakże kwestie związane z wpływem sztucznego światła na zdrowie mieszkańców należą do właściwości działu administracji rządowej „zdrowie”. Zgodnie z art. 33 ust. 1 pkt 1 i 5 ustawy o działach administracji rządowej obejmuje on sprawy ochrony zdrowia, organizacji opieki zdrowotnej, a także warunków sanitarnych i nadzoru sanitarnego. W rezultacie ocena skutków zdrowotnych ekspozycji na sztuczne światło oraz ustalanie bezpiecznych poziomów takiej ekspozycji pozostają we właściwości ministra właściwego do spraw zdrowia.</w:t>
      </w:r>
    </w:p>
    <w:p>
      <w:pPr>
        <w:pStyle w:val="Style8"/>
        <w:keepNext w:val="0"/>
        <w:keepLines w:val="0"/>
        <w:widowControl w:val="0"/>
        <w:shd w:val="clear" w:color="auto" w:fill="auto"/>
        <w:bidi w:val="0"/>
        <w:spacing w:before="0"/>
        <w:ind w:left="0" w:right="0" w:firstLine="0"/>
        <w:jc w:val="both"/>
      </w:pPr>
      <w:r>
        <w:rPr>
          <w:rStyle w:val="CharStyle9"/>
        </w:rPr>
        <w:t xml:space="preserve">Kwestia wpływu sztucznego światła na zdrowie człowieka była przedmiotem stanowiska ministra właściwego do spraw zdrowia, przedstawionego w odpowiedzi na wystąpienie Ministra Klimatu i Środowiska dotyczące przygotowania odpowiedzi na Dezyderat nr 82 Komisji do Spraw Petycji w sprawie przeciwdziałania zanieczyszczeniu sztucznym światłem. Opierając się na opinii Instytutu Medycyny Pracy im. prof. J. Nofera w Łodzi, wskazano, że szczególne zainteresowanie naukowe budzi ekspozycja na sztuczne światło w porze nocnej (ALAN, </w:t>
      </w:r>
      <w:r>
        <w:rPr>
          <w:rStyle w:val="CharStyle9"/>
          <w:i/>
          <w:iCs/>
        </w:rPr>
        <w:t>Artificial Light at Night</w:t>
      </w:r>
      <w:r>
        <w:rPr>
          <w:rStyle w:val="CharStyle9"/>
        </w:rPr>
        <w:t>). Wyniki badań sugerują, że nadmierna ekspozycja na światło nocne może prowadzić do zaburzeń rytmu dobowego i snu oraz wiązać się z innymi niekorzystnymi skutkami zdrowotnymi. Jednocześnie podkreślono, że obecny stan wiedzy naukowej nie pozwala na określenie bezpiecznych dla zdrowia ludzi poziomów ekspozycji na sztuczne światło w porze nocnej. W związku z tym nadal prowadzone są prace nad opracowaniem wiarygodnych metod pomiarowych i metodyki badań, które umożliwią ocenę poziomów ekspozycji na ALAN.</w:t>
      </w:r>
    </w:p>
    <w:p>
      <w:pPr>
        <w:pStyle w:val="Style8"/>
        <w:keepNext w:val="0"/>
        <w:keepLines w:val="0"/>
        <w:widowControl w:val="0"/>
        <w:shd w:val="clear" w:color="auto" w:fill="auto"/>
        <w:bidi w:val="0"/>
        <w:spacing w:before="0"/>
        <w:ind w:left="0" w:right="0" w:firstLine="0"/>
        <w:jc w:val="both"/>
      </w:pPr>
      <w:r>
        <w:rPr>
          <w:rStyle w:val="CharStyle9"/>
        </w:rPr>
        <w:t>W odniesieniu do postulatu wprowadzenia mechanizmów kontroli oraz sankcji związanych z emisją sztucznego światła należy wskazać, że zgodnie z art. 12 ust. 1 ustawy z dnia 27 kwietnia 2001 r. Prawo ochrony środowiska</w:t>
      </w:r>
      <w:r>
        <w:rPr>
          <w:rStyle w:val="CharStyle9"/>
          <w:vertAlign w:val="superscript"/>
        </w:rPr>
        <w:footnoteReference w:id="4"/>
      </w:r>
      <w:r>
        <w:rPr>
          <w:rStyle w:val="CharStyle9"/>
        </w:rPr>
        <w:t xml:space="preserve"> podmioty korzystające ze środowiska oraz organy administracji są obowiązane do stosowania metodyk referencyjnych, jeżeli metodyki takie zostały określone na podstawie ustaw. Oznacza to, że ustanowienie skutecznego mechanizmu kontroli oddziaływania sztucznego światła wymaga uprzedniego normatywnego określenia jego dopuszczalnych poziomów oraz jednolitej metodyki dokonywania pomiarów. Dopiero ustalenie jednoznacznych i mierzalnych kryteriów umożliwi obiektywną oraz weryfikowalną ocenę kontrolowanego stanu faktycznego, stwierdzenie ewentualnego przekroczenia ustanowionych poziomów, a także określenie adekwatnych środków naprawczych i sankcji za ich nieprzestrzeganie.</w:t>
      </w:r>
    </w:p>
    <w:p>
      <w:pPr>
        <w:pStyle w:val="Style8"/>
        <w:keepNext w:val="0"/>
        <w:keepLines w:val="0"/>
        <w:widowControl w:val="0"/>
        <w:shd w:val="clear" w:color="auto" w:fill="auto"/>
        <w:bidi w:val="0"/>
        <w:spacing w:before="0"/>
        <w:ind w:left="0" w:right="0" w:firstLine="0"/>
        <w:jc w:val="both"/>
      </w:pPr>
      <w:r>
        <w:rPr>
          <w:rStyle w:val="CharStyle9"/>
        </w:rPr>
        <w:t>Z kolei wymagania odnoszące się do oświetlenia dróg publicznych, należy wiązać z działem administracji rządowej „transport”. Zgodnie z art. 27 ust. 1 pkt 1 i 2 ustawy o działach administracji rządowej dział ten obejmuje sprawy funkcjonowania i rozwoju infrastruktury transportu, w szczególności budowy, modernizacji, utrzymania i ochrony dróg publicznych, a także sprawy ruchu drogowego. Wymagania techniczno-budowlane dotyczące urządzeń oświetlenia dróg publicznych określa rozporządzenie Ministra Infrastruktury z dnia 24 czerwca 2022 r. w sprawie przepisów techniczno-budowlanych dotyczących dróg</w:t>
      </w:r>
    </w:p>
    <w:p>
      <w:pPr>
        <w:pStyle w:val="Style8"/>
        <w:keepNext w:val="0"/>
        <w:keepLines w:val="0"/>
        <w:widowControl w:val="0"/>
        <w:shd w:val="clear" w:color="auto" w:fill="auto"/>
        <w:bidi w:val="0"/>
        <w:spacing w:before="0"/>
        <w:ind w:left="0" w:right="0" w:firstLine="0"/>
        <w:jc w:val="both"/>
      </w:pPr>
      <w:r>
        <w:rPr>
          <w:rStyle w:val="CharStyle9"/>
        </w:rPr>
        <w:t>publicznych</w:t>
      </w:r>
      <w:r>
        <w:rPr>
          <w:rStyle w:val="CharStyle9"/>
          <w:vertAlign w:val="superscript"/>
        </w:rPr>
        <w:footnoteReference w:id="5"/>
      </w:r>
      <w:r>
        <w:rPr>
          <w:rStyle w:val="CharStyle9"/>
        </w:rPr>
        <w:t>. Rozporządzenie to znajduje zastosowanie do projektowania, budowy, przebudowy i użytkowania dróg publicznych oraz określa warunki techniczne, jakim powinny odpowiadać te drogi i ich usytuowanie, a także warunki techniczne ich użytkowania. Zgodnie z § 86 tego rozporządzenia urządzenia do oświetlenia projektuje się w każdym miejscu, które wymaga oświetlenia ze względu na bezpieczeństwo ruchu lub bezpieczeństwo publiczne. Między oświetlonym a nieoświetlonym odcinkiem drogi projektuje się strefę przejściową o zmieniającym się natężeniu światła, natomiast natężenie i kierunek światła nie powinny powodować oślepiania użytkowników drogi.</w:t>
      </w:r>
    </w:p>
    <w:p>
      <w:pPr>
        <w:pStyle w:val="Style8"/>
        <w:keepNext w:val="0"/>
        <w:keepLines w:val="0"/>
        <w:widowControl w:val="0"/>
        <w:shd w:val="clear" w:color="auto" w:fill="auto"/>
        <w:bidi w:val="0"/>
        <w:spacing w:before="0"/>
        <w:ind w:left="0" w:right="0" w:firstLine="0"/>
        <w:jc w:val="both"/>
      </w:pPr>
      <w:r>
        <w:rPr>
          <w:rStyle w:val="CharStyle9"/>
        </w:rPr>
        <w:t>Należy także wskazać, że na podstawie art. 17 ust. 3 ustawy z dnia 21 marca 1985 r. o drogach publicznych</w:t>
      </w:r>
      <w:r>
        <w:rPr>
          <w:rStyle w:val="CharStyle9"/>
          <w:vertAlign w:val="superscript"/>
        </w:rPr>
        <w:footnoteReference w:id="6"/>
      </w:r>
      <w:r>
        <w:rPr>
          <w:rStyle w:val="CharStyle9"/>
        </w:rPr>
        <w:t xml:space="preserve"> minister właściwy do spraw transportu może wydawać, rozpowszechniać lub rekomendować wzorce i standardy dotyczące dróg publicznych. W ramach tej kompetencji Minister Infrastruktury zarekomendował wytyczne WR-D-72-1 dotyczące projektowania urządzeń do oświetlenia dróg zamiejskich i ulic</w:t>
      </w:r>
      <w:r>
        <w:rPr>
          <w:rStyle w:val="CharStyle9"/>
          <w:vertAlign w:val="superscript"/>
        </w:rPr>
        <w:footnoteReference w:id="7"/>
      </w:r>
      <w:r>
        <w:rPr>
          <w:rStyle w:val="CharStyle9"/>
        </w:rPr>
        <w:t>. W wytycznych zawarto postanowienia dotyczące ograniczania negatywnego oddziaływania drogowych opraw oświetleniowych, w szczególności emisji światła intruzyjnego, przeszkadzającego i zanieczyszczającego. Wskazano na potrzebę ograniczenia emisji światła w kierunku nieboskłonu, elewacji budynków i okien pomieszczeń, w których przebywają ludzie. Zalecono również stosowanie opraw oprawy oświetleniowe o cechach emisyjnych dostosowanych do charakteru oświetlanego obszaru oraz ich montaż bez nachylenia, równolegle do płaszczyzny jezdni.</w:t>
      </w:r>
    </w:p>
    <w:p>
      <w:pPr>
        <w:pStyle w:val="Style8"/>
        <w:keepNext w:val="0"/>
        <w:keepLines w:val="0"/>
        <w:widowControl w:val="0"/>
        <w:shd w:val="clear" w:color="auto" w:fill="auto"/>
        <w:bidi w:val="0"/>
        <w:spacing w:before="0"/>
        <w:ind w:left="0" w:right="0" w:firstLine="0"/>
        <w:jc w:val="both"/>
      </w:pPr>
      <w:r>
        <w:rPr>
          <w:rStyle w:val="CharStyle9"/>
        </w:rPr>
        <w:t>Z kolei wymagania techniczno-budowlane dotyczące budynków i związanych z nimi instalacji oświetleniowych, a także sytuowania urządzeń oświetleniowych oraz planowania i zagospodarowania przestrzennego, należy rozpatrywać w ramach działu administracji rządowej „budownictwo, planowanie i zagospodarowanie przestrzenne oraz mieszkalnictwo”. Zgodnie z art. 9a ust. 1 pkt 1–4 i 9 ustawy o działach administracji rządowej dział ten obejmuje w szczególności sprawy architektury, budownictwa, nadzoru architektoniczno-budowlanego, planowania i zagospodarowania przestrzennego oraz infrastruktury komunalnej.</w:t>
      </w:r>
    </w:p>
    <w:p>
      <w:pPr>
        <w:pStyle w:val="Style8"/>
        <w:keepNext w:val="0"/>
        <w:keepLines w:val="0"/>
        <w:widowControl w:val="0"/>
        <w:shd w:val="clear" w:color="auto" w:fill="auto"/>
        <w:bidi w:val="0"/>
        <w:spacing w:before="0"/>
        <w:ind w:left="0" w:right="0" w:firstLine="0"/>
        <w:jc w:val="both"/>
      </w:pPr>
      <w:r>
        <w:rPr>
          <w:rStyle w:val="CharStyle9"/>
        </w:rPr>
        <w:t>Biorąc pod uwagę powyższe, należy stwierdzić, że tak szeroko określony zakres projektowanej regulacji obejmuje zagadnienia należące do kilku działów administracji rządowej, w szczególności środowiska, zdrowia, transportu oraz budownictwa, planowania i zagospodarowania przestrzennego oraz mieszkalnictwa. Nie pozostaje on zatem w całości we właściwości jednego ministra. Kompleksowe uregulowanie zasad projektowania, instalowania i użytkowania oświetlenia wymagałoby skoordynowanego współdziałania ministrów właściwych w poszczególnych działach administracji rządowej.</w:t>
      </w:r>
    </w:p>
    <w:p>
      <w:pPr>
        <w:pStyle w:val="Style8"/>
        <w:keepNext w:val="0"/>
        <w:keepLines w:val="0"/>
        <w:widowControl w:val="0"/>
        <w:shd w:val="clear" w:color="auto" w:fill="auto"/>
        <w:bidi w:val="0"/>
        <w:spacing w:before="0"/>
        <w:ind w:left="0" w:right="0" w:firstLine="0"/>
        <w:jc w:val="both"/>
      </w:pPr>
      <w:r>
        <w:rPr>
          <w:rStyle w:val="CharStyle9"/>
        </w:rPr>
        <w:t>Należy również wskazać, że problematyka ochrony środowiska przed zanieczyszczeniem światłem pozostaje przedmiotem analiz prowadzonych w Ministerstwie Klimatu i Środowiska. W ramach tych prac opracowywana jest analiza porównawcza rozwiązań funkcjonujących w innych państwach w zakresie ograniczania wpływu sztucznego światła na środowisko. W związku z tym, na obecnym etapie prac nie jest zasadne formułowanie wniosków dotyczących ewentualnych zmian regulacyjnych w tym obszarze.</w:t>
      </w:r>
    </w:p>
    <w:p>
      <w:pPr>
        <w:pStyle w:val="Style8"/>
        <w:keepNext w:val="0"/>
        <w:keepLines w:val="0"/>
        <w:widowControl w:val="0"/>
        <w:shd w:val="clear" w:color="auto" w:fill="auto"/>
        <w:bidi w:val="0"/>
        <w:spacing w:before="0" w:after="600"/>
        <w:ind w:left="0" w:right="0" w:firstLine="0"/>
        <w:jc w:val="both"/>
      </w:pPr>
      <w:r>
        <w:rPr>
          <w:rStyle w:val="CharStyle9"/>
        </w:rPr>
        <w:t>Jednocześnie, dziękuję za zainteresowanie problematyką ochrony środowiska przed zanieczyszczeniem sztucznym światłem. Zawarte w wystąpieniu postulaty będą stanowiły głos w dyskusji nad możliwymi kierunkami dalszych działań w tym obszarze. Ewentualna możliwość ich wykorzystania będzie uzależniona od zakresu i trybu dalszych prac analitycznych.</w:t>
      </w:r>
    </w:p>
    <w:p>
      <w:pPr>
        <w:pStyle w:val="Style8"/>
        <w:keepNext w:val="0"/>
        <w:keepLines w:val="0"/>
        <w:widowControl w:val="0"/>
        <w:shd w:val="clear" w:color="auto" w:fill="auto"/>
        <w:bidi w:val="0"/>
        <w:spacing w:before="0" w:after="420" w:line="240" w:lineRule="auto"/>
        <w:ind w:left="0" w:right="0" w:firstLine="0"/>
        <w:jc w:val="both"/>
      </w:pPr>
      <w:r>
        <w:rPr>
          <w:rStyle w:val="CharStyle9"/>
        </w:rPr>
        <w:t>Z wyrazami szacunku</w:t>
      </w:r>
    </w:p>
    <w:p>
      <w:pPr>
        <w:pStyle w:val="Style8"/>
        <w:keepNext w:val="0"/>
        <w:keepLines w:val="0"/>
        <w:widowControl w:val="0"/>
        <w:shd w:val="clear" w:color="auto" w:fill="auto"/>
        <w:bidi w:val="0"/>
        <w:spacing w:before="0" w:after="0" w:line="240" w:lineRule="auto"/>
        <w:ind w:left="0" w:right="0" w:firstLine="0"/>
        <w:jc w:val="both"/>
      </w:pPr>
      <w:r>
        <w:rPr>
          <w:rStyle w:val="CharStyle9"/>
        </w:rPr>
        <w:t>Zastępca Dyrektora</w:t>
      </w:r>
    </w:p>
    <w:p>
      <w:pPr>
        <w:pStyle w:val="Style8"/>
        <w:keepNext w:val="0"/>
        <w:keepLines w:val="0"/>
        <w:widowControl w:val="0"/>
        <w:shd w:val="clear" w:color="auto" w:fill="auto"/>
        <w:bidi w:val="0"/>
        <w:spacing w:before="0" w:after="0" w:line="240" w:lineRule="auto"/>
        <w:ind w:left="0" w:right="0" w:firstLine="0"/>
        <w:jc w:val="both"/>
      </w:pPr>
      <w:r>
        <w:rPr>
          <w:rStyle w:val="CharStyle9"/>
        </w:rPr>
        <w:t>Departament Instrumentów Środowiskowych</w:t>
      </w:r>
    </w:p>
    <w:p>
      <w:pPr>
        <w:pStyle w:val="Style8"/>
        <w:keepNext w:val="0"/>
        <w:keepLines w:val="0"/>
        <w:widowControl w:val="0"/>
        <w:shd w:val="clear" w:color="auto" w:fill="auto"/>
        <w:bidi w:val="0"/>
        <w:spacing w:before="0" w:after="0" w:line="240" w:lineRule="auto"/>
        <w:ind w:left="0" w:right="0" w:firstLine="0"/>
        <w:jc w:val="both"/>
      </w:pPr>
      <w:r>
        <w:rPr>
          <w:rStyle w:val="CharStyle9"/>
        </w:rPr>
        <w:t>Ministerstwo Klimatu i Środowiska</w:t>
      </w:r>
    </w:p>
    <w:p>
      <w:pPr>
        <w:pStyle w:val="Style8"/>
        <w:keepNext w:val="0"/>
        <w:keepLines w:val="0"/>
        <w:widowControl w:val="0"/>
        <w:shd w:val="clear" w:color="auto" w:fill="auto"/>
        <w:bidi w:val="0"/>
        <w:spacing w:before="0" w:after="1900" w:line="240" w:lineRule="auto"/>
        <w:ind w:left="0" w:right="0" w:firstLine="0"/>
        <w:jc w:val="both"/>
      </w:pPr>
      <w:r>
        <w:rPr>
          <w:rStyle w:val="CharStyle9"/>
        </w:rPr>
        <w:t>/ – podpisany cyfrowo/</w:t>
      </w:r>
    </w:p>
    <w:p>
      <w:pPr>
        <w:pStyle w:val="Style10"/>
        <w:keepNext w:val="0"/>
        <w:keepLines w:val="0"/>
        <w:widowControl w:val="0"/>
        <w:shd w:val="clear" w:color="auto" w:fill="auto"/>
        <w:bidi w:val="0"/>
        <w:spacing w:before="0" w:after="160"/>
        <w:ind w:left="0" w:right="0" w:firstLine="0"/>
        <w:jc w:val="center"/>
      </w:pPr>
      <w:r>
        <w:rPr>
          <w:rStyle w:val="CharStyle11"/>
          <w:b/>
          <w:bCs/>
        </w:rPr>
        <w:t>Klauzula informacyjna</w:t>
      </w:r>
    </w:p>
    <w:p>
      <w:pPr>
        <w:pStyle w:val="Style10"/>
        <w:keepNext w:val="0"/>
        <w:keepLines w:val="0"/>
        <w:widowControl w:val="0"/>
        <w:shd w:val="clear" w:color="auto" w:fill="auto"/>
        <w:bidi w:val="0"/>
        <w:spacing w:before="0" w:after="160"/>
        <w:ind w:left="0" w:right="0" w:firstLine="0"/>
        <w:jc w:val="both"/>
      </w:pPr>
      <w:r>
        <w:rPr>
          <w:rStyle w:val="CharStyle11"/>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 późn. zm., dalej: RODO) uprzejmie informuję, że:</w:t>
      </w:r>
    </w:p>
    <w:p>
      <w:pPr>
        <w:pStyle w:val="Style10"/>
        <w:keepNext w:val="0"/>
        <w:keepLines w:val="0"/>
        <w:widowControl w:val="0"/>
        <w:shd w:val="clear" w:color="auto" w:fill="auto"/>
        <w:bidi w:val="0"/>
        <w:spacing w:before="0" w:after="0"/>
        <w:ind w:left="0" w:right="0" w:firstLine="0"/>
        <w:jc w:val="both"/>
      </w:pPr>
      <w:r>
        <w:rPr>
          <w:rStyle w:val="CharStyle11"/>
          <w:b/>
          <w:bCs/>
        </w:rPr>
        <w:t>Tożsamość administratora</w:t>
      </w:r>
    </w:p>
    <w:p>
      <w:pPr>
        <w:pStyle w:val="Style10"/>
        <w:keepNext w:val="0"/>
        <w:keepLines w:val="0"/>
        <w:widowControl w:val="0"/>
        <w:shd w:val="clear" w:color="auto" w:fill="auto"/>
        <w:bidi w:val="0"/>
        <w:spacing w:before="0" w:after="0"/>
        <w:ind w:left="0" w:right="0" w:firstLine="0"/>
        <w:jc w:val="both"/>
      </w:pPr>
      <w:r>
        <w:rPr>
          <w:rStyle w:val="CharStyle11"/>
        </w:rPr>
        <w:t>Administratorem Pani/Pana danych osobowych jest Minister Klimatu i Środowiska</w:t>
      </w:r>
    </w:p>
    <w:p>
      <w:pPr>
        <w:pStyle w:val="Style10"/>
        <w:keepNext w:val="0"/>
        <w:keepLines w:val="0"/>
        <w:widowControl w:val="0"/>
        <w:shd w:val="clear" w:color="auto" w:fill="auto"/>
        <w:bidi w:val="0"/>
        <w:spacing w:before="0" w:after="0"/>
        <w:ind w:left="0" w:right="0" w:firstLine="0"/>
        <w:jc w:val="both"/>
      </w:pPr>
      <w:r>
        <w:rPr>
          <w:rStyle w:val="CharStyle11"/>
        </w:rPr>
        <w:t>Może się Pani/Pan z nami kontaktować w następujący sposób:</w:t>
      </w:r>
    </w:p>
    <w:p>
      <w:pPr>
        <w:pStyle w:val="Style10"/>
        <w:keepNext w:val="0"/>
        <w:keepLines w:val="0"/>
        <w:widowControl w:val="0"/>
        <w:shd w:val="clear" w:color="auto" w:fill="auto"/>
        <w:bidi w:val="0"/>
        <w:spacing w:before="0" w:after="0"/>
        <w:ind w:left="0" w:right="0" w:firstLine="0"/>
        <w:jc w:val="both"/>
      </w:pPr>
      <w:r>
        <w:rPr>
          <w:rStyle w:val="CharStyle11"/>
        </w:rPr>
        <w:t>listownie na adres: ul. Wawelska 52/54, 00-922 Warszawa</w:t>
      </w:r>
    </w:p>
    <w:p>
      <w:pPr>
        <w:pStyle w:val="Style10"/>
        <w:keepNext w:val="0"/>
        <w:keepLines w:val="0"/>
        <w:widowControl w:val="0"/>
        <w:shd w:val="clear" w:color="auto" w:fill="auto"/>
        <w:bidi w:val="0"/>
        <w:spacing w:before="0" w:after="0"/>
        <w:ind w:left="0" w:right="0" w:firstLine="0"/>
        <w:jc w:val="both"/>
      </w:pPr>
      <w:r>
        <w:rPr>
          <w:rStyle w:val="CharStyle11"/>
        </w:rPr>
        <w:t>poprzez elektroniczną skrzynkę podawczą: /mos/skrytka</w:t>
      </w:r>
    </w:p>
    <w:p>
      <w:pPr>
        <w:pStyle w:val="Style10"/>
        <w:keepNext w:val="0"/>
        <w:keepLines w:val="0"/>
        <w:widowControl w:val="0"/>
        <w:shd w:val="clear" w:color="auto" w:fill="auto"/>
        <w:bidi w:val="0"/>
        <w:spacing w:before="0" w:after="0"/>
        <w:ind w:left="0" w:right="0" w:firstLine="0"/>
        <w:jc w:val="both"/>
      </w:pPr>
      <w:r>
        <w:rPr>
          <w:rStyle w:val="CharStyle11"/>
        </w:rPr>
        <w:t>adres eDoręczeń: AE:PL-76338-88700-JTFJE-30</w:t>
      </w:r>
    </w:p>
    <w:p>
      <w:pPr>
        <w:pStyle w:val="Style10"/>
        <w:keepNext w:val="0"/>
        <w:keepLines w:val="0"/>
        <w:widowControl w:val="0"/>
        <w:shd w:val="clear" w:color="auto" w:fill="auto"/>
        <w:bidi w:val="0"/>
        <w:spacing w:before="0" w:after="0"/>
        <w:ind w:left="0" w:right="0" w:firstLine="0"/>
        <w:jc w:val="both"/>
      </w:pPr>
      <w:r>
        <w:rPr>
          <w:rStyle w:val="CharStyle11"/>
        </w:rPr>
        <w:t>poprzez e-mail:</w:t>
      </w:r>
      <w:r>
        <w:fldChar w:fldCharType="begin"/>
      </w:r>
      <w:r>
        <w:rPr/>
        <w:instrText> HYPERLINK "mailto:info@klimat.gov.pl" </w:instrText>
      </w:r>
      <w:r>
        <w:fldChar w:fldCharType="separate"/>
      </w:r>
      <w:r>
        <w:rPr>
          <w:rStyle w:val="CharStyle11"/>
        </w:rPr>
        <w:t xml:space="preserve"> </w:t>
      </w:r>
      <w:r>
        <w:rPr>
          <w:rStyle w:val="CharStyle11"/>
          <w:color w:val="0000FF"/>
          <w:u w:val="single"/>
        </w:rPr>
        <w:t>info@klimat.gov.pl</w:t>
      </w:r>
      <w:r>
        <w:fldChar w:fldCharType="end"/>
      </w:r>
    </w:p>
    <w:p>
      <w:pPr>
        <w:pStyle w:val="Style10"/>
        <w:keepNext w:val="0"/>
        <w:keepLines w:val="0"/>
        <w:widowControl w:val="0"/>
        <w:shd w:val="clear" w:color="auto" w:fill="auto"/>
        <w:bidi w:val="0"/>
        <w:spacing w:before="0" w:after="160"/>
        <w:ind w:left="0" w:right="0" w:firstLine="0"/>
        <w:jc w:val="both"/>
      </w:pPr>
      <w:r>
        <w:rPr>
          <w:rStyle w:val="CharStyle11"/>
        </w:rPr>
        <w:t>telefonicznie: 22 36 92 900.</w:t>
      </w:r>
    </w:p>
    <w:p>
      <w:pPr>
        <w:pStyle w:val="Style10"/>
        <w:keepNext w:val="0"/>
        <w:keepLines w:val="0"/>
        <w:widowControl w:val="0"/>
        <w:shd w:val="clear" w:color="auto" w:fill="auto"/>
        <w:bidi w:val="0"/>
        <w:spacing w:before="0" w:after="0"/>
        <w:ind w:left="0" w:right="0" w:firstLine="0"/>
        <w:jc w:val="both"/>
      </w:pPr>
      <w:r>
        <w:rPr>
          <w:rStyle w:val="CharStyle11"/>
          <w:b/>
          <w:bCs/>
        </w:rPr>
        <w:t>Dane kontaktowe inspektora ochrony danych osobowych</w:t>
      </w:r>
    </w:p>
    <w:p>
      <w:pPr>
        <w:pStyle w:val="Style10"/>
        <w:keepNext w:val="0"/>
        <w:keepLines w:val="0"/>
        <w:widowControl w:val="0"/>
        <w:shd w:val="clear" w:color="auto" w:fill="auto"/>
        <w:bidi w:val="0"/>
        <w:spacing w:before="0" w:after="0"/>
        <w:ind w:left="0" w:right="0" w:firstLine="0"/>
        <w:jc w:val="both"/>
      </w:pPr>
      <w:r>
        <w:rPr>
          <w:rStyle w:val="CharStyle11"/>
        </w:rPr>
        <w:t>Nad prawidłowością przetwarzania Pani/Pana danych osobowych czuwa wyznaczony przez Administratora inspektor ochrony danych, z którym można się kontaktować:</w:t>
      </w:r>
    </w:p>
    <w:p>
      <w:pPr>
        <w:pStyle w:val="Style10"/>
        <w:keepNext w:val="0"/>
        <w:keepLines w:val="0"/>
        <w:widowControl w:val="0"/>
        <w:shd w:val="clear" w:color="auto" w:fill="auto"/>
        <w:bidi w:val="0"/>
        <w:spacing w:before="0" w:after="0"/>
        <w:ind w:left="0" w:right="0" w:firstLine="0"/>
        <w:jc w:val="both"/>
      </w:pPr>
      <w:r>
        <w:rPr>
          <w:rStyle w:val="CharStyle11"/>
        </w:rPr>
        <w:t>listownie na adres: ul. Wawelska 52/54, 00-922 Warszawa</w:t>
      </w:r>
    </w:p>
    <w:p>
      <w:pPr>
        <w:pStyle w:val="Style10"/>
        <w:keepNext w:val="0"/>
        <w:keepLines w:val="0"/>
        <w:widowControl w:val="0"/>
        <w:shd w:val="clear" w:color="auto" w:fill="auto"/>
        <w:bidi w:val="0"/>
        <w:spacing w:before="0" w:after="0"/>
        <w:ind w:left="0" w:right="0" w:firstLine="0"/>
        <w:jc w:val="both"/>
      </w:pPr>
      <w:r>
        <w:rPr>
          <w:rStyle w:val="CharStyle11"/>
        </w:rPr>
        <w:t>poprzez elektroniczną skrzynkę podawczą: /mos/skrytka</w:t>
      </w:r>
    </w:p>
    <w:p>
      <w:pPr>
        <w:pStyle w:val="Style10"/>
        <w:keepNext w:val="0"/>
        <w:keepLines w:val="0"/>
        <w:widowControl w:val="0"/>
        <w:shd w:val="clear" w:color="auto" w:fill="auto"/>
        <w:bidi w:val="0"/>
        <w:spacing w:before="0" w:after="160"/>
        <w:ind w:left="0" w:right="0" w:firstLine="0"/>
        <w:jc w:val="both"/>
      </w:pPr>
      <w:r>
        <w:rPr>
          <w:rStyle w:val="CharStyle11"/>
        </w:rPr>
        <w:t xml:space="preserve">poprzez e-mail: </w:t>
      </w:r>
      <w:r>
        <w:fldChar w:fldCharType="begin"/>
      </w:r>
      <w:r>
        <w:rPr/>
        <w:instrText> HYPERLINK "mailto:inspektor.ochrony.danych@klimat.gov.pl" </w:instrText>
      </w:r>
      <w:r>
        <w:fldChar w:fldCharType="separate"/>
      </w:r>
      <w:r>
        <w:rPr>
          <w:rStyle w:val="CharStyle11"/>
        </w:rPr>
        <w:t>inspektor.ochrony.danych@klimat.gov.pl</w:t>
      </w:r>
      <w:r>
        <w:fldChar w:fldCharType="end"/>
      </w:r>
      <w:r>
        <w:rPr>
          <w:rStyle w:val="CharStyle11"/>
        </w:rPr>
        <w:t>.</w:t>
      </w:r>
    </w:p>
    <w:p>
      <w:pPr>
        <w:pStyle w:val="Style10"/>
        <w:keepNext w:val="0"/>
        <w:keepLines w:val="0"/>
        <w:widowControl w:val="0"/>
        <w:shd w:val="clear" w:color="auto" w:fill="auto"/>
        <w:bidi w:val="0"/>
        <w:spacing w:before="0" w:after="0"/>
        <w:ind w:left="0" w:right="0" w:firstLine="0"/>
        <w:jc w:val="both"/>
      </w:pPr>
      <w:r>
        <w:rPr>
          <w:rStyle w:val="CharStyle11"/>
          <w:b/>
          <w:bCs/>
        </w:rPr>
        <w:t>Cele przetwarzania danych osobowych i podstawa prawna</w:t>
      </w:r>
    </w:p>
    <w:p>
      <w:pPr>
        <w:pStyle w:val="Style10"/>
        <w:keepNext w:val="0"/>
        <w:keepLines w:val="0"/>
        <w:widowControl w:val="0"/>
        <w:shd w:val="clear" w:color="auto" w:fill="auto"/>
        <w:bidi w:val="0"/>
        <w:spacing w:before="0" w:after="160"/>
        <w:ind w:left="0" w:right="0" w:firstLine="0"/>
        <w:jc w:val="both"/>
      </w:pPr>
      <w:r>
        <w:rPr>
          <w:rStyle w:val="CharStyle11"/>
        </w:rPr>
        <w:t>Pani/Pana dane osobowe będą przetwarzane na podstawie art. 6 ust. 1 lit. c RODO (przetwarzanie jest niezbędne do wypełnienia obowiązku prawnego ciążącego na administratorze) w celu rozpatrzenia petycji, na podstawie przepisów ustawy z dnia 11 lipca 2014 r. o petycjach oraz w celu archiwizacji dokumentów, na podstawie przepisów ustawy z dnia 14 lipca 1983 r. o narodowym zasobie archiwalnym i archiwach.</w:t>
      </w:r>
    </w:p>
    <w:p>
      <w:pPr>
        <w:pStyle w:val="Style10"/>
        <w:keepNext w:val="0"/>
        <w:keepLines w:val="0"/>
        <w:widowControl w:val="0"/>
        <w:shd w:val="clear" w:color="auto" w:fill="auto"/>
        <w:bidi w:val="0"/>
        <w:spacing w:before="0" w:after="160"/>
        <w:ind w:left="0" w:right="0" w:firstLine="0"/>
        <w:jc w:val="both"/>
      </w:pPr>
      <w:r>
        <w:rPr>
          <w:rStyle w:val="CharStyle11"/>
          <w:b/>
          <w:bCs/>
        </w:rPr>
        <w:t>Odbiorcy danych osobowych lub kategorie odbiorców danych osobowych</w:t>
      </w:r>
    </w:p>
    <w:p>
      <w:pPr>
        <w:pStyle w:val="Style10"/>
        <w:keepNext w:val="0"/>
        <w:keepLines w:val="0"/>
        <w:widowControl w:val="0"/>
        <w:shd w:val="clear" w:color="auto" w:fill="auto"/>
        <w:bidi w:val="0"/>
        <w:spacing w:before="0" w:after="0"/>
        <w:ind w:left="0" w:right="0" w:firstLine="0"/>
        <w:jc w:val="both"/>
      </w:pPr>
      <w:r>
        <w:rPr>
          <w:rStyle w:val="CharStyle11"/>
        </w:rPr>
        <w:t>Pani/Pana dane osobowe mogą być udostępnione organom upoważnionym na podstawie przepisów prawa powszechnie obowiązującego, nie stanowią jednak one odbiorców danych w rozumieniu przepisów RODO.</w:t>
      </w:r>
    </w:p>
    <w:p>
      <w:pPr>
        <w:pStyle w:val="Style10"/>
        <w:keepNext w:val="0"/>
        <w:keepLines w:val="0"/>
        <w:widowControl w:val="0"/>
        <w:shd w:val="clear" w:color="auto" w:fill="auto"/>
        <w:bidi w:val="0"/>
        <w:spacing w:before="0" w:after="160"/>
        <w:ind w:left="0" w:right="0" w:firstLine="0"/>
        <w:jc w:val="both"/>
      </w:pPr>
      <w:r>
        <w:rPr>
          <w:rStyle w:val="CharStyle11"/>
        </w:rPr>
        <w:t xml:space="preserve">Pani/Pana dane osobowe, tj. imię i nazwisko mogą być opublikowane na stronie internetowej Ministerstwa Klimatu i Środowiska łącznie z treścią petycji, tylko w przypadku wyrażenia przez Panią/Pana zgody. Zgodę można w każdej chwili wycofać wysyłając wiadomość na adres </w:t>
      </w:r>
      <w:r>
        <w:fldChar w:fldCharType="begin"/>
      </w:r>
      <w:r>
        <w:rPr/>
        <w:instrText> HYPERLINK "mailto:inspektor.ochrony.danych@klimat.gov.pl" </w:instrText>
      </w:r>
      <w:r>
        <w:fldChar w:fldCharType="separate"/>
      </w:r>
      <w:r>
        <w:rPr>
          <w:rStyle w:val="CharStyle11"/>
        </w:rPr>
        <w:t>inspektor.ochrony.danych@klimat.gov.pl</w:t>
      </w:r>
      <w:r>
        <w:fldChar w:fldCharType="end"/>
      </w:r>
      <w:r>
        <w:rPr>
          <w:rStyle w:val="CharStyle11"/>
        </w:rPr>
        <w:t>.</w:t>
      </w:r>
    </w:p>
    <w:p>
      <w:pPr>
        <w:pStyle w:val="Style10"/>
        <w:keepNext w:val="0"/>
        <w:keepLines w:val="0"/>
        <w:widowControl w:val="0"/>
        <w:shd w:val="clear" w:color="auto" w:fill="auto"/>
        <w:bidi w:val="0"/>
        <w:spacing w:before="0" w:after="0"/>
        <w:ind w:left="0" w:right="0" w:firstLine="0"/>
        <w:jc w:val="both"/>
      </w:pPr>
      <w:r>
        <w:rPr>
          <w:rStyle w:val="CharStyle11"/>
          <w:b/>
          <w:bCs/>
        </w:rPr>
        <w:t>Okres przechowywania danych osobowych</w:t>
      </w:r>
    </w:p>
    <w:p>
      <w:pPr>
        <w:pStyle w:val="Style10"/>
        <w:keepNext w:val="0"/>
        <w:keepLines w:val="0"/>
        <w:widowControl w:val="0"/>
        <w:shd w:val="clear" w:color="auto" w:fill="auto"/>
        <w:bidi w:val="0"/>
        <w:spacing w:before="0" w:after="0"/>
        <w:ind w:left="0" w:right="0" w:firstLine="0"/>
        <w:jc w:val="both"/>
      </w:pPr>
      <w:r>
        <w:rPr>
          <w:rStyle w:val="CharStyle11"/>
        </w:rPr>
        <w:t>Pani/Pana dane osobowe będą przechowywane przez okres niezbędny do realizacji celu przetwarzania, a następnie:</w:t>
      </w:r>
    </w:p>
    <w:p>
      <w:pPr>
        <w:pStyle w:val="Style10"/>
        <w:keepNext w:val="0"/>
        <w:keepLines w:val="0"/>
        <w:widowControl w:val="0"/>
        <w:numPr>
          <w:ilvl w:val="0"/>
          <w:numId w:val="3"/>
        </w:numPr>
        <w:shd w:val="clear" w:color="auto" w:fill="auto"/>
        <w:tabs>
          <w:tab w:pos="750" w:val="left"/>
        </w:tabs>
        <w:bidi w:val="0"/>
        <w:spacing w:before="0" w:after="0"/>
        <w:ind w:left="740" w:right="0" w:hanging="340"/>
        <w:jc w:val="left"/>
      </w:pPr>
      <w:r>
        <w:rPr>
          <w:rStyle w:val="CharStyle11"/>
        </w:rPr>
        <w:t>w przypadku realizacji sprawy przez Ministerstwo Klimatu i Środowiska – 25 lat (kat. archiwalna A)</w:t>
      </w:r>
    </w:p>
    <w:p>
      <w:pPr>
        <w:pStyle w:val="Style10"/>
        <w:keepNext w:val="0"/>
        <w:keepLines w:val="0"/>
        <w:widowControl w:val="0"/>
        <w:numPr>
          <w:ilvl w:val="0"/>
          <w:numId w:val="3"/>
        </w:numPr>
        <w:shd w:val="clear" w:color="auto" w:fill="auto"/>
        <w:tabs>
          <w:tab w:pos="750" w:val="left"/>
        </w:tabs>
        <w:bidi w:val="0"/>
        <w:spacing w:before="0" w:after="0"/>
        <w:ind w:left="740" w:right="0" w:hanging="340"/>
        <w:jc w:val="left"/>
      </w:pPr>
      <w:r>
        <w:rPr>
          <w:rStyle w:val="CharStyle11"/>
        </w:rPr>
        <w:t>w przypadku przekazania petycji innemu podmiotowi, zgodnie z właściwością – 2 lata (kat. archiwalna B2)</w:t>
      </w:r>
    </w:p>
    <w:p>
      <w:pPr>
        <w:pStyle w:val="Style10"/>
        <w:keepNext w:val="0"/>
        <w:keepLines w:val="0"/>
        <w:widowControl w:val="0"/>
        <w:shd w:val="clear" w:color="auto" w:fill="auto"/>
        <w:bidi w:val="0"/>
        <w:spacing w:before="0" w:after="160"/>
        <w:ind w:left="0" w:right="0" w:firstLine="0"/>
        <w:jc w:val="both"/>
      </w:pPr>
      <w:r>
        <w:rPr>
          <w:rStyle w:val="CharStyle11"/>
        </w:rPr>
        <w:t>na podstawie Instrukcji Kancelaryjnej obowiązującej w Ministerstwie Klimatu i Środowiska) i przepisów ustawy z dnia 14 lipca 1983 r. o narodowym zasobie archiwalnym i archiwach.</w:t>
      </w:r>
    </w:p>
    <w:p>
      <w:pPr>
        <w:pStyle w:val="Style10"/>
        <w:keepNext w:val="0"/>
        <w:keepLines w:val="0"/>
        <w:widowControl w:val="0"/>
        <w:shd w:val="clear" w:color="auto" w:fill="auto"/>
        <w:bidi w:val="0"/>
        <w:spacing w:before="0" w:after="0"/>
        <w:ind w:left="0" w:right="0" w:firstLine="0"/>
        <w:jc w:val="both"/>
      </w:pPr>
      <w:r>
        <w:rPr>
          <w:rStyle w:val="CharStyle11"/>
          <w:b/>
          <w:bCs/>
        </w:rPr>
        <w:t>Przysługujące uprawnienia związane z przetwarzaniem danych osobowych</w:t>
      </w:r>
    </w:p>
    <w:p>
      <w:pPr>
        <w:pStyle w:val="Style10"/>
        <w:keepNext w:val="0"/>
        <w:keepLines w:val="0"/>
        <w:widowControl w:val="0"/>
        <w:shd w:val="clear" w:color="auto" w:fill="auto"/>
        <w:bidi w:val="0"/>
        <w:spacing w:before="0" w:after="0"/>
        <w:ind w:left="0" w:right="0" w:firstLine="0"/>
        <w:jc w:val="both"/>
      </w:pPr>
      <w:r>
        <w:rPr>
          <w:rStyle w:val="CharStyle11"/>
        </w:rPr>
        <w:t>Przysługują Pani/Panu następujące uprawnienia:</w:t>
      </w:r>
    </w:p>
    <w:p>
      <w:pPr>
        <w:pStyle w:val="Style10"/>
        <w:keepNext w:val="0"/>
        <w:keepLines w:val="0"/>
        <w:widowControl w:val="0"/>
        <w:numPr>
          <w:ilvl w:val="0"/>
          <w:numId w:val="3"/>
        </w:numPr>
        <w:shd w:val="clear" w:color="auto" w:fill="auto"/>
        <w:tabs>
          <w:tab w:pos="980" w:val="center"/>
          <w:tab w:pos="1410" w:val="left"/>
        </w:tabs>
        <w:bidi w:val="0"/>
        <w:spacing w:before="0" w:after="0"/>
        <w:ind w:left="0" w:right="0" w:firstLine="380"/>
        <w:jc w:val="left"/>
      </w:pPr>
      <w:r>
        <w:rPr>
          <w:rStyle w:val="CharStyle11"/>
        </w:rPr>
        <w:t>prawo</w:t>
        <w:tab/>
        <w:t>dostępu do danych osobowych i uzyskania ich kopii</w:t>
      </w:r>
    </w:p>
    <w:p>
      <w:pPr>
        <w:pStyle w:val="Style10"/>
        <w:keepNext w:val="0"/>
        <w:keepLines w:val="0"/>
        <w:widowControl w:val="0"/>
        <w:numPr>
          <w:ilvl w:val="0"/>
          <w:numId w:val="3"/>
        </w:numPr>
        <w:shd w:val="clear" w:color="auto" w:fill="auto"/>
        <w:tabs>
          <w:tab w:pos="980" w:val="center"/>
          <w:tab w:pos="1410" w:val="left"/>
        </w:tabs>
        <w:bidi w:val="0"/>
        <w:spacing w:before="0" w:after="0"/>
        <w:ind w:left="0" w:right="0" w:firstLine="380"/>
        <w:jc w:val="left"/>
      </w:pPr>
      <w:r>
        <w:rPr>
          <w:rStyle w:val="CharStyle11"/>
        </w:rPr>
        <w:t>prawo</w:t>
        <w:tab/>
        <w:t>do sprostowania danych osobowych</w:t>
      </w:r>
    </w:p>
    <w:p>
      <w:pPr>
        <w:pStyle w:val="Style10"/>
        <w:keepNext w:val="0"/>
        <w:keepLines w:val="0"/>
        <w:widowControl w:val="0"/>
        <w:numPr>
          <w:ilvl w:val="0"/>
          <w:numId w:val="3"/>
        </w:numPr>
        <w:shd w:val="clear" w:color="auto" w:fill="auto"/>
        <w:tabs>
          <w:tab w:pos="980" w:val="center"/>
          <w:tab w:pos="1410" w:val="left"/>
        </w:tabs>
        <w:bidi w:val="0"/>
        <w:spacing w:before="0" w:after="0"/>
        <w:ind w:left="0" w:right="0" w:firstLine="380"/>
        <w:jc w:val="left"/>
      </w:pPr>
      <w:r>
        <w:rPr>
          <w:rStyle w:val="CharStyle11"/>
        </w:rPr>
        <w:t>prawo</w:t>
        <w:tab/>
        <w:t>do usunięcia danych osobowych</w:t>
      </w:r>
    </w:p>
    <w:p>
      <w:pPr>
        <w:pStyle w:val="Style10"/>
        <w:keepNext w:val="0"/>
        <w:keepLines w:val="0"/>
        <w:widowControl w:val="0"/>
        <w:numPr>
          <w:ilvl w:val="0"/>
          <w:numId w:val="3"/>
        </w:numPr>
        <w:shd w:val="clear" w:color="auto" w:fill="auto"/>
        <w:tabs>
          <w:tab w:pos="980" w:val="center"/>
          <w:tab w:pos="1410" w:val="left"/>
        </w:tabs>
        <w:bidi w:val="0"/>
        <w:spacing w:before="0" w:after="0"/>
        <w:ind w:left="0" w:right="0" w:firstLine="380"/>
        <w:jc w:val="left"/>
      </w:pPr>
      <w:r>
        <w:rPr>
          <w:rStyle w:val="CharStyle11"/>
        </w:rPr>
        <w:t>prawo</w:t>
        <w:tab/>
        <w:t>ograniczenia przetwarzania.</w:t>
      </w:r>
    </w:p>
    <w:p>
      <w:pPr>
        <w:pStyle w:val="Style10"/>
        <w:keepNext w:val="0"/>
        <w:keepLines w:val="0"/>
        <w:widowControl w:val="0"/>
        <w:shd w:val="clear" w:color="auto" w:fill="auto"/>
        <w:bidi w:val="0"/>
        <w:spacing w:before="0" w:after="0"/>
        <w:ind w:left="0" w:right="0" w:firstLine="0"/>
        <w:jc w:val="both"/>
      </w:pPr>
      <w:r>
        <w:rPr>
          <w:rStyle w:val="CharStyle11"/>
        </w:rPr>
        <w:t>Aby skorzystać z powyższych praw należy skontaktować się z nami lub z naszym inspektorem ochrony danych (dane kontaktowe zawarte są powyżej).</w:t>
      </w:r>
    </w:p>
    <w:p>
      <w:pPr>
        <w:pStyle w:val="Style10"/>
        <w:keepNext w:val="0"/>
        <w:keepLines w:val="0"/>
        <w:widowControl w:val="0"/>
        <w:numPr>
          <w:ilvl w:val="0"/>
          <w:numId w:val="3"/>
        </w:numPr>
        <w:shd w:val="clear" w:color="auto" w:fill="auto"/>
        <w:tabs>
          <w:tab w:pos="750" w:val="left"/>
        </w:tabs>
        <w:bidi w:val="0"/>
        <w:spacing w:before="0" w:after="160"/>
        <w:ind w:left="740" w:right="0" w:hanging="340"/>
        <w:jc w:val="left"/>
      </w:pPr>
      <w:r>
        <w:rPr>
          <w:rStyle w:val="CharStyle11"/>
        </w:rPr>
        <w:t>prawo do wniesienia skargi do Prezesa Urzędu Ochrony Danych Osobowych (ul. Moniuszki 1A, 00-014 Warszawa), jeśli uzna Pani/Pan że przetwarzamy Pani/Pana dane osobowe niezgodnie z prawem.</w:t>
      </w:r>
    </w:p>
    <w:p>
      <w:pPr>
        <w:pStyle w:val="Style10"/>
        <w:keepNext w:val="0"/>
        <w:keepLines w:val="0"/>
        <w:widowControl w:val="0"/>
        <w:shd w:val="clear" w:color="auto" w:fill="auto"/>
        <w:bidi w:val="0"/>
        <w:spacing w:before="0" w:after="0"/>
        <w:ind w:left="0" w:right="0" w:firstLine="0"/>
        <w:jc w:val="both"/>
      </w:pPr>
      <w:r>
        <w:rPr>
          <w:rStyle w:val="CharStyle11"/>
          <w:b/>
          <w:bCs/>
        </w:rPr>
        <w:t>Informacja o przekazywaniu danych osobowych do państw trzecich</w:t>
      </w:r>
    </w:p>
    <w:p>
      <w:pPr>
        <w:pStyle w:val="Style10"/>
        <w:keepNext w:val="0"/>
        <w:keepLines w:val="0"/>
        <w:widowControl w:val="0"/>
        <w:shd w:val="clear" w:color="auto" w:fill="auto"/>
        <w:bidi w:val="0"/>
        <w:spacing w:before="0" w:after="160"/>
        <w:ind w:left="0" w:right="0" w:firstLine="0"/>
        <w:jc w:val="both"/>
      </w:pPr>
      <w:r>
        <w:rPr>
          <w:rStyle w:val="CharStyle11"/>
        </w:rPr>
        <w:t>Nie przekazujemy Pani/Pana danych osobowych do państw trzecich.</w:t>
      </w:r>
    </w:p>
    <w:p>
      <w:pPr>
        <w:pStyle w:val="Style10"/>
        <w:keepNext w:val="0"/>
        <w:keepLines w:val="0"/>
        <w:widowControl w:val="0"/>
        <w:shd w:val="clear" w:color="auto" w:fill="auto"/>
        <w:bidi w:val="0"/>
        <w:spacing w:before="0" w:after="0"/>
        <w:ind w:left="0" w:right="0" w:firstLine="0"/>
        <w:jc w:val="both"/>
      </w:pPr>
      <w:r>
        <w:rPr>
          <w:rStyle w:val="CharStyle11"/>
          <w:b/>
          <w:bCs/>
        </w:rPr>
        <w:t>Informacja o profilowaniu</w:t>
      </w:r>
    </w:p>
    <w:p>
      <w:pPr>
        <w:pStyle w:val="Style10"/>
        <w:keepNext w:val="0"/>
        <w:keepLines w:val="0"/>
        <w:widowControl w:val="0"/>
        <w:shd w:val="clear" w:color="auto" w:fill="auto"/>
        <w:bidi w:val="0"/>
        <w:spacing w:before="0" w:after="160"/>
        <w:ind w:left="0" w:right="0" w:firstLine="0"/>
        <w:jc w:val="both"/>
      </w:pPr>
      <w:r>
        <w:rPr>
          <w:rStyle w:val="CharStyle11"/>
        </w:rPr>
        <w:t>Pani/Pana dane osobowe nie podlegają zautomatyzowanemu przetwarzaniu, w tym profilowaniu.</w:t>
      </w:r>
    </w:p>
    <w:p>
      <w:pPr>
        <w:pStyle w:val="Style10"/>
        <w:keepNext w:val="0"/>
        <w:keepLines w:val="0"/>
        <w:widowControl w:val="0"/>
        <w:shd w:val="clear" w:color="auto" w:fill="auto"/>
        <w:bidi w:val="0"/>
        <w:spacing w:before="0" w:after="0"/>
        <w:ind w:left="0" w:right="0" w:firstLine="0"/>
        <w:jc w:val="both"/>
      </w:pPr>
      <w:r>
        <w:rPr>
          <w:rStyle w:val="CharStyle11"/>
          <w:b/>
          <w:bCs/>
        </w:rPr>
        <w:t>Informacja o dowolności lub obowiązku podania danych</w:t>
      </w:r>
    </w:p>
    <w:p>
      <w:pPr>
        <w:pStyle w:val="Style10"/>
        <w:keepNext w:val="0"/>
        <w:keepLines w:val="0"/>
        <w:widowControl w:val="0"/>
        <w:shd w:val="clear" w:color="auto" w:fill="auto"/>
        <w:bidi w:val="0"/>
        <w:spacing w:before="0" w:after="160"/>
        <w:ind w:left="0" w:right="0" w:firstLine="0"/>
        <w:jc w:val="both"/>
      </w:pPr>
      <w:r>
        <w:rPr>
          <w:rStyle w:val="CharStyle11"/>
        </w:rPr>
        <w:t>Podanie przez Panią/Pana danych osobowych jest wymogiem ustawowym. Skutkiem niepodania danych osobowych będzie pozostawienie petycji bez rozpoznania.</w:t>
      </w:r>
    </w:p>
    <w:sectPr>
      <w:footnotePr>
        <w:pos w:val="pageBottom"/>
        <w:numFmt w:val="decimal"/>
        <w:numStart w:val="1"/>
        <w:numRestart w:val="continuous"/>
        <w15:footnoteColumns w:val="1"/>
      </w:footnotePr>
      <w:type w:val="continuous"/>
      <w:pgSz w:w="11900" w:h="16840"/>
      <w:pgMar w:top="2094" w:right="1953" w:bottom="675" w:left="1951" w:header="1666" w:footer="247"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both"/>
        <w:rPr>
          <w:sz w:val="16"/>
          <w:szCs w:val="16"/>
        </w:rPr>
      </w:pPr>
      <w:r>
        <w:rPr>
          <w:rStyle w:val="CharStyle3"/>
          <w:sz w:val="16"/>
          <w:szCs w:val="16"/>
        </w:rPr>
        <w:t xml:space="preserve">Telefon: (+48) 22 369 29 00 ul. Wawelska 52/54, 00-922 Warszawa </w:t>
      </w:r>
      <w:r>
        <w:fldChar w:fldCharType="begin"/>
      </w:r>
      <w:r>
        <w:rPr/>
        <w:instrText> HYPERLINK "mailto:info@klimat.gov.pl" </w:instrText>
      </w:r>
      <w:r>
        <w:fldChar w:fldCharType="separate"/>
      </w:r>
      <w:r>
        <w:rPr>
          <w:rStyle w:val="CharStyle3"/>
          <w:sz w:val="16"/>
          <w:szCs w:val="16"/>
        </w:rPr>
        <w:t>info@klimat.gov.pl</w:t>
      </w:r>
      <w:r>
        <w:fldChar w:fldCharType="end"/>
      </w:r>
      <w:r>
        <w:rPr>
          <w:rStyle w:val="CharStyle3"/>
          <w:sz w:val="16"/>
          <w:szCs w:val="16"/>
        </w:rPr>
        <w:t xml:space="preserve"> Ministerstwo Klimatu i Środowiska </w:t>
      </w:r>
      <w:r>
        <w:fldChar w:fldCharType="begin"/>
      </w:r>
      <w:r>
        <w:rPr/>
        <w:instrText> HYPERLINK "http://www.gov.pl/klimat" </w:instrText>
      </w:r>
      <w:r>
        <w:fldChar w:fldCharType="separate"/>
      </w:r>
      <w:r>
        <w:rPr>
          <w:rStyle w:val="CharStyle3"/>
          <w:sz w:val="16"/>
          <w:szCs w:val="16"/>
        </w:rPr>
        <w:t>www.gov.pl/klimat</w:t>
      </w:r>
      <w:r>
        <w:fldChar w:fldCharType="end"/>
      </w:r>
    </w:p>
  </w:footnote>
  <w:footnote w:id="3">
    <w:p>
      <w:pPr>
        <w:pStyle w:val="Style2"/>
        <w:keepNext w:val="0"/>
        <w:keepLines w:val="0"/>
        <w:widowControl w:val="0"/>
        <w:shd w:val="clear" w:color="auto" w:fill="auto"/>
        <w:bidi w:val="0"/>
        <w:spacing w:before="0" w:after="0" w:line="240" w:lineRule="auto"/>
        <w:ind w:left="0" w:right="0" w:firstLine="0"/>
        <w:jc w:val="center"/>
        <w:rPr>
          <w:sz w:val="13"/>
          <w:szCs w:val="13"/>
        </w:rPr>
      </w:pPr>
      <w:r>
        <w:rPr>
          <w:rStyle w:val="CharStyle3"/>
          <w:sz w:val="13"/>
          <w:szCs w:val="13"/>
        </w:rPr>
        <w:t>Działamy zgodnie z EMAS - zarządzając instytucją, dbamy o środowisko</w:t>
      </w:r>
    </w:p>
  </w:footnote>
  <w:footnote w:id="4">
    <w:p>
      <w:pPr>
        <w:pStyle w:val="Style2"/>
        <w:keepNext w:val="0"/>
        <w:keepLines w:val="0"/>
        <w:widowControl w:val="0"/>
        <w:shd w:val="clear" w:color="auto" w:fill="auto"/>
        <w:bidi w:val="0"/>
        <w:spacing w:before="0" w:after="0" w:line="240" w:lineRule="auto"/>
        <w:ind w:left="0" w:right="0" w:firstLine="0"/>
        <w:jc w:val="left"/>
      </w:pPr>
      <w:r>
        <w:rPr>
          <w:rStyle w:val="CharStyle3"/>
          <w:vertAlign w:val="superscript"/>
        </w:rPr>
        <w:footnoteRef/>
      </w:r>
      <w:r>
        <w:rPr>
          <w:rStyle w:val="CharStyle3"/>
        </w:rPr>
        <w:t xml:space="preserve"> t.j. Dz. U. z 2025 r. poz. 647 z późn. zm.</w:t>
      </w:r>
    </w:p>
  </w:footnote>
  <w:footnote w:id="5">
    <w:p>
      <w:pPr>
        <w:pStyle w:val="Style2"/>
        <w:keepNext w:val="0"/>
        <w:keepLines w:val="0"/>
        <w:widowControl w:val="0"/>
        <w:shd w:val="clear" w:color="auto" w:fill="auto"/>
        <w:bidi w:val="0"/>
        <w:spacing w:before="0" w:after="0" w:line="266" w:lineRule="auto"/>
        <w:ind w:left="0" w:right="0" w:firstLine="0"/>
        <w:jc w:val="left"/>
      </w:pPr>
      <w:r>
        <w:rPr>
          <w:rStyle w:val="CharStyle3"/>
          <w:vertAlign w:val="superscript"/>
        </w:rPr>
        <w:footnoteRef/>
      </w:r>
      <w:r>
        <w:rPr>
          <w:rStyle w:val="CharStyle3"/>
        </w:rPr>
        <w:t xml:space="preserve"> Dz. U. z 2022 r. poz. 1518.</w:t>
      </w:r>
    </w:p>
  </w:footnote>
  <w:footnote w:id="6">
    <w:p>
      <w:pPr>
        <w:pStyle w:val="Style2"/>
        <w:keepNext w:val="0"/>
        <w:keepLines w:val="0"/>
        <w:widowControl w:val="0"/>
        <w:shd w:val="clear" w:color="auto" w:fill="auto"/>
        <w:bidi w:val="0"/>
        <w:spacing w:before="0" w:after="0" w:line="266" w:lineRule="auto"/>
        <w:ind w:left="0" w:right="0" w:firstLine="0"/>
        <w:jc w:val="left"/>
      </w:pPr>
      <w:r>
        <w:rPr>
          <w:rStyle w:val="CharStyle3"/>
          <w:vertAlign w:val="superscript"/>
        </w:rPr>
        <w:footnoteRef/>
      </w:r>
      <w:r>
        <w:rPr>
          <w:rStyle w:val="CharStyle3"/>
        </w:rPr>
        <w:t xml:space="preserve"> t.j. Dz. U. z 2025 r. poz. 889 z późn. zm.</w:t>
      </w:r>
    </w:p>
  </w:footnote>
  <w:footnote w:id="7">
    <w:p>
      <w:pPr>
        <w:pStyle w:val="Style2"/>
        <w:keepNext w:val="0"/>
        <w:keepLines w:val="0"/>
        <w:widowControl w:val="0"/>
        <w:shd w:val="clear" w:color="auto" w:fill="auto"/>
        <w:bidi w:val="0"/>
        <w:spacing w:before="0" w:after="0" w:line="266" w:lineRule="auto"/>
        <w:ind w:left="0" w:right="0" w:firstLine="0"/>
        <w:jc w:val="left"/>
      </w:pPr>
      <w:r>
        <w:rPr>
          <w:rStyle w:val="CharStyle3"/>
          <w:vertAlign w:val="superscript"/>
        </w:rPr>
        <w:footnoteRef/>
      </w:r>
      <w:r>
        <w:rPr>
          <w:rStyle w:val="CharStyle3"/>
        </w:rPr>
        <w:t xml:space="preserve"> Ministerstwo Infrastruktury, WR-D, strona:</w:t>
      </w:r>
      <w:r>
        <w:fldChar w:fldCharType="begin"/>
      </w:r>
      <w:r>
        <w:rPr/>
        <w:instrText> HYPERLINK "https://www.gov.pl/web/infrastruktura/wr-d" </w:instrText>
      </w:r>
      <w:r>
        <w:fldChar w:fldCharType="separate"/>
      </w:r>
      <w:r>
        <w:rPr>
          <w:rStyle w:val="CharStyle3"/>
        </w:rPr>
        <w:t xml:space="preserve"> </w:t>
      </w:r>
      <w:r>
        <w:rPr>
          <w:rStyle w:val="CharStyle3"/>
          <w:color w:val="0563C1"/>
          <w:u w:val="single"/>
        </w:rPr>
        <w:t>https://www.gov.pl/web/infrastruktura/wr-d</w:t>
      </w:r>
      <w:r>
        <w:rPr>
          <w:rStyle w:val="CharStyle3"/>
          <w:color w:val="0563C1"/>
        </w:rPr>
        <w:t xml:space="preserve"> </w:t>
      </w:r>
      <w:r>
        <w:fldChar w:fldCharType="end"/>
      </w:r>
      <w:r>
        <w:rPr>
          <w:rStyle w:val="CharStyle3"/>
        </w:rPr>
        <w:t>[dostęp: 25.08.2026 r.].</w:t>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7"/>
        <w:szCs w:val="17"/>
        <w:u w:val="none"/>
        <w:shd w:val="clear" w:color="auto" w:fill="auto"/>
        <w:vertAlign w:val="superscript"/>
        <w:lang w:val="pl-PL" w:eastAsia="pl-PL"/>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17"/>
        <w:szCs w:val="17"/>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Footnote_"/>
    <w:basedOn w:val="DefaultParagraphFont"/>
    <w:link w:val="Style2"/>
    <w:rPr>
      <w:rFonts w:ascii="Arial" w:eastAsia="Arial" w:hAnsi="Arial" w:cs="Arial"/>
      <w:b w:val="0"/>
      <w:bCs w:val="0"/>
      <w:i w:val="0"/>
      <w:iCs w:val="0"/>
      <w:smallCaps w:val="0"/>
      <w:strike w:val="0"/>
      <w:sz w:val="17"/>
      <w:szCs w:val="17"/>
      <w:u w:val="none"/>
    </w:rPr>
  </w:style>
  <w:style w:type="character" w:customStyle="1" w:styleId="CharStyle9">
    <w:name w:val="Body text_"/>
    <w:basedOn w:val="DefaultParagraphFont"/>
    <w:link w:val="Style8"/>
    <w:rPr>
      <w:rFonts w:ascii="Arial" w:eastAsia="Arial" w:hAnsi="Arial" w:cs="Arial"/>
      <w:b w:val="0"/>
      <w:bCs w:val="0"/>
      <w:i w:val="0"/>
      <w:iCs w:val="0"/>
      <w:smallCaps w:val="0"/>
      <w:strike w:val="0"/>
      <w:sz w:val="19"/>
      <w:szCs w:val="19"/>
      <w:u w:val="none"/>
    </w:rPr>
  </w:style>
  <w:style w:type="character" w:customStyle="1" w:styleId="CharStyle11">
    <w:name w:val="Body text (2)_"/>
    <w:basedOn w:val="DefaultParagraphFont"/>
    <w:link w:val="Style10"/>
    <w:rPr>
      <w:rFonts w:ascii="Arial" w:eastAsia="Arial" w:hAnsi="Arial" w:cs="Arial"/>
      <w:b w:val="0"/>
      <w:bCs w:val="0"/>
      <w:i w:val="0"/>
      <w:iCs w:val="0"/>
      <w:smallCaps w:val="0"/>
      <w:strike w:val="0"/>
      <w:sz w:val="17"/>
      <w:szCs w:val="17"/>
      <w:u w:val="none"/>
    </w:rPr>
  </w:style>
  <w:style w:type="paragraph" w:customStyle="1" w:styleId="Style2">
    <w:name w:val="Footnote"/>
    <w:basedOn w:val="Normal"/>
    <w:link w:val="CharStyle3"/>
    <w:pPr>
      <w:widowControl w:val="0"/>
      <w:shd w:val="clear" w:color="auto" w:fill="auto"/>
      <w:spacing w:line="252" w:lineRule="auto"/>
    </w:pPr>
    <w:rPr>
      <w:rFonts w:ascii="Arial" w:eastAsia="Arial" w:hAnsi="Arial" w:cs="Arial"/>
      <w:b w:val="0"/>
      <w:bCs w:val="0"/>
      <w:i w:val="0"/>
      <w:iCs w:val="0"/>
      <w:smallCaps w:val="0"/>
      <w:strike w:val="0"/>
      <w:sz w:val="17"/>
      <w:szCs w:val="17"/>
      <w:u w:val="none"/>
    </w:rPr>
  </w:style>
  <w:style w:type="paragraph" w:styleId="Style8">
    <w:name w:val="Body text"/>
    <w:basedOn w:val="Normal"/>
    <w:link w:val="CharStyle9"/>
    <w:qFormat/>
    <w:pPr>
      <w:widowControl w:val="0"/>
      <w:shd w:val="clear" w:color="auto" w:fill="auto"/>
      <w:spacing w:after="160" w:line="290" w:lineRule="auto"/>
    </w:pPr>
    <w:rPr>
      <w:rFonts w:ascii="Arial" w:eastAsia="Arial" w:hAnsi="Arial" w:cs="Arial"/>
      <w:b w:val="0"/>
      <w:bCs w:val="0"/>
      <w:i w:val="0"/>
      <w:iCs w:val="0"/>
      <w:smallCaps w:val="0"/>
      <w:strike w:val="0"/>
      <w:sz w:val="19"/>
      <w:szCs w:val="19"/>
      <w:u w:val="none"/>
    </w:rPr>
  </w:style>
  <w:style w:type="paragraph" w:customStyle="1" w:styleId="Style10">
    <w:name w:val="Body text (2)"/>
    <w:basedOn w:val="Normal"/>
    <w:link w:val="CharStyle11"/>
    <w:pPr>
      <w:widowControl w:val="0"/>
      <w:shd w:val="clear" w:color="auto" w:fill="auto"/>
      <w:spacing w:line="266" w:lineRule="auto"/>
    </w:pPr>
    <w:rPr>
      <w:rFonts w:ascii="Arial" w:eastAsia="Arial" w:hAnsi="Arial" w:cs="Arial"/>
      <w:b w:val="0"/>
      <w:bCs w:val="0"/>
      <w:i w:val="0"/>
      <w:iCs w:val="0"/>
      <w:smallCaps w:val="0"/>
      <w:strike w:val="0"/>
      <w:sz w:val="17"/>
      <w:szCs w:val="17"/>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

<file path=docProps/core.xml><?xml version="1.0" encoding="utf-8"?>
<cp:coreProperties xmlns:cp="http://schemas.openxmlformats.org/package/2006/metadata/core-properties" xmlns:dc="http://purl.org/dc/elements/1.1/">
  <dc:title>Szablon ogólny kolor</dc:title>
  <dc:subject/>
  <dc:creator/>
  <cp:keywords>PL, KOLOR</cp:keywords>
</cp:coreProperties>
</file>