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3C" w:rsidRPr="0071405A" w:rsidRDefault="006C2C3C" w:rsidP="006137FC">
      <w:pPr>
        <w:jc w:val="center"/>
        <w:rPr>
          <w:rFonts w:ascii="Times New Roman" w:hAnsi="Times New Roman"/>
          <w:b/>
          <w:sz w:val="28"/>
          <w:szCs w:val="28"/>
        </w:rPr>
      </w:pPr>
      <w:r w:rsidRPr="0071405A">
        <w:rPr>
          <w:rFonts w:ascii="Times New Roman" w:hAnsi="Times New Roman"/>
          <w:b/>
          <w:sz w:val="28"/>
          <w:szCs w:val="28"/>
        </w:rPr>
        <w:t>OPIS ISTOTNYCH ZAGADNIEŃ DLA KOMISJI EGZAMINACYJNEJ DO ZADANIA Z ZAKRESU PRAWA ADMINISTRACYJNEGO</w:t>
      </w:r>
    </w:p>
    <w:p w:rsidR="006C2C3C" w:rsidRPr="0071405A" w:rsidRDefault="006C2C3C" w:rsidP="006137FC">
      <w:pPr>
        <w:shd w:val="clear" w:color="auto" w:fill="FFFFFF"/>
        <w:autoSpaceDE w:val="0"/>
        <w:autoSpaceDN w:val="0"/>
        <w:adjustRightInd w:val="0"/>
        <w:jc w:val="center"/>
        <w:rPr>
          <w:rFonts w:ascii="Times New Roman" w:hAnsi="Times New Roman"/>
          <w:b/>
          <w:bCs/>
          <w:color w:val="000000"/>
          <w:szCs w:val="24"/>
        </w:rPr>
      </w:pPr>
      <w:r w:rsidRPr="0071405A">
        <w:rPr>
          <w:rFonts w:ascii="Times New Roman" w:hAnsi="Times New Roman"/>
          <w:b/>
          <w:bCs/>
          <w:color w:val="000000"/>
          <w:szCs w:val="24"/>
        </w:rPr>
        <w:t>(EGZAMIN ADWOKACKI - 13 MARCA 2015 r.)</w:t>
      </w:r>
    </w:p>
    <w:p w:rsidR="006C2C3C" w:rsidRPr="0071405A" w:rsidRDefault="006C2C3C" w:rsidP="00352D79">
      <w:pPr>
        <w:jc w:val="center"/>
        <w:rPr>
          <w:rFonts w:ascii="Times New Roman" w:hAnsi="Times New Roman"/>
          <w:b/>
          <w:sz w:val="22"/>
        </w:rPr>
      </w:pPr>
    </w:p>
    <w:p w:rsidR="006C2C3C" w:rsidRPr="0071405A" w:rsidRDefault="006C2C3C">
      <w:pPr>
        <w:rPr>
          <w:rFonts w:ascii="Times New Roman" w:hAnsi="Times New Roman"/>
          <w:szCs w:val="24"/>
        </w:rPr>
      </w:pPr>
      <w:r w:rsidRPr="0071405A">
        <w:rPr>
          <w:rFonts w:ascii="Times New Roman" w:hAnsi="Times New Roman"/>
          <w:sz w:val="22"/>
        </w:rPr>
        <w:tab/>
      </w:r>
      <w:r w:rsidRPr="0071405A">
        <w:rPr>
          <w:rFonts w:ascii="Times New Roman" w:hAnsi="Times New Roman"/>
          <w:szCs w:val="24"/>
        </w:rPr>
        <w:t xml:space="preserve">Zdaniem zespołu do przygotowania zadań na egzamin adwokacki, zdający powinien sporządzić skargę do Wojewódzkiego Sądu Administracyjnego na decyzję Warmińsko-Mazurskiego Państwowego Wojewódzkiego Inspektora Sanitarnego </w:t>
      </w:r>
      <w:r>
        <w:rPr>
          <w:rFonts w:ascii="Times New Roman" w:hAnsi="Times New Roman"/>
          <w:szCs w:val="24"/>
        </w:rPr>
        <w:t xml:space="preserve">w Olsztynie z dnia </w:t>
      </w:r>
      <w:r>
        <w:rPr>
          <w:rFonts w:ascii="Times New Roman" w:hAnsi="Times New Roman"/>
          <w:szCs w:val="24"/>
        </w:rPr>
        <w:br/>
      </w:r>
      <w:r w:rsidRPr="0071405A">
        <w:rPr>
          <w:rFonts w:ascii="Times New Roman" w:hAnsi="Times New Roman"/>
          <w:szCs w:val="24"/>
        </w:rPr>
        <w:t xml:space="preserve">20 lutego 2015 r. </w:t>
      </w:r>
    </w:p>
    <w:p w:rsidR="006C2C3C" w:rsidRPr="0071405A" w:rsidRDefault="006C2C3C" w:rsidP="00310A67">
      <w:pPr>
        <w:ind w:firstLine="708"/>
        <w:rPr>
          <w:rFonts w:ascii="Times New Roman" w:hAnsi="Times New Roman"/>
          <w:szCs w:val="24"/>
        </w:rPr>
      </w:pPr>
    </w:p>
    <w:p w:rsidR="006C2C3C" w:rsidRPr="0071405A" w:rsidRDefault="006C2C3C" w:rsidP="00310A67">
      <w:pPr>
        <w:ind w:firstLine="708"/>
        <w:rPr>
          <w:rFonts w:ascii="Times New Roman" w:hAnsi="Times New Roman"/>
          <w:szCs w:val="24"/>
        </w:rPr>
      </w:pPr>
      <w:r w:rsidRPr="0071405A">
        <w:rPr>
          <w:rFonts w:ascii="Times New Roman" w:hAnsi="Times New Roman"/>
          <w:szCs w:val="24"/>
        </w:rPr>
        <w:t>Przy ocenie rozwiązania zadania należy w szczególności (w ramach wymogów wyznaczonych przepisem art. 78e ust. 2 ustawy z dnia 26 maja 1982 r. – Prawo</w:t>
      </w:r>
      <w:r>
        <w:rPr>
          <w:rFonts w:ascii="Times New Roman" w:hAnsi="Times New Roman"/>
          <w:szCs w:val="24"/>
        </w:rPr>
        <w:t xml:space="preserve"> </w:t>
      </w:r>
      <w:r>
        <w:rPr>
          <w:rFonts w:ascii="Times New Roman" w:hAnsi="Times New Roman"/>
          <w:szCs w:val="24"/>
        </w:rPr>
        <w:br/>
      </w:r>
      <w:r w:rsidRPr="0071405A">
        <w:rPr>
          <w:rFonts w:ascii="Times New Roman" w:hAnsi="Times New Roman"/>
          <w:szCs w:val="24"/>
        </w:rPr>
        <w:t>o adwokaturze), zwrócić uwagę na następujące kwestie:</w:t>
      </w:r>
    </w:p>
    <w:p w:rsidR="006C2C3C" w:rsidRPr="0071405A" w:rsidRDefault="006C2C3C" w:rsidP="00A049E5">
      <w:pPr>
        <w:pStyle w:val="ListParagraph"/>
        <w:numPr>
          <w:ilvl w:val="0"/>
          <w:numId w:val="1"/>
        </w:numPr>
        <w:ind w:left="567" w:hanging="567"/>
        <w:rPr>
          <w:rFonts w:ascii="Times New Roman" w:hAnsi="Times New Roman"/>
          <w:szCs w:val="24"/>
        </w:rPr>
      </w:pPr>
      <w:r w:rsidRPr="0071405A">
        <w:rPr>
          <w:rFonts w:ascii="Times New Roman" w:hAnsi="Times New Roman"/>
          <w:szCs w:val="24"/>
        </w:rPr>
        <w:t>Skarga powinna spełniać wymogi formalne wynikające z art. 46 - 47 i art. 57 ustawy            z dnia 30 sierpnia 2002 r. - Prawo o postępowaniu przed sądami administracyjnymi (dalej: „p.p.s.a.”). Z treści skargi powinno wynikać, że został do niej dołączony jej odpis, a także pełnomocnictwo wraz z dowodem uiszczenia opłaty skarbowej od pełnomocnictwa.</w:t>
      </w:r>
    </w:p>
    <w:p w:rsidR="006C2C3C" w:rsidRPr="0071405A" w:rsidRDefault="006C2C3C" w:rsidP="0082264F">
      <w:pPr>
        <w:pStyle w:val="ListParagraph"/>
        <w:numPr>
          <w:ilvl w:val="0"/>
          <w:numId w:val="1"/>
        </w:numPr>
        <w:ind w:left="567" w:hanging="567"/>
        <w:rPr>
          <w:rFonts w:ascii="Times New Roman" w:hAnsi="Times New Roman"/>
          <w:szCs w:val="24"/>
        </w:rPr>
      </w:pPr>
      <w:r w:rsidRPr="0071405A">
        <w:rPr>
          <w:rFonts w:ascii="Times New Roman" w:hAnsi="Times New Roman"/>
          <w:szCs w:val="24"/>
        </w:rPr>
        <w:t>Ze skargi powinno wynikać, że została ona wniesiona w terminie 30 dni od dnia doręczenia skarżącemu decyzji organu drugiej instancji do Wojewódzkiego Sądu Administracyjnego w Olsztynie za pośrednictwem Warmińsko-Mazurskiego Państwowego Wojewódzkiego Inspektora Sanitarnego w Olsztynie (art. 53 § 1 i art. 54 § 1 p.p.s.a.).</w:t>
      </w:r>
    </w:p>
    <w:p w:rsidR="006C2C3C" w:rsidRPr="0071405A" w:rsidRDefault="006C2C3C" w:rsidP="0082264F">
      <w:pPr>
        <w:pStyle w:val="ListParagraph"/>
        <w:numPr>
          <w:ilvl w:val="0"/>
          <w:numId w:val="1"/>
        </w:numPr>
        <w:ind w:left="567" w:hanging="567"/>
        <w:rPr>
          <w:rFonts w:ascii="Times New Roman" w:hAnsi="Times New Roman"/>
          <w:szCs w:val="24"/>
        </w:rPr>
      </w:pPr>
      <w:r w:rsidRPr="0071405A">
        <w:rPr>
          <w:rFonts w:ascii="Times New Roman" w:hAnsi="Times New Roman"/>
          <w:szCs w:val="24"/>
        </w:rPr>
        <w:t>Zdający powinien wnieść o uchylenie w całości zaskarżonej decyzji na podstawie art. 145 § 1 pkt 1 lit. a i c p.p.s.a., ewentualnie na podstawie art. 145 § 1 pkt 1                          lit. a i c p.p.s.a oraz art. 135 p.p.s.a. o uchylenie w całości decyzji organów obu instancji - z uwagi na naruszenie przepisów postępowania, które mogło mieć istotny wpływ na wynik sprawy, a także naruszenie przepisów prawa materialnego, które miało wpływ na wynik sprawy.</w:t>
      </w:r>
    </w:p>
    <w:p w:rsidR="006C2C3C" w:rsidRPr="0071405A" w:rsidRDefault="006C2C3C" w:rsidP="0082264F">
      <w:pPr>
        <w:pStyle w:val="ListParagraph"/>
        <w:numPr>
          <w:ilvl w:val="0"/>
          <w:numId w:val="1"/>
        </w:numPr>
        <w:ind w:left="567" w:hanging="567"/>
        <w:rPr>
          <w:rFonts w:ascii="Times New Roman" w:hAnsi="Times New Roman"/>
          <w:szCs w:val="24"/>
        </w:rPr>
      </w:pPr>
      <w:r w:rsidRPr="0071405A">
        <w:rPr>
          <w:rFonts w:ascii="Times New Roman" w:hAnsi="Times New Roman"/>
          <w:szCs w:val="24"/>
        </w:rPr>
        <w:t>W tak zakreślonych granicach zaskarżenia wydaje się, że w pierwszym rzędzie zasadne byłoby podniesienie zarzutów naruszenia:</w:t>
      </w:r>
    </w:p>
    <w:p w:rsidR="006C2C3C" w:rsidRPr="0071405A" w:rsidRDefault="006C2C3C" w:rsidP="00415238">
      <w:pPr>
        <w:rPr>
          <w:rFonts w:ascii="Times New Roman" w:hAnsi="Times New Roman"/>
          <w:szCs w:val="24"/>
        </w:rPr>
      </w:pPr>
      <w:r w:rsidRPr="0071405A">
        <w:rPr>
          <w:rFonts w:ascii="Times New Roman" w:hAnsi="Times New Roman"/>
          <w:b/>
          <w:szCs w:val="24"/>
        </w:rPr>
        <w:t>- art. 7 i art. 77 k.p.a.</w:t>
      </w:r>
      <w:r w:rsidRPr="0071405A">
        <w:rPr>
          <w:rFonts w:ascii="Times New Roman" w:hAnsi="Times New Roman"/>
          <w:szCs w:val="24"/>
        </w:rPr>
        <w:t xml:space="preserve">, poprzez nienależyte wyjaśnienie stanu faktycznego sprawy                    w zakresie sprawności urządzeń sanitarnych w pomieszczeniu WC dla personelu oraz przestrzegania wymagań higieny osobistej przez pracownika kuchni – Krystynę Szczupak; </w:t>
      </w:r>
    </w:p>
    <w:p w:rsidR="006C2C3C" w:rsidRPr="0071405A" w:rsidRDefault="006C2C3C" w:rsidP="00415238">
      <w:pPr>
        <w:rPr>
          <w:rFonts w:ascii="Times New Roman" w:hAnsi="Times New Roman"/>
          <w:szCs w:val="24"/>
        </w:rPr>
      </w:pPr>
      <w:r w:rsidRPr="0071405A">
        <w:rPr>
          <w:rFonts w:ascii="Times New Roman" w:hAnsi="Times New Roman"/>
          <w:b/>
          <w:szCs w:val="24"/>
        </w:rPr>
        <w:t>- art. 10 § 1 k.p.a.</w:t>
      </w:r>
      <w:r w:rsidRPr="0071405A">
        <w:rPr>
          <w:rFonts w:ascii="Times New Roman" w:hAnsi="Times New Roman"/>
          <w:szCs w:val="24"/>
        </w:rPr>
        <w:t xml:space="preserve">, poprzez niezapewnienie stronie czynnego udziału w czynności przesłuchania świadka, bez wykazania, że podjęcie tej czynności bez udziału strony było konieczne ze względu na niebezpieczeństwo dla życia lub zdrowia ludzkiego albo ze względu na grożącą niepowetowaną szkodę materialną. Dodatkowo organ drugiej instancji naruszył art. 10 § 1 k.p.a. poprzez niepoinformowanie strony o możliwości wypowiedzenia się </w:t>
      </w:r>
      <w:r>
        <w:rPr>
          <w:rFonts w:ascii="Times New Roman" w:hAnsi="Times New Roman"/>
          <w:szCs w:val="24"/>
        </w:rPr>
        <w:br/>
      </w:r>
      <w:r w:rsidRPr="0071405A">
        <w:rPr>
          <w:rFonts w:ascii="Times New Roman" w:hAnsi="Times New Roman"/>
          <w:szCs w:val="24"/>
        </w:rPr>
        <w:t>w sprawie przed wydaniem zaskarżonej decyzji;</w:t>
      </w:r>
    </w:p>
    <w:p w:rsidR="006C2C3C" w:rsidRPr="0071405A" w:rsidRDefault="006C2C3C" w:rsidP="006C4785">
      <w:pPr>
        <w:rPr>
          <w:rFonts w:ascii="Times New Roman" w:hAnsi="Times New Roman"/>
          <w:szCs w:val="24"/>
        </w:rPr>
      </w:pPr>
      <w:r w:rsidRPr="0071405A">
        <w:rPr>
          <w:rFonts w:ascii="Times New Roman" w:hAnsi="Times New Roman"/>
          <w:b/>
          <w:szCs w:val="24"/>
        </w:rPr>
        <w:t>- art. 15 k.p.a.,</w:t>
      </w:r>
      <w:r w:rsidRPr="0071405A">
        <w:rPr>
          <w:rFonts w:ascii="Times New Roman" w:hAnsi="Times New Roman"/>
          <w:szCs w:val="24"/>
        </w:rPr>
        <w:t xml:space="preserve"> poprzez przyjęcie przez organ drugiej instancji nowych, dodatkowych ustaleń stanu faktycznego i rozpoznanie sprawy w innym zakresie niż została ona rozstrzygnięta decyzją organu pierwszej instancji. Organ odwoławczy stwierdził dodatkowo, że w barze nie są przestrzegane zasady higieny przez osobę odpowiedzialną za przygotowywanie posiłków (Krystyna Szczupak), a także orzekł co do istoty sprawy w oparciu o inny przepis prawa materialnego (art. 27 ust. 2 ustawy o Państwowej Inspekcji Sanitarnej) niż uczynił to wcześniej organ pierwszej instancji (art. 27 ust. 1 ustawy o Państwowej Inspekcji Sanitarnej). </w:t>
      </w:r>
      <w:r w:rsidRPr="0071405A">
        <w:rPr>
          <w:rFonts w:ascii="Times New Roman" w:hAnsi="Times New Roman"/>
          <w:i/>
          <w:szCs w:val="24"/>
        </w:rPr>
        <w:t>„Organ odwoławczy, uchylając zaskarżoną decyzję i orzekając co do istoty sprawy (art. 138 § 1 pkt 2 k.p.a.), nie może rozstrzygać w oparciu o inny przepis prawa materialnego niż wcześniej organ pierwszej instancji w uchylonej decyzji, gdyż w przeciwnym razie uległby zmianie przedmiot postępowania administracyjnego i decyzja tak wydana naruszałaby zasadę dwuinstancyjności postępowania administracyjnego</w:t>
      </w:r>
      <w:r w:rsidRPr="0071405A">
        <w:rPr>
          <w:rFonts w:ascii="Times New Roman" w:hAnsi="Times New Roman"/>
          <w:szCs w:val="24"/>
        </w:rPr>
        <w:t xml:space="preserve">” - zob. wyroki NSA: z dnia 22 października 2009 r., sygn. akt II OSK 1626/08; z dnia 8 kwietnia 2011 r., sygn. akt I OSK 1899/10; z dnia 9 kwietnia 2013 r., II OSK 2369/11, a także wyrok WSA w Krakowie z dnia 14 stycznia 2014 r., </w:t>
      </w:r>
      <w:r w:rsidRPr="0071405A">
        <w:rPr>
          <w:rFonts w:ascii="Times New Roman" w:hAnsi="Times New Roman"/>
          <w:bCs/>
          <w:szCs w:val="24"/>
        </w:rPr>
        <w:t>III SA/Kr 906/13</w:t>
      </w:r>
      <w:r w:rsidRPr="0071405A">
        <w:rPr>
          <w:rFonts w:ascii="Times New Roman" w:hAnsi="Times New Roman"/>
          <w:szCs w:val="24"/>
        </w:rPr>
        <w:t>;</w:t>
      </w:r>
    </w:p>
    <w:p w:rsidR="006C2C3C" w:rsidRPr="0071405A" w:rsidRDefault="006C2C3C" w:rsidP="006C4785">
      <w:pPr>
        <w:rPr>
          <w:rFonts w:ascii="Times New Roman" w:hAnsi="Times New Roman"/>
          <w:szCs w:val="24"/>
        </w:rPr>
      </w:pPr>
      <w:r w:rsidRPr="0071405A">
        <w:rPr>
          <w:rFonts w:ascii="Times New Roman" w:hAnsi="Times New Roman"/>
          <w:b/>
          <w:szCs w:val="24"/>
        </w:rPr>
        <w:t>- art. 79 k.p.a.</w:t>
      </w:r>
      <w:r w:rsidRPr="0071405A">
        <w:rPr>
          <w:rFonts w:ascii="Times New Roman" w:hAnsi="Times New Roman"/>
          <w:szCs w:val="24"/>
        </w:rPr>
        <w:t>, poprzez brak zawiadomienia strony o przesłuchaniu świadka (Adama Karasia), którego zeznania zostały wykorzystane przy ustaleniu stanu faktycznego przez organy obu instancji;</w:t>
      </w:r>
    </w:p>
    <w:p w:rsidR="006C2C3C" w:rsidRPr="0071405A" w:rsidRDefault="006C2C3C" w:rsidP="006C4785">
      <w:pPr>
        <w:rPr>
          <w:rFonts w:ascii="Times New Roman" w:hAnsi="Times New Roman"/>
          <w:szCs w:val="24"/>
        </w:rPr>
      </w:pPr>
      <w:r w:rsidRPr="0071405A">
        <w:rPr>
          <w:rFonts w:ascii="Times New Roman" w:hAnsi="Times New Roman"/>
          <w:b/>
          <w:szCs w:val="24"/>
        </w:rPr>
        <w:t>- art. 139 k.p.a.</w:t>
      </w:r>
      <w:r w:rsidRPr="0071405A">
        <w:rPr>
          <w:rFonts w:ascii="Times New Roman" w:hAnsi="Times New Roman"/>
          <w:szCs w:val="24"/>
        </w:rPr>
        <w:t>, poprzez wydanie przez organ drugiej instancji decyzji na niekorzyść strony odwołującej się, przy błędnej ocenie, że decyzja organu pierwszej instancji rażąco narusza art. 27 ust. 1 ustawy o Państwowej Inspekcji Sanitarnej. Organowi pierwszej instancji można postawić zarzut naruszenia art. 27 ust 1 ustawy o Państwowej Inspekcji Sanitarnej, poprzez jego niewłaściwe zastosowanie (bez należytego wyjaśnienia stanu faktycznego w zakresie sprawności urządzeń sanitarnych w pomieszczeniu WC dla personelu), ale nie stanowi to rażącego naruszenia tego przepisu prawa (zob. wyrok NSA z 10 lipca 2010 r. sygn. I OSK 1283/08).</w:t>
      </w:r>
    </w:p>
    <w:p w:rsidR="006C2C3C" w:rsidRPr="0071405A" w:rsidRDefault="006C2C3C" w:rsidP="006C4785">
      <w:pPr>
        <w:rPr>
          <w:rFonts w:ascii="Times New Roman" w:hAnsi="Times New Roman"/>
          <w:szCs w:val="24"/>
        </w:rPr>
      </w:pPr>
      <w:r w:rsidRPr="0071405A">
        <w:rPr>
          <w:rFonts w:ascii="Times New Roman" w:hAnsi="Times New Roman"/>
          <w:szCs w:val="24"/>
        </w:rPr>
        <w:t xml:space="preserve">W konsekwencji powyższego zasadny jest też zarzut naruszenia </w:t>
      </w:r>
      <w:r w:rsidRPr="0071405A">
        <w:rPr>
          <w:rFonts w:ascii="Times New Roman" w:hAnsi="Times New Roman"/>
          <w:b/>
          <w:szCs w:val="24"/>
        </w:rPr>
        <w:t>art. 27 ust. 1 i 2</w:t>
      </w:r>
      <w:r w:rsidRPr="0071405A">
        <w:rPr>
          <w:rFonts w:ascii="Times New Roman" w:hAnsi="Times New Roman"/>
          <w:szCs w:val="24"/>
        </w:rPr>
        <w:t xml:space="preserve"> </w:t>
      </w:r>
      <w:r w:rsidRPr="0071405A">
        <w:rPr>
          <w:rFonts w:ascii="Times New Roman" w:hAnsi="Times New Roman"/>
          <w:b/>
          <w:szCs w:val="24"/>
        </w:rPr>
        <w:t>ustawy              o Państwowej Inspekcji Sanitarnej</w:t>
      </w:r>
      <w:r w:rsidRPr="0071405A">
        <w:rPr>
          <w:rFonts w:ascii="Times New Roman" w:hAnsi="Times New Roman"/>
          <w:szCs w:val="24"/>
        </w:rPr>
        <w:t xml:space="preserve">, poprzez ich </w:t>
      </w:r>
      <w:bookmarkStart w:id="0" w:name="_GoBack"/>
      <w:bookmarkEnd w:id="0"/>
      <w:r w:rsidRPr="0071405A">
        <w:rPr>
          <w:rFonts w:ascii="Times New Roman" w:hAnsi="Times New Roman"/>
          <w:szCs w:val="24"/>
        </w:rPr>
        <w:t>niewłaściwe zastosowanie w sprawie.</w:t>
      </w:r>
    </w:p>
    <w:p w:rsidR="006C2C3C" w:rsidRPr="0071405A" w:rsidRDefault="006C2C3C" w:rsidP="000F0FCF">
      <w:pPr>
        <w:numPr>
          <w:ilvl w:val="0"/>
          <w:numId w:val="1"/>
        </w:numPr>
        <w:ind w:left="360" w:hanging="360"/>
        <w:rPr>
          <w:rFonts w:ascii="Times New Roman" w:hAnsi="Times New Roman"/>
          <w:szCs w:val="24"/>
        </w:rPr>
      </w:pPr>
      <w:r w:rsidRPr="0071405A">
        <w:rPr>
          <w:rFonts w:ascii="Times New Roman" w:hAnsi="Times New Roman"/>
          <w:szCs w:val="24"/>
        </w:rPr>
        <w:t xml:space="preserve">W żądaniu skargi powinien być również zawarty wniosek o zasądzenie kosztów postępowania, w tym zwrotu kosztów zastępstwa procesowego (art. 200 p.p.s.a.), </w:t>
      </w:r>
      <w:r w:rsidRPr="0071405A">
        <w:rPr>
          <w:rFonts w:ascii="Times New Roman" w:hAnsi="Times New Roman"/>
          <w:szCs w:val="24"/>
        </w:rPr>
        <w:br/>
        <w:t>a także wniosek o wstrzymanie wykonania zaskarżonej decyzji (art. 61 § 3 p.p.s.a.).</w:t>
      </w:r>
    </w:p>
    <w:sectPr w:rsidR="006C2C3C" w:rsidRPr="0071405A" w:rsidSect="00A964B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C3C" w:rsidRDefault="006C2C3C" w:rsidP="004B34D7">
      <w:pPr>
        <w:spacing w:line="240" w:lineRule="auto"/>
      </w:pPr>
      <w:r>
        <w:separator/>
      </w:r>
    </w:p>
  </w:endnote>
  <w:endnote w:type="continuationSeparator" w:id="0">
    <w:p w:rsidR="006C2C3C" w:rsidRDefault="006C2C3C" w:rsidP="004B34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C3C" w:rsidRDefault="006C2C3C" w:rsidP="00522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2C3C" w:rsidRDefault="006C2C3C" w:rsidP="000E0D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C3C" w:rsidRPr="008C4095" w:rsidRDefault="006C2C3C" w:rsidP="008C4095">
    <w:pPr>
      <w:pStyle w:val="Footer"/>
      <w:framePr w:wrap="around" w:vAnchor="text" w:hAnchor="page" w:x="10418" w:y="-43"/>
      <w:rPr>
        <w:rStyle w:val="PageNumber"/>
        <w:rFonts w:ascii="Times New Roman" w:hAnsi="Times New Roman"/>
        <w:sz w:val="22"/>
      </w:rPr>
    </w:pPr>
    <w:r w:rsidRPr="008C4095">
      <w:rPr>
        <w:rStyle w:val="PageNumber"/>
        <w:rFonts w:ascii="Times New Roman" w:hAnsi="Times New Roman"/>
        <w:sz w:val="22"/>
      </w:rPr>
      <w:fldChar w:fldCharType="begin"/>
    </w:r>
    <w:r w:rsidRPr="008C4095">
      <w:rPr>
        <w:rStyle w:val="PageNumber"/>
        <w:rFonts w:ascii="Times New Roman" w:hAnsi="Times New Roman"/>
        <w:sz w:val="22"/>
      </w:rPr>
      <w:instrText xml:space="preserve">PAGE  </w:instrText>
    </w:r>
    <w:r w:rsidRPr="008C4095">
      <w:rPr>
        <w:rStyle w:val="PageNumber"/>
        <w:rFonts w:ascii="Times New Roman" w:hAnsi="Times New Roman"/>
        <w:sz w:val="22"/>
      </w:rPr>
      <w:fldChar w:fldCharType="separate"/>
    </w:r>
    <w:r>
      <w:rPr>
        <w:rStyle w:val="PageNumber"/>
        <w:rFonts w:ascii="Times New Roman" w:hAnsi="Times New Roman"/>
        <w:noProof/>
        <w:sz w:val="22"/>
      </w:rPr>
      <w:t>1</w:t>
    </w:r>
    <w:r w:rsidRPr="008C4095">
      <w:rPr>
        <w:rStyle w:val="PageNumber"/>
        <w:rFonts w:ascii="Times New Roman" w:hAnsi="Times New Roman"/>
        <w:sz w:val="22"/>
      </w:rPr>
      <w:fldChar w:fldCharType="end"/>
    </w:r>
  </w:p>
  <w:p w:rsidR="006C2C3C" w:rsidRDefault="006C2C3C" w:rsidP="000E0D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C3C" w:rsidRDefault="006C2C3C" w:rsidP="004B34D7">
      <w:pPr>
        <w:spacing w:line="240" w:lineRule="auto"/>
      </w:pPr>
      <w:r>
        <w:separator/>
      </w:r>
    </w:p>
  </w:footnote>
  <w:footnote w:type="continuationSeparator" w:id="0">
    <w:p w:rsidR="006C2C3C" w:rsidRDefault="006C2C3C" w:rsidP="004B34D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F0DBA"/>
    <w:multiLevelType w:val="hybridMultilevel"/>
    <w:tmpl w:val="9A7C29DA"/>
    <w:lvl w:ilvl="0" w:tplc="DAB278C4">
      <w:start w:val="1"/>
      <w:numFmt w:val="decimal"/>
      <w:lvlText w:val="%1."/>
      <w:lvlJc w:val="left"/>
      <w:pPr>
        <w:ind w:left="1068" w:hanging="708"/>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7FD7"/>
    <w:rsid w:val="00023E51"/>
    <w:rsid w:val="00027BE4"/>
    <w:rsid w:val="000E0DF0"/>
    <w:rsid w:val="000F0FCF"/>
    <w:rsid w:val="001672D6"/>
    <w:rsid w:val="001B601A"/>
    <w:rsid w:val="001D3216"/>
    <w:rsid w:val="001E7C98"/>
    <w:rsid w:val="00202AE0"/>
    <w:rsid w:val="0022119C"/>
    <w:rsid w:val="0024233E"/>
    <w:rsid w:val="00245A02"/>
    <w:rsid w:val="00260CE4"/>
    <w:rsid w:val="0026615E"/>
    <w:rsid w:val="002710D4"/>
    <w:rsid w:val="00286DE1"/>
    <w:rsid w:val="002C76A7"/>
    <w:rsid w:val="002F7BDD"/>
    <w:rsid w:val="00310A67"/>
    <w:rsid w:val="00327A1D"/>
    <w:rsid w:val="00351019"/>
    <w:rsid w:val="00352D79"/>
    <w:rsid w:val="003B5731"/>
    <w:rsid w:val="00402D41"/>
    <w:rsid w:val="00415238"/>
    <w:rsid w:val="00432AF2"/>
    <w:rsid w:val="00495D7B"/>
    <w:rsid w:val="004B34D7"/>
    <w:rsid w:val="004E6146"/>
    <w:rsid w:val="00510958"/>
    <w:rsid w:val="0052278B"/>
    <w:rsid w:val="00571292"/>
    <w:rsid w:val="00575351"/>
    <w:rsid w:val="006137FC"/>
    <w:rsid w:val="00641143"/>
    <w:rsid w:val="00673BB3"/>
    <w:rsid w:val="006B753B"/>
    <w:rsid w:val="006C2C3C"/>
    <w:rsid w:val="006C2E91"/>
    <w:rsid w:val="006C4785"/>
    <w:rsid w:val="006E5F2A"/>
    <w:rsid w:val="00711895"/>
    <w:rsid w:val="0071405A"/>
    <w:rsid w:val="007E7659"/>
    <w:rsid w:val="007F2642"/>
    <w:rsid w:val="007F581A"/>
    <w:rsid w:val="00807280"/>
    <w:rsid w:val="0082264F"/>
    <w:rsid w:val="00831122"/>
    <w:rsid w:val="00832E95"/>
    <w:rsid w:val="008C4095"/>
    <w:rsid w:val="008E3540"/>
    <w:rsid w:val="0091635F"/>
    <w:rsid w:val="0092028F"/>
    <w:rsid w:val="00934BC6"/>
    <w:rsid w:val="00955D9E"/>
    <w:rsid w:val="00987FD7"/>
    <w:rsid w:val="0099413C"/>
    <w:rsid w:val="00A049E5"/>
    <w:rsid w:val="00A73DB2"/>
    <w:rsid w:val="00A90EC3"/>
    <w:rsid w:val="00A95C2E"/>
    <w:rsid w:val="00A964B8"/>
    <w:rsid w:val="00AE2D22"/>
    <w:rsid w:val="00AF1371"/>
    <w:rsid w:val="00AF1DB7"/>
    <w:rsid w:val="00B43126"/>
    <w:rsid w:val="00B54F38"/>
    <w:rsid w:val="00B82F83"/>
    <w:rsid w:val="00BA3F73"/>
    <w:rsid w:val="00BA7698"/>
    <w:rsid w:val="00BD61B6"/>
    <w:rsid w:val="00BE321E"/>
    <w:rsid w:val="00BF5456"/>
    <w:rsid w:val="00C0724F"/>
    <w:rsid w:val="00C16AC4"/>
    <w:rsid w:val="00C20D01"/>
    <w:rsid w:val="00C3038F"/>
    <w:rsid w:val="00C347CF"/>
    <w:rsid w:val="00C560A2"/>
    <w:rsid w:val="00CB7094"/>
    <w:rsid w:val="00CC01CB"/>
    <w:rsid w:val="00D7594E"/>
    <w:rsid w:val="00DD3C65"/>
    <w:rsid w:val="00DE19C5"/>
    <w:rsid w:val="00E41354"/>
    <w:rsid w:val="00E579C9"/>
    <w:rsid w:val="00E9236F"/>
    <w:rsid w:val="00EC2894"/>
    <w:rsid w:val="00F4072D"/>
    <w:rsid w:val="00F42391"/>
    <w:rsid w:val="00F5628E"/>
    <w:rsid w:val="00FA64E8"/>
    <w:rsid w:val="00FC2B26"/>
    <w:rsid w:val="00FF42B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9E"/>
    <w:pPr>
      <w:spacing w:line="360" w:lineRule="auto"/>
      <w:jc w:val="both"/>
    </w:pPr>
    <w:rPr>
      <w:rFonts w:ascii="Arial" w:hAnsi="Arial"/>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0A67"/>
    <w:pPr>
      <w:ind w:left="720"/>
      <w:contextualSpacing/>
    </w:pPr>
  </w:style>
  <w:style w:type="paragraph" w:styleId="Header">
    <w:name w:val="header"/>
    <w:basedOn w:val="Normal"/>
    <w:link w:val="HeaderChar"/>
    <w:uiPriority w:val="99"/>
    <w:rsid w:val="004B34D7"/>
    <w:pPr>
      <w:tabs>
        <w:tab w:val="center" w:pos="4536"/>
        <w:tab w:val="right" w:pos="9072"/>
      </w:tabs>
      <w:spacing w:line="240" w:lineRule="auto"/>
    </w:pPr>
  </w:style>
  <w:style w:type="character" w:customStyle="1" w:styleId="HeaderChar">
    <w:name w:val="Header Char"/>
    <w:basedOn w:val="DefaultParagraphFont"/>
    <w:link w:val="Header"/>
    <w:uiPriority w:val="99"/>
    <w:locked/>
    <w:rsid w:val="004B34D7"/>
    <w:rPr>
      <w:rFonts w:ascii="Arial" w:hAnsi="Arial" w:cs="Times New Roman"/>
      <w:sz w:val="24"/>
    </w:rPr>
  </w:style>
  <w:style w:type="paragraph" w:styleId="Footer">
    <w:name w:val="footer"/>
    <w:basedOn w:val="Normal"/>
    <w:link w:val="FooterChar"/>
    <w:uiPriority w:val="99"/>
    <w:rsid w:val="004B34D7"/>
    <w:pPr>
      <w:tabs>
        <w:tab w:val="center" w:pos="4536"/>
        <w:tab w:val="right" w:pos="9072"/>
      </w:tabs>
      <w:spacing w:line="240" w:lineRule="auto"/>
    </w:pPr>
  </w:style>
  <w:style w:type="character" w:customStyle="1" w:styleId="FooterChar">
    <w:name w:val="Footer Char"/>
    <w:basedOn w:val="DefaultParagraphFont"/>
    <w:link w:val="Footer"/>
    <w:uiPriority w:val="99"/>
    <w:locked/>
    <w:rsid w:val="004B34D7"/>
    <w:rPr>
      <w:rFonts w:ascii="Arial" w:hAnsi="Arial" w:cs="Times New Roman"/>
      <w:sz w:val="24"/>
    </w:rPr>
  </w:style>
  <w:style w:type="character" w:styleId="PageNumber">
    <w:name w:val="page number"/>
    <w:basedOn w:val="DefaultParagraphFont"/>
    <w:uiPriority w:val="99"/>
    <w:rsid w:val="000E0DF0"/>
    <w:rPr>
      <w:rFonts w:cs="Times New Roman"/>
    </w:rPr>
  </w:style>
</w:styles>
</file>

<file path=word/webSettings.xml><?xml version="1.0" encoding="utf-8"?>
<w:webSettings xmlns:r="http://schemas.openxmlformats.org/officeDocument/2006/relationships" xmlns:w="http://schemas.openxmlformats.org/wordprocessingml/2006/main">
  <w:divs>
    <w:div w:id="2028288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3</Pages>
  <Words>734</Words>
  <Characters>4409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ISTOSTNYCH ZAGADNIEŃ</dc:title>
  <dc:subject/>
  <dc:creator>user</dc:creator>
  <cp:keywords/>
  <dc:description/>
  <cp:lastModifiedBy>egzamin adwokacki</cp:lastModifiedBy>
  <cp:revision>16</cp:revision>
  <cp:lastPrinted>2015-02-20T10:37:00Z</cp:lastPrinted>
  <dcterms:created xsi:type="dcterms:W3CDTF">2014-11-05T11:05:00Z</dcterms:created>
  <dcterms:modified xsi:type="dcterms:W3CDTF">2015-02-23T15:11:00Z</dcterms:modified>
</cp:coreProperties>
</file>