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8A1" w:rsidRPr="00891AC9" w:rsidRDefault="008E48A1" w:rsidP="004E269D">
      <w:pPr>
        <w:spacing w:after="0" w:line="360" w:lineRule="auto"/>
        <w:jc w:val="center"/>
        <w:rPr>
          <w:rFonts w:ascii="Times New Roman" w:hAnsi="Times New Roman"/>
          <w:b/>
          <w:sz w:val="28"/>
          <w:szCs w:val="28"/>
        </w:rPr>
      </w:pPr>
      <w:r w:rsidRPr="00891AC9">
        <w:rPr>
          <w:rFonts w:ascii="Times New Roman" w:hAnsi="Times New Roman"/>
          <w:b/>
          <w:sz w:val="28"/>
          <w:szCs w:val="28"/>
        </w:rPr>
        <w:t xml:space="preserve">OPIS ISTOTNYCH ZAGADNIEŃ DLA KOMISJI EGZAMINACYJNEJ </w:t>
      </w:r>
    </w:p>
    <w:p w:rsidR="008E48A1" w:rsidRPr="00891AC9" w:rsidRDefault="008E48A1" w:rsidP="004E269D">
      <w:pPr>
        <w:spacing w:after="0" w:line="360" w:lineRule="auto"/>
        <w:jc w:val="center"/>
        <w:rPr>
          <w:rFonts w:ascii="Times New Roman" w:hAnsi="Times New Roman"/>
          <w:b/>
          <w:sz w:val="28"/>
          <w:szCs w:val="28"/>
        </w:rPr>
      </w:pPr>
      <w:r w:rsidRPr="00891AC9">
        <w:rPr>
          <w:rFonts w:ascii="Times New Roman" w:hAnsi="Times New Roman"/>
          <w:b/>
          <w:sz w:val="28"/>
          <w:szCs w:val="28"/>
        </w:rPr>
        <w:t>DO ZADANIA Z ZAKRESU PRAWA CYWILNEGO</w:t>
      </w:r>
    </w:p>
    <w:p w:rsidR="008E48A1" w:rsidRPr="004E269D" w:rsidRDefault="008E48A1" w:rsidP="004E269D">
      <w:pPr>
        <w:spacing w:after="0" w:line="360" w:lineRule="auto"/>
        <w:jc w:val="center"/>
        <w:rPr>
          <w:rFonts w:ascii="Times New Roman" w:hAnsi="Times New Roman"/>
          <w:b/>
          <w:sz w:val="24"/>
          <w:szCs w:val="24"/>
        </w:rPr>
      </w:pPr>
      <w:r>
        <w:rPr>
          <w:rFonts w:ascii="Times New Roman" w:hAnsi="Times New Roman"/>
          <w:b/>
          <w:sz w:val="24"/>
          <w:szCs w:val="24"/>
        </w:rPr>
        <w:t>(EGZAMIN ADWOKACKI –  12 MARCA 2015</w:t>
      </w:r>
      <w:r w:rsidRPr="004E269D">
        <w:rPr>
          <w:rFonts w:ascii="Times New Roman" w:hAnsi="Times New Roman"/>
          <w:b/>
          <w:sz w:val="24"/>
          <w:szCs w:val="24"/>
        </w:rPr>
        <w:t xml:space="preserve"> r.)</w:t>
      </w:r>
    </w:p>
    <w:p w:rsidR="008E48A1" w:rsidRDefault="008E48A1" w:rsidP="007133BA">
      <w:pPr>
        <w:spacing w:line="240" w:lineRule="auto"/>
        <w:jc w:val="center"/>
        <w:rPr>
          <w:rFonts w:ascii="Times New Roman" w:hAnsi="Times New Roman"/>
          <w:b/>
          <w:sz w:val="24"/>
          <w:szCs w:val="24"/>
        </w:rPr>
      </w:pPr>
    </w:p>
    <w:p w:rsidR="008E48A1" w:rsidRPr="00891AC9" w:rsidRDefault="008E48A1" w:rsidP="00891AC9">
      <w:pPr>
        <w:spacing w:line="360" w:lineRule="auto"/>
        <w:ind w:firstLine="708"/>
        <w:jc w:val="both"/>
        <w:rPr>
          <w:rFonts w:ascii="Times New Roman" w:hAnsi="Times New Roman"/>
          <w:sz w:val="24"/>
          <w:szCs w:val="24"/>
        </w:rPr>
      </w:pPr>
      <w:r w:rsidRPr="005C7E0C">
        <w:rPr>
          <w:rFonts w:ascii="Times New Roman" w:hAnsi="Times New Roman"/>
          <w:sz w:val="24"/>
          <w:szCs w:val="24"/>
        </w:rPr>
        <w:t>Zdaniem zespołu do przygotowania zadań na egzamin adwokacki</w:t>
      </w:r>
      <w:r>
        <w:rPr>
          <w:rFonts w:ascii="Times New Roman" w:hAnsi="Times New Roman"/>
          <w:sz w:val="24"/>
          <w:szCs w:val="24"/>
        </w:rPr>
        <w:t>,</w:t>
      </w:r>
      <w:r w:rsidRPr="005C7E0C">
        <w:rPr>
          <w:rFonts w:ascii="Times New Roman" w:hAnsi="Times New Roman"/>
          <w:sz w:val="24"/>
          <w:szCs w:val="24"/>
        </w:rPr>
        <w:t xml:space="preserve"> oceniając przebieg zdarzeń ustalonych treścią zadania </w:t>
      </w:r>
      <w:r>
        <w:rPr>
          <w:rFonts w:ascii="Times New Roman" w:hAnsi="Times New Roman"/>
          <w:sz w:val="24"/>
          <w:szCs w:val="24"/>
        </w:rPr>
        <w:t xml:space="preserve">z zakresu prawa cywilnego </w:t>
      </w:r>
      <w:r w:rsidRPr="005C7E0C">
        <w:rPr>
          <w:rFonts w:ascii="Times New Roman" w:hAnsi="Times New Roman"/>
          <w:sz w:val="24"/>
          <w:szCs w:val="24"/>
        </w:rPr>
        <w:t>oraz wynik sprawy sądowej opisanej w zadaniu,</w:t>
      </w:r>
      <w:r w:rsidRPr="00891AC9">
        <w:rPr>
          <w:rFonts w:ascii="Times New Roman" w:hAnsi="Times New Roman"/>
          <w:sz w:val="24"/>
          <w:szCs w:val="24"/>
        </w:rPr>
        <w:t xml:space="preserve"> należy mieć na uwadze następujące kwestie.</w:t>
      </w:r>
    </w:p>
    <w:p w:rsidR="008E48A1" w:rsidRPr="00891AC9" w:rsidRDefault="008E48A1" w:rsidP="00891AC9">
      <w:pPr>
        <w:spacing w:line="360" w:lineRule="auto"/>
        <w:jc w:val="both"/>
        <w:rPr>
          <w:rFonts w:ascii="Times New Roman" w:hAnsi="Times New Roman"/>
          <w:b/>
          <w:sz w:val="24"/>
          <w:szCs w:val="24"/>
        </w:rPr>
      </w:pPr>
      <w:r w:rsidRPr="00891AC9">
        <w:rPr>
          <w:rFonts w:ascii="Times New Roman" w:hAnsi="Times New Roman"/>
          <w:sz w:val="24"/>
          <w:szCs w:val="24"/>
        </w:rPr>
        <w:t xml:space="preserve">I. Sąd Okręgowy popełnił poważne błędy natury procesowej i materialnej. Rozwiązanie zadania powinno polegać na przygotowaniu apelacji, przy czym właściwe byłoby zaskarżenie wyroku w zakresie oddalenia powództwa przeciwko Janowi Nowakowi (w całości </w:t>
      </w:r>
      <w:r>
        <w:rPr>
          <w:rFonts w:ascii="Times New Roman" w:hAnsi="Times New Roman"/>
          <w:sz w:val="24"/>
          <w:szCs w:val="24"/>
        </w:rPr>
        <w:br/>
      </w:r>
      <w:r w:rsidRPr="00891AC9">
        <w:rPr>
          <w:rFonts w:ascii="Times New Roman" w:hAnsi="Times New Roman"/>
          <w:sz w:val="24"/>
          <w:szCs w:val="24"/>
        </w:rPr>
        <w:t xml:space="preserve">w odniesieniu do tego pozwanego). </w:t>
      </w:r>
      <w:r w:rsidRPr="00891AC9">
        <w:rPr>
          <w:rFonts w:ascii="Times New Roman" w:hAnsi="Times New Roman"/>
          <w:b/>
          <w:sz w:val="24"/>
          <w:szCs w:val="24"/>
        </w:rPr>
        <w:t xml:space="preserve"> </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II. Błędy procesowe wiążą się z brakiem należytej oceny materiału dowodowego, bezzasadnym oddaleniem wniosku dowodowego powoda, błędem w ustaleniach faktycznych oraz sporządzeniem uzasadnienia wyroku w nieprawidłowy sposób.</w:t>
      </w:r>
    </w:p>
    <w:p w:rsidR="008E48A1" w:rsidRPr="00891AC9" w:rsidRDefault="008E48A1" w:rsidP="00891AC9">
      <w:pPr>
        <w:spacing w:line="360" w:lineRule="auto"/>
        <w:jc w:val="both"/>
        <w:rPr>
          <w:rFonts w:ascii="Times New Roman" w:hAnsi="Times New Roman"/>
          <w:color w:val="FF0000"/>
          <w:sz w:val="24"/>
          <w:szCs w:val="24"/>
        </w:rPr>
      </w:pPr>
      <w:r w:rsidRPr="00891AC9">
        <w:rPr>
          <w:rFonts w:ascii="Times New Roman" w:hAnsi="Times New Roman"/>
          <w:sz w:val="24"/>
          <w:szCs w:val="24"/>
        </w:rPr>
        <w:t xml:space="preserve">III. Błędy materialnoprawne w części są konsekwencją naruszenia prawa procesowego </w:t>
      </w:r>
      <w:r>
        <w:rPr>
          <w:rFonts w:ascii="Times New Roman" w:hAnsi="Times New Roman"/>
          <w:sz w:val="24"/>
          <w:szCs w:val="24"/>
        </w:rPr>
        <w:br/>
      </w:r>
      <w:r w:rsidRPr="00891AC9">
        <w:rPr>
          <w:rFonts w:ascii="Times New Roman" w:hAnsi="Times New Roman"/>
          <w:sz w:val="24"/>
          <w:szCs w:val="24"/>
        </w:rPr>
        <w:t xml:space="preserve">(co dotyczy oddalenia powództwa w stosunku do Jana Nowaka w zakresie związanym </w:t>
      </w:r>
      <w:r>
        <w:rPr>
          <w:rFonts w:ascii="Times New Roman" w:hAnsi="Times New Roman"/>
          <w:sz w:val="24"/>
          <w:szCs w:val="24"/>
        </w:rPr>
        <w:br/>
      </w:r>
      <w:r w:rsidRPr="00891AC9">
        <w:rPr>
          <w:rFonts w:ascii="Times New Roman" w:hAnsi="Times New Roman"/>
          <w:sz w:val="24"/>
          <w:szCs w:val="24"/>
        </w:rPr>
        <w:t xml:space="preserve">z żądaniem zadośćuczynienia), a w części mają charakter samoistny (co dotyczy oddalenia powództwa w stosunku do Jana Nowaka w zakresie związanym z żądaniem odszkodowania </w:t>
      </w:r>
      <w:r>
        <w:rPr>
          <w:rFonts w:ascii="Times New Roman" w:hAnsi="Times New Roman"/>
          <w:sz w:val="24"/>
          <w:szCs w:val="24"/>
        </w:rPr>
        <w:br/>
      </w:r>
      <w:r w:rsidRPr="00891AC9">
        <w:rPr>
          <w:rFonts w:ascii="Times New Roman" w:hAnsi="Times New Roman"/>
          <w:sz w:val="24"/>
          <w:szCs w:val="24"/>
        </w:rPr>
        <w:t xml:space="preserve">i oddalenia powództwa w stosunku do Jana Nowaka w zakresie związanym z żądaniem zadośćuczynienia). Czyn niedozwolony łączy się z winą po stronie Jana Nowaka, która </w:t>
      </w:r>
      <w:r>
        <w:rPr>
          <w:rFonts w:ascii="Times New Roman" w:hAnsi="Times New Roman"/>
          <w:sz w:val="24"/>
          <w:szCs w:val="24"/>
        </w:rPr>
        <w:br/>
      </w:r>
      <w:r w:rsidRPr="00891AC9">
        <w:rPr>
          <w:rFonts w:ascii="Times New Roman" w:hAnsi="Times New Roman"/>
          <w:sz w:val="24"/>
          <w:szCs w:val="24"/>
        </w:rPr>
        <w:t>w zakresie winy obiektywnej wynika z naruszenia przepisów zacytowanego w informacji dla zdającego rozporządzenia</w:t>
      </w:r>
      <w:r>
        <w:rPr>
          <w:rFonts w:ascii="Times New Roman" w:hAnsi="Times New Roman"/>
          <w:sz w:val="24"/>
          <w:szCs w:val="24"/>
        </w:rPr>
        <w:t>,</w:t>
      </w:r>
      <w:r w:rsidRPr="00891AC9">
        <w:rPr>
          <w:rFonts w:ascii="Times New Roman" w:hAnsi="Times New Roman"/>
          <w:sz w:val="24"/>
          <w:szCs w:val="24"/>
        </w:rPr>
        <w:t xml:space="preserve"> a w zakresie winy subiektywnej - z niedochowania przez Jana Nowaka należytej staranności.</w:t>
      </w:r>
      <w:r w:rsidRPr="00891AC9">
        <w:rPr>
          <w:rFonts w:ascii="Times New Roman" w:hAnsi="Times New Roman"/>
          <w:color w:val="FF0000"/>
          <w:sz w:val="24"/>
          <w:szCs w:val="24"/>
        </w:rPr>
        <w:t xml:space="preserve"> </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 xml:space="preserve">IV. W stosunku do pozwanej Spółdzielni wyrok Sądu Okręgowego należy ocenić jako odpowiadający prawu, jednak z innych przyczyn, niż wskazane w uzasadnieniu tego wyroku. </w:t>
      </w:r>
    </w:p>
    <w:p w:rsidR="008E48A1" w:rsidRPr="00891AC9" w:rsidRDefault="008E48A1" w:rsidP="00891AC9">
      <w:pPr>
        <w:spacing w:line="360" w:lineRule="auto"/>
        <w:ind w:firstLine="708"/>
        <w:jc w:val="both"/>
        <w:rPr>
          <w:rFonts w:ascii="Times New Roman" w:hAnsi="Times New Roman"/>
          <w:sz w:val="24"/>
          <w:szCs w:val="24"/>
          <w:lang w:eastAsia="pl-PL"/>
        </w:rPr>
      </w:pPr>
      <w:r w:rsidRPr="00891AC9">
        <w:rPr>
          <w:rFonts w:ascii="Times New Roman" w:hAnsi="Times New Roman"/>
          <w:sz w:val="24"/>
          <w:szCs w:val="24"/>
        </w:rPr>
        <w:t xml:space="preserve">Niezależnie bowiem od ewentualnych rozważań na temat prawnych podstaw odpowiedzialności pozwanej Spółdzielni, dywagacje z tym związane, wobec treści </w:t>
      </w:r>
      <w:r>
        <w:rPr>
          <w:rFonts w:ascii="Times New Roman" w:hAnsi="Times New Roman"/>
          <w:sz w:val="24"/>
          <w:szCs w:val="24"/>
        </w:rPr>
        <w:br/>
      </w:r>
      <w:r w:rsidRPr="00891AC9">
        <w:rPr>
          <w:rFonts w:ascii="Times New Roman" w:hAnsi="Times New Roman"/>
          <w:sz w:val="24"/>
          <w:szCs w:val="24"/>
        </w:rPr>
        <w:t>art. 429 k.c.</w:t>
      </w:r>
      <w:r>
        <w:rPr>
          <w:rFonts w:ascii="Times New Roman" w:hAnsi="Times New Roman"/>
          <w:sz w:val="24"/>
          <w:szCs w:val="24"/>
        </w:rPr>
        <w:t>,</w:t>
      </w:r>
      <w:r w:rsidRPr="00891AC9">
        <w:rPr>
          <w:rFonts w:ascii="Times New Roman" w:hAnsi="Times New Roman"/>
          <w:sz w:val="24"/>
          <w:szCs w:val="24"/>
        </w:rPr>
        <w:t xml:space="preserve"> należy ocenić jako bezprzedmiotowe. Ze stanu faktycznego zadania, w jego części niespornej, wynika, że Spółdzielni nie można przypisać odpowiedzialności za szkodę powoda, ponieważ Spółdzielnia </w:t>
      </w:r>
      <w:r w:rsidRPr="00891AC9">
        <w:rPr>
          <w:rFonts w:ascii="Times New Roman" w:hAnsi="Times New Roman"/>
          <w:sz w:val="24"/>
          <w:szCs w:val="24"/>
          <w:lang w:eastAsia="pl-PL"/>
        </w:rPr>
        <w:t xml:space="preserve">powierzyła naprawę chodnika Janowi Nowakowi, który </w:t>
      </w:r>
      <w:r>
        <w:rPr>
          <w:rFonts w:ascii="Times New Roman" w:hAnsi="Times New Roman"/>
          <w:sz w:val="24"/>
          <w:szCs w:val="24"/>
          <w:lang w:eastAsia="pl-PL"/>
        </w:rPr>
        <w:br/>
      </w:r>
      <w:r w:rsidRPr="00891AC9">
        <w:rPr>
          <w:rFonts w:ascii="Times New Roman" w:hAnsi="Times New Roman"/>
          <w:sz w:val="24"/>
          <w:szCs w:val="24"/>
          <w:lang w:eastAsia="pl-PL"/>
        </w:rPr>
        <w:t xml:space="preserve">w zakresie swej działalności zawodowej trudni się wykonywaniem takich czynności. </w:t>
      </w:r>
    </w:p>
    <w:p w:rsidR="008E48A1" w:rsidRPr="00891AC9" w:rsidRDefault="008E48A1" w:rsidP="00891AC9">
      <w:pPr>
        <w:spacing w:line="360" w:lineRule="auto"/>
        <w:ind w:firstLine="708"/>
        <w:jc w:val="both"/>
        <w:rPr>
          <w:rFonts w:ascii="Times New Roman" w:hAnsi="Times New Roman"/>
          <w:sz w:val="24"/>
          <w:szCs w:val="24"/>
          <w:lang w:eastAsia="pl-PL"/>
        </w:rPr>
      </w:pPr>
      <w:r w:rsidRPr="00891AC9">
        <w:rPr>
          <w:rFonts w:ascii="Times New Roman" w:hAnsi="Times New Roman"/>
          <w:sz w:val="24"/>
          <w:szCs w:val="24"/>
          <w:lang w:eastAsia="pl-PL"/>
        </w:rPr>
        <w:t>Sprawcą szkody materialnej i niematerialnej był Jan Nowak.</w:t>
      </w:r>
    </w:p>
    <w:p w:rsidR="008E48A1" w:rsidRPr="00891AC9" w:rsidRDefault="008E48A1" w:rsidP="00891AC9">
      <w:pPr>
        <w:spacing w:line="360" w:lineRule="auto"/>
        <w:ind w:firstLine="708"/>
        <w:jc w:val="both"/>
        <w:rPr>
          <w:rFonts w:ascii="Times New Roman" w:hAnsi="Times New Roman"/>
          <w:sz w:val="24"/>
          <w:szCs w:val="24"/>
        </w:rPr>
      </w:pPr>
      <w:r w:rsidRPr="00891AC9">
        <w:rPr>
          <w:rFonts w:ascii="Times New Roman" w:hAnsi="Times New Roman"/>
          <w:sz w:val="24"/>
          <w:szCs w:val="24"/>
        </w:rPr>
        <w:t xml:space="preserve">W konsekwencji, zaskarżenie apelacją wyroku Sądu Okręgowego również w części oddalającej powództwo wobec pozwanej Spółdzielni narażałoby powoda na poniesienie zbędnych kosztów procesu. </w:t>
      </w:r>
    </w:p>
    <w:p w:rsidR="008E48A1" w:rsidRPr="00891AC9" w:rsidRDefault="008E48A1" w:rsidP="00891AC9">
      <w:pPr>
        <w:spacing w:line="360" w:lineRule="auto"/>
        <w:ind w:firstLine="708"/>
        <w:jc w:val="both"/>
        <w:rPr>
          <w:rFonts w:ascii="Times New Roman" w:hAnsi="Times New Roman"/>
          <w:sz w:val="24"/>
          <w:szCs w:val="24"/>
        </w:rPr>
      </w:pPr>
      <w:r w:rsidRPr="00891AC9">
        <w:rPr>
          <w:rFonts w:ascii="Times New Roman" w:hAnsi="Times New Roman"/>
          <w:sz w:val="24"/>
          <w:szCs w:val="24"/>
        </w:rPr>
        <w:t xml:space="preserve">Zagadnienia związane z art. 429 k.c. powinny stać się przedmiotem zainteresowania osób zdających egzamin jedynie na etapie podejmowania decyzji – czy skarżyć wyrok </w:t>
      </w:r>
      <w:r>
        <w:rPr>
          <w:rFonts w:ascii="Times New Roman" w:hAnsi="Times New Roman"/>
          <w:sz w:val="24"/>
          <w:szCs w:val="24"/>
        </w:rPr>
        <w:br/>
      </w:r>
      <w:r w:rsidRPr="00891AC9">
        <w:rPr>
          <w:rFonts w:ascii="Times New Roman" w:hAnsi="Times New Roman"/>
          <w:sz w:val="24"/>
          <w:szCs w:val="24"/>
        </w:rPr>
        <w:t xml:space="preserve">w stosunku do obu pozwanych. Brak jest natomiast podstaw do oparcia apelacji skierowanej przeciwko Janowi Nowakowi na uregulowaniu zawartym w art. 429 k.c. </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V. Od osób zdających egzamin należy oczekiwać sformułowania następujących zarzutów apelacyjnych:</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1. Naruszenia prawa procesowego, to jest:</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a) art. 233 § 1 k.p.c. poprzez:</w:t>
      </w:r>
    </w:p>
    <w:p w:rsidR="008E48A1" w:rsidRPr="00891AC9" w:rsidRDefault="008E48A1" w:rsidP="00891AC9">
      <w:pPr>
        <w:spacing w:line="360" w:lineRule="auto"/>
        <w:ind w:left="708"/>
        <w:jc w:val="both"/>
        <w:rPr>
          <w:rFonts w:ascii="Times New Roman" w:hAnsi="Times New Roman"/>
          <w:sz w:val="24"/>
          <w:szCs w:val="24"/>
        </w:rPr>
      </w:pPr>
      <w:r w:rsidRPr="00891AC9">
        <w:rPr>
          <w:rFonts w:ascii="Times New Roman" w:hAnsi="Times New Roman"/>
          <w:sz w:val="24"/>
          <w:szCs w:val="24"/>
        </w:rPr>
        <w:t>- pominięcie w całości spójnych zeznań świadków Teresy Walczyk i Jana Górnika oraz powoda,</w:t>
      </w:r>
    </w:p>
    <w:p w:rsidR="008E48A1" w:rsidRPr="00891AC9" w:rsidRDefault="008E48A1" w:rsidP="00891AC9">
      <w:pPr>
        <w:spacing w:line="360" w:lineRule="auto"/>
        <w:ind w:left="708"/>
        <w:jc w:val="both"/>
        <w:rPr>
          <w:rFonts w:ascii="Times New Roman" w:hAnsi="Times New Roman"/>
          <w:sz w:val="24"/>
          <w:szCs w:val="24"/>
        </w:rPr>
      </w:pPr>
      <w:r w:rsidRPr="00891AC9">
        <w:rPr>
          <w:rFonts w:ascii="Times New Roman" w:hAnsi="Times New Roman"/>
          <w:sz w:val="24"/>
          <w:szCs w:val="24"/>
        </w:rPr>
        <w:t>- bezkrytyczne oparcie się na zeznaniach świadków Anny Maj i Tadeusza Kowalskiego oraz pozwanego Jana Nowaka,</w:t>
      </w:r>
    </w:p>
    <w:p w:rsidR="008E48A1" w:rsidRPr="00891AC9" w:rsidRDefault="008E48A1" w:rsidP="00891AC9">
      <w:pPr>
        <w:spacing w:line="360" w:lineRule="auto"/>
        <w:ind w:left="708"/>
        <w:jc w:val="both"/>
        <w:rPr>
          <w:rFonts w:ascii="Times New Roman" w:hAnsi="Times New Roman"/>
          <w:sz w:val="24"/>
          <w:szCs w:val="24"/>
        </w:rPr>
      </w:pPr>
      <w:r w:rsidRPr="00891AC9">
        <w:rPr>
          <w:rFonts w:ascii="Times New Roman" w:hAnsi="Times New Roman"/>
          <w:sz w:val="24"/>
          <w:szCs w:val="24"/>
        </w:rPr>
        <w:t>- uznanie zeznań świadków Anny Maj i Tadeusza Kowalskiego oraz pozwanego Jana Nowaka za spójne, podczas gdy w kwestii sposobu zabezpieczenia terenu objętego pracami były one rozbieżne i sprzeczne z zeznaniami pozostałych świadków i powoda,</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a w konsekwencji błędne ustalenie faktyczne, że chodnik, na którym były wykonywane roboty, był należycie zabezpieczony,</w:t>
      </w:r>
    </w:p>
    <w:p w:rsidR="008E48A1" w:rsidRPr="00891AC9" w:rsidRDefault="008E48A1" w:rsidP="00891AC9">
      <w:pPr>
        <w:spacing w:line="360" w:lineRule="auto"/>
        <w:jc w:val="both"/>
        <w:rPr>
          <w:rFonts w:ascii="Times New Roman" w:hAnsi="Times New Roman"/>
          <w:sz w:val="24"/>
          <w:szCs w:val="24"/>
        </w:rPr>
      </w:pPr>
      <w:r w:rsidRPr="00891AC9">
        <w:rPr>
          <w:rFonts w:ascii="Times New Roman" w:hAnsi="Times New Roman"/>
          <w:sz w:val="24"/>
          <w:szCs w:val="24"/>
        </w:rPr>
        <w:t>b) art. 328 § 2 k.p.c. poprzez:</w:t>
      </w:r>
    </w:p>
    <w:p w:rsidR="008E48A1" w:rsidRPr="00891AC9" w:rsidRDefault="008E48A1" w:rsidP="00891AC9">
      <w:pPr>
        <w:spacing w:line="360" w:lineRule="auto"/>
        <w:ind w:left="708"/>
        <w:jc w:val="both"/>
        <w:rPr>
          <w:rFonts w:ascii="Times New Roman" w:hAnsi="Times New Roman"/>
          <w:sz w:val="24"/>
          <w:szCs w:val="24"/>
        </w:rPr>
      </w:pPr>
      <w:r w:rsidRPr="00891AC9">
        <w:rPr>
          <w:rFonts w:ascii="Times New Roman" w:hAnsi="Times New Roman"/>
          <w:sz w:val="24"/>
          <w:szCs w:val="24"/>
        </w:rPr>
        <w:t xml:space="preserve">- zaniechanie oceny zeznań świadków Teresy Walczyk i Jana Górnika oraz powoda </w:t>
      </w:r>
      <w:r>
        <w:rPr>
          <w:rFonts w:ascii="Times New Roman" w:hAnsi="Times New Roman"/>
          <w:sz w:val="24"/>
          <w:szCs w:val="24"/>
        </w:rPr>
        <w:br/>
      </w:r>
      <w:r w:rsidRPr="00891AC9">
        <w:rPr>
          <w:rFonts w:ascii="Times New Roman" w:hAnsi="Times New Roman"/>
          <w:sz w:val="24"/>
          <w:szCs w:val="24"/>
        </w:rPr>
        <w:t>w kwestii dotyczącej zabezpieczenia terenu robót, jak również niewyjaśnienie przyczyn, dla których dowodom tym Sąd Okręgowy odmówił wiarygodności i mocy dowodowej,</w:t>
      </w:r>
    </w:p>
    <w:p w:rsidR="008E48A1" w:rsidRPr="00891AC9" w:rsidRDefault="008E48A1" w:rsidP="00891AC9">
      <w:pPr>
        <w:pStyle w:val="p"/>
        <w:spacing w:line="360" w:lineRule="auto"/>
        <w:ind w:left="708"/>
        <w:rPr>
          <w:rFonts w:ascii="Times New Roman" w:hAnsi="Times New Roman" w:cs="Times New Roman"/>
          <w:sz w:val="24"/>
          <w:szCs w:val="24"/>
        </w:rPr>
      </w:pPr>
      <w:r w:rsidRPr="00891AC9">
        <w:rPr>
          <w:rFonts w:ascii="Times New Roman" w:hAnsi="Times New Roman" w:cs="Times New Roman"/>
          <w:sz w:val="24"/>
          <w:szCs w:val="24"/>
        </w:rPr>
        <w:t>- zaniechanie wyjaśnienia podstawy prawnej twierdzenia o bezzasadności roszczeń powoda skierowanych wobec Jana Nowaka i ograniczenie się w tym zakresie do stwierdzenia faktu, że nie jest on właścicielem ani zarządcą terenu,</w:t>
      </w:r>
    </w:p>
    <w:p w:rsidR="008E48A1" w:rsidRPr="00891AC9" w:rsidRDefault="008E48A1" w:rsidP="00891AC9">
      <w:pPr>
        <w:pStyle w:val="p"/>
        <w:spacing w:line="360" w:lineRule="auto"/>
        <w:ind w:left="708"/>
        <w:rPr>
          <w:rFonts w:ascii="Times New Roman" w:hAnsi="Times New Roman" w:cs="Times New Roman"/>
          <w:sz w:val="24"/>
          <w:szCs w:val="24"/>
        </w:rPr>
      </w:pPr>
      <w:r w:rsidRPr="00891AC9">
        <w:rPr>
          <w:rFonts w:ascii="Times New Roman" w:hAnsi="Times New Roman" w:cs="Times New Roman"/>
          <w:sz w:val="24"/>
          <w:szCs w:val="24"/>
        </w:rPr>
        <w:t xml:space="preserve">- zaniechanie wyjaśnienia podstawy prawnej twierdzenia o braku jakichkolwiek podstaw do dochodzenia przez powoda zwrotu kosztów dojazdów i dodatkowego wyżywienia poniesionych przez jego córkę, </w:t>
      </w:r>
    </w:p>
    <w:p w:rsidR="008E48A1" w:rsidRPr="00891AC9" w:rsidRDefault="008E48A1" w:rsidP="00891AC9">
      <w:pPr>
        <w:pStyle w:val="p"/>
        <w:spacing w:line="360" w:lineRule="auto"/>
        <w:ind w:left="708"/>
        <w:rPr>
          <w:rFonts w:ascii="Times New Roman" w:hAnsi="Times New Roman" w:cs="Times New Roman"/>
          <w:sz w:val="24"/>
          <w:szCs w:val="24"/>
        </w:rPr>
      </w:pPr>
      <w:r w:rsidRPr="00891AC9">
        <w:rPr>
          <w:rFonts w:ascii="Times New Roman" w:hAnsi="Times New Roman" w:cs="Times New Roman"/>
          <w:sz w:val="24"/>
          <w:szCs w:val="24"/>
        </w:rPr>
        <w:t xml:space="preserve">- zaniechanie wyjaśnienia przyczyn, dla których Sąd Okręgowy oddalił wniosek powoda o dopuszczenie dowodu z opinii biegłego neurologa,   </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c) art. 217 § 1 k.p.c. w zw. z art. 227 k.p.c. i art. 278 § 1 k.p.c. poprzez bezpodstawne oddalenie wniosku powoda o dopuszczenie dowodu z opinii biegłego neurologa.</w:t>
      </w:r>
    </w:p>
    <w:p w:rsidR="008E48A1" w:rsidRPr="00891AC9" w:rsidRDefault="008E48A1" w:rsidP="00891AC9">
      <w:pPr>
        <w:pStyle w:val="p"/>
        <w:spacing w:before="240" w:line="360" w:lineRule="auto"/>
        <w:rPr>
          <w:rFonts w:ascii="Times New Roman" w:hAnsi="Times New Roman" w:cs="Times New Roman"/>
          <w:sz w:val="24"/>
          <w:szCs w:val="24"/>
        </w:rPr>
      </w:pPr>
      <w:r w:rsidRPr="00891AC9">
        <w:rPr>
          <w:rFonts w:ascii="Times New Roman" w:hAnsi="Times New Roman" w:cs="Times New Roman"/>
          <w:sz w:val="24"/>
          <w:szCs w:val="24"/>
        </w:rPr>
        <w:t>2. Naruszenia prawa materialnego, to jest:</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a)  art. 445 § 1 k.c. w zw. z art. 415 k.c. poprzez ich niezastosowanie, podczas gdy:</w:t>
      </w:r>
    </w:p>
    <w:p w:rsidR="008E48A1" w:rsidRPr="00891AC9" w:rsidRDefault="008E48A1" w:rsidP="00891AC9">
      <w:pPr>
        <w:pStyle w:val="p"/>
        <w:spacing w:line="360" w:lineRule="auto"/>
        <w:ind w:left="708"/>
        <w:rPr>
          <w:rFonts w:ascii="Times New Roman" w:hAnsi="Times New Roman" w:cs="Times New Roman"/>
          <w:sz w:val="24"/>
          <w:szCs w:val="24"/>
        </w:rPr>
      </w:pPr>
      <w:r w:rsidRPr="00891AC9">
        <w:rPr>
          <w:rFonts w:ascii="Times New Roman" w:hAnsi="Times New Roman" w:cs="Times New Roman"/>
          <w:sz w:val="24"/>
          <w:szCs w:val="24"/>
        </w:rPr>
        <w:t>- wyniki prawidłowo przeprowadzonego postępowania dowodowego oraz dokonanie właściwej oceny dowodów nakazywałyby zasądzenie na rzecz powoda żądanego zadośćuczynienia,</w:t>
      </w:r>
    </w:p>
    <w:p w:rsidR="008E48A1" w:rsidRPr="00891AC9" w:rsidRDefault="008E48A1" w:rsidP="00891AC9">
      <w:pPr>
        <w:pStyle w:val="p"/>
        <w:spacing w:line="360" w:lineRule="auto"/>
        <w:ind w:left="708"/>
        <w:rPr>
          <w:rFonts w:ascii="Times New Roman" w:hAnsi="Times New Roman" w:cs="Times New Roman"/>
          <w:sz w:val="24"/>
          <w:szCs w:val="24"/>
        </w:rPr>
      </w:pPr>
      <w:r w:rsidRPr="00891AC9">
        <w:rPr>
          <w:rFonts w:ascii="Times New Roman" w:hAnsi="Times New Roman" w:cs="Times New Roman"/>
          <w:sz w:val="24"/>
          <w:szCs w:val="24"/>
        </w:rPr>
        <w:t xml:space="preserve">- pozwany Jan Nowak, wbrew stanowisku Sądu Okręgowego, który bezzasadnie przypisał ewentualną odpowiedzialność jedynie właścicielowi gruntu, na terenie którego doszło do wypadku, odpowiada wobec powoda za wyrządzoną mu krzywdę,    </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b) art. 444 § 1 k.c. w zw. z art. 415 k.c. poprzez ich niezastosowanie, podczas gdy:</w:t>
      </w:r>
    </w:p>
    <w:p w:rsidR="008E48A1" w:rsidRPr="00891AC9" w:rsidRDefault="008E48A1" w:rsidP="00891AC9">
      <w:pPr>
        <w:pStyle w:val="p"/>
        <w:spacing w:line="360" w:lineRule="auto"/>
        <w:ind w:left="705"/>
        <w:rPr>
          <w:rFonts w:ascii="Times New Roman" w:hAnsi="Times New Roman" w:cs="Times New Roman"/>
          <w:sz w:val="24"/>
          <w:szCs w:val="24"/>
        </w:rPr>
      </w:pPr>
      <w:r w:rsidRPr="00891AC9">
        <w:rPr>
          <w:rFonts w:ascii="Times New Roman" w:hAnsi="Times New Roman" w:cs="Times New Roman"/>
          <w:sz w:val="24"/>
          <w:szCs w:val="24"/>
        </w:rPr>
        <w:t>- Sąd Okręgowy prawidłowo ustalił, że córka powoda poniosła wydatki na żywność dla powoda oraz dojazdy, stanowiące substrat dochodzonej kwoty odszkodowania,</w:t>
      </w:r>
    </w:p>
    <w:p w:rsidR="008E48A1" w:rsidRPr="00891AC9" w:rsidRDefault="008E48A1" w:rsidP="00891AC9">
      <w:pPr>
        <w:pStyle w:val="p"/>
        <w:spacing w:line="360" w:lineRule="auto"/>
        <w:ind w:left="705" w:firstLine="3"/>
        <w:rPr>
          <w:rFonts w:ascii="Times New Roman" w:hAnsi="Times New Roman" w:cs="Times New Roman"/>
          <w:sz w:val="24"/>
          <w:szCs w:val="24"/>
        </w:rPr>
      </w:pPr>
      <w:r w:rsidRPr="00891AC9">
        <w:rPr>
          <w:rFonts w:ascii="Times New Roman" w:hAnsi="Times New Roman" w:cs="Times New Roman"/>
          <w:sz w:val="24"/>
          <w:szCs w:val="24"/>
        </w:rPr>
        <w:t xml:space="preserve">- powodowi, wbrew stanowisku Sądu Okręgowego, który bezzasadnie wskazał na brak podstaw do dochodzenia przez powoda kosztów poniesionych przez jego córkę, przysługuje legitymacja czynna do dochodzenia tego odszkodowania, wobec utrwalonej wykładni prawa oraz utrwalonego orzecznictwa sądowego, przyjmujących, że osoba, która doznała uszkodzenia ciała lub rozstroju zdrowia, jest </w:t>
      </w:r>
      <w:r w:rsidRPr="00891AC9">
        <w:rPr>
          <w:rFonts w:ascii="Times New Roman" w:hAnsi="Times New Roman" w:cs="Times New Roman"/>
          <w:bCs/>
          <w:sz w:val="24"/>
          <w:szCs w:val="24"/>
        </w:rPr>
        <w:t>podmiotem uprawnionym do żądania zwrotu wynikających z tego wydatków</w:t>
      </w:r>
      <w:r w:rsidRPr="00891AC9">
        <w:rPr>
          <w:rFonts w:ascii="Times New Roman" w:hAnsi="Times New Roman" w:cs="Times New Roman"/>
          <w:sz w:val="24"/>
          <w:szCs w:val="24"/>
        </w:rPr>
        <w:t xml:space="preserve">, choćby </w:t>
      </w:r>
      <w:r>
        <w:rPr>
          <w:rFonts w:ascii="Times New Roman" w:hAnsi="Times New Roman" w:cs="Times New Roman"/>
          <w:sz w:val="24"/>
          <w:szCs w:val="24"/>
        </w:rPr>
        <w:br/>
      </w:r>
      <w:r w:rsidRPr="00891AC9">
        <w:rPr>
          <w:rFonts w:ascii="Times New Roman" w:hAnsi="Times New Roman" w:cs="Times New Roman"/>
          <w:sz w:val="24"/>
          <w:szCs w:val="24"/>
        </w:rPr>
        <w:t>w rzeczywistości zostały one poniesione przez osoby trzecie, a nie przez nią samą,</w:t>
      </w:r>
    </w:p>
    <w:p w:rsidR="008E48A1" w:rsidRPr="00891AC9" w:rsidRDefault="008E48A1" w:rsidP="00891AC9">
      <w:pPr>
        <w:pStyle w:val="p"/>
        <w:spacing w:before="240" w:line="360" w:lineRule="auto"/>
        <w:ind w:left="705" w:firstLine="3"/>
        <w:rPr>
          <w:rFonts w:ascii="Times New Roman" w:hAnsi="Times New Roman" w:cs="Times New Roman"/>
          <w:sz w:val="24"/>
          <w:szCs w:val="24"/>
        </w:rPr>
      </w:pPr>
      <w:r w:rsidRPr="00891AC9">
        <w:rPr>
          <w:rFonts w:ascii="Times New Roman" w:hAnsi="Times New Roman" w:cs="Times New Roman"/>
          <w:sz w:val="24"/>
          <w:szCs w:val="24"/>
        </w:rPr>
        <w:t>- odszkodowanie wynikające z art. 444 § 1 k.c. ma charakter szerszy w stosunku do odszkodowania należnego na innej podstawie, ponieważ obejmuje – zgodnie z tym przepisem - „wszelkie wynikłe z uszkodzenia ciała lub wywołania rozstroju zdrowia koszty”.</w:t>
      </w:r>
    </w:p>
    <w:p w:rsidR="008E48A1" w:rsidRPr="00891AC9" w:rsidRDefault="008E48A1" w:rsidP="00891AC9">
      <w:pPr>
        <w:pStyle w:val="p"/>
        <w:spacing w:before="240" w:line="360" w:lineRule="auto"/>
        <w:rPr>
          <w:rFonts w:ascii="Times New Roman" w:hAnsi="Times New Roman" w:cs="Times New Roman"/>
          <w:sz w:val="24"/>
          <w:szCs w:val="24"/>
        </w:rPr>
      </w:pPr>
      <w:r w:rsidRPr="00891AC9">
        <w:rPr>
          <w:rFonts w:ascii="Times New Roman" w:hAnsi="Times New Roman" w:cs="Times New Roman"/>
          <w:sz w:val="24"/>
          <w:szCs w:val="24"/>
        </w:rPr>
        <w:t xml:space="preserve">VI. Wniosek apelacyjny powinien zawierać żądanie całościowej zmiany zaskarżonego wyroku w stosunku do pozwanego Jana Nowaka poprzez zasądzenie od tego pozwanego na rzecz powoda kwoty 93 000 złotych z ustawowymi odsetkami od dnia 1 kwietnia 2014 r. </w:t>
      </w:r>
      <w:r>
        <w:rPr>
          <w:rFonts w:ascii="Times New Roman" w:hAnsi="Times New Roman" w:cs="Times New Roman"/>
          <w:sz w:val="24"/>
          <w:szCs w:val="24"/>
        </w:rPr>
        <w:br/>
      </w:r>
      <w:r w:rsidRPr="00891AC9">
        <w:rPr>
          <w:rFonts w:ascii="Times New Roman" w:hAnsi="Times New Roman" w:cs="Times New Roman"/>
          <w:sz w:val="24"/>
          <w:szCs w:val="24"/>
        </w:rPr>
        <w:t xml:space="preserve">do dnia zapłaty. Brak jest przyczyn dostatecznie uzasadniających kwotowe ograniczenie żądania zapłaty w drugiej instancji, natomiast w pozwie prawidłowo określono początek biegu okresu odsetkowego, wobec wcześniejszego wezwania pozwanego do dobrowolnego spełnienia świadczenia do dnia 31 marca 2014 r. </w:t>
      </w:r>
    </w:p>
    <w:p w:rsidR="008E48A1" w:rsidRPr="00891AC9" w:rsidRDefault="008E48A1" w:rsidP="00891AC9">
      <w:pPr>
        <w:pStyle w:val="p"/>
        <w:spacing w:line="360" w:lineRule="auto"/>
        <w:ind w:firstLine="708"/>
        <w:rPr>
          <w:rFonts w:ascii="Times New Roman" w:hAnsi="Times New Roman" w:cs="Times New Roman"/>
          <w:sz w:val="24"/>
          <w:szCs w:val="24"/>
        </w:rPr>
      </w:pPr>
      <w:r w:rsidRPr="00891AC9">
        <w:rPr>
          <w:rFonts w:ascii="Times New Roman" w:hAnsi="Times New Roman" w:cs="Times New Roman"/>
          <w:sz w:val="24"/>
          <w:szCs w:val="24"/>
        </w:rPr>
        <w:t xml:space="preserve">W ramach żądania zmiany zaskarżonego wyroku należy również sformułować wniosek o zmianę rozstrzygnięcia o kosztach procesu za pierwszą instancję w stosunku </w:t>
      </w:r>
      <w:r>
        <w:rPr>
          <w:rFonts w:ascii="Times New Roman" w:hAnsi="Times New Roman" w:cs="Times New Roman"/>
          <w:sz w:val="24"/>
          <w:szCs w:val="24"/>
        </w:rPr>
        <w:br/>
      </w:r>
      <w:r w:rsidRPr="00891AC9">
        <w:rPr>
          <w:rFonts w:ascii="Times New Roman" w:hAnsi="Times New Roman" w:cs="Times New Roman"/>
          <w:sz w:val="24"/>
          <w:szCs w:val="24"/>
        </w:rPr>
        <w:t>do pozwanego Jana Nowaka (powód uiścił opłatę od pozwu i poniósł koszty wydania opinii przez biegłego).</w:t>
      </w:r>
    </w:p>
    <w:p w:rsidR="008E48A1" w:rsidRPr="00891AC9" w:rsidRDefault="008E48A1" w:rsidP="00891AC9">
      <w:pPr>
        <w:pStyle w:val="p"/>
        <w:spacing w:before="240" w:line="360" w:lineRule="auto"/>
        <w:rPr>
          <w:rFonts w:ascii="Times New Roman" w:hAnsi="Times New Roman" w:cs="Times New Roman"/>
          <w:sz w:val="24"/>
          <w:szCs w:val="24"/>
        </w:rPr>
      </w:pPr>
      <w:r w:rsidRPr="00891AC9">
        <w:rPr>
          <w:rFonts w:ascii="Times New Roman" w:hAnsi="Times New Roman" w:cs="Times New Roman"/>
          <w:sz w:val="24"/>
          <w:szCs w:val="24"/>
        </w:rPr>
        <w:t>VII. W apelacji zdający powinni umieścić również inne wnioski, a mianowicie:</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a) o rozpoznanie niezaskarżalnego zażaleniem postanowienia Sądu Okręgowego oddalającego wniosek o dopuszczenie dowodu z opinii biegł</w:t>
      </w:r>
      <w:r>
        <w:rPr>
          <w:rFonts w:ascii="Times New Roman" w:hAnsi="Times New Roman" w:cs="Times New Roman"/>
          <w:sz w:val="24"/>
          <w:szCs w:val="24"/>
        </w:rPr>
        <w:t xml:space="preserve">ego neurologa (art. 380 k.p.c.) </w:t>
      </w:r>
      <w:r w:rsidRPr="00891AC9">
        <w:rPr>
          <w:rFonts w:ascii="Times New Roman" w:hAnsi="Times New Roman" w:cs="Times New Roman"/>
          <w:sz w:val="24"/>
          <w:szCs w:val="24"/>
        </w:rPr>
        <w:t xml:space="preserve">oraz </w:t>
      </w:r>
      <w:r w:rsidRPr="00891AC9">
        <w:rPr>
          <w:rFonts w:ascii="Times New Roman" w:hAnsi="Times New Roman" w:cs="Times New Roman"/>
          <w:sz w:val="24"/>
          <w:szCs w:val="24"/>
        </w:rPr>
        <w:br/>
        <w:t>o dopuszczenie tego dowodu w drugiej instancji na okoliczności wskazane w pozwie,</w:t>
      </w:r>
    </w:p>
    <w:p w:rsidR="008E48A1" w:rsidRPr="00891AC9" w:rsidRDefault="008E48A1" w:rsidP="00891AC9">
      <w:pPr>
        <w:pStyle w:val="p"/>
        <w:spacing w:before="240" w:line="360" w:lineRule="auto"/>
        <w:rPr>
          <w:rFonts w:ascii="Times New Roman" w:hAnsi="Times New Roman" w:cs="Times New Roman"/>
          <w:sz w:val="24"/>
          <w:szCs w:val="24"/>
        </w:rPr>
      </w:pPr>
      <w:r w:rsidRPr="00891AC9">
        <w:rPr>
          <w:rFonts w:ascii="Times New Roman" w:hAnsi="Times New Roman" w:cs="Times New Roman"/>
          <w:sz w:val="24"/>
          <w:szCs w:val="24"/>
        </w:rPr>
        <w:t>b) o zasądzenie kosztów procesu za drugą instancję.</w:t>
      </w:r>
    </w:p>
    <w:p w:rsidR="008E48A1" w:rsidRPr="00891AC9" w:rsidRDefault="008E48A1" w:rsidP="00891AC9">
      <w:pPr>
        <w:pStyle w:val="p"/>
        <w:spacing w:before="240" w:line="360" w:lineRule="auto"/>
        <w:rPr>
          <w:rFonts w:ascii="Times New Roman" w:hAnsi="Times New Roman" w:cs="Times New Roman"/>
          <w:sz w:val="24"/>
          <w:szCs w:val="24"/>
        </w:rPr>
      </w:pPr>
      <w:r w:rsidRPr="00891AC9">
        <w:rPr>
          <w:rFonts w:ascii="Times New Roman" w:hAnsi="Times New Roman" w:cs="Times New Roman"/>
          <w:sz w:val="24"/>
          <w:szCs w:val="24"/>
        </w:rPr>
        <w:t>VIII. Powód nie zgłosił zastrzeżenia z art. 162 k.p.c. mimo oddalenia jego wniosku dowodowego. Tworzy to dla niego dodatkową trudność związaną z możliwością zastosowania art. 380 k.p.c. i skutecznego ubiegania się o dopuszczenie dowodu z opinii biegłego neurologa w drugiej instancji. Zagadnienie to leży u podstaw dodatkowej możliwości zweryfikowania wiedzy osób zdających egzamin</w:t>
      </w:r>
      <w:bookmarkStart w:id="0" w:name="_GoBack"/>
      <w:bookmarkEnd w:id="0"/>
      <w:r w:rsidRPr="00891AC9">
        <w:rPr>
          <w:rFonts w:ascii="Times New Roman" w:hAnsi="Times New Roman" w:cs="Times New Roman"/>
          <w:sz w:val="24"/>
          <w:szCs w:val="24"/>
        </w:rPr>
        <w:t xml:space="preserve">. </w:t>
      </w:r>
    </w:p>
    <w:p w:rsidR="008E48A1" w:rsidRPr="00891AC9" w:rsidRDefault="008E48A1" w:rsidP="00891AC9">
      <w:pPr>
        <w:pStyle w:val="p"/>
        <w:spacing w:line="360" w:lineRule="auto"/>
        <w:ind w:firstLine="708"/>
        <w:rPr>
          <w:rFonts w:ascii="Times New Roman" w:hAnsi="Times New Roman" w:cs="Times New Roman"/>
          <w:sz w:val="24"/>
          <w:szCs w:val="24"/>
        </w:rPr>
      </w:pPr>
      <w:r w:rsidRPr="00891AC9">
        <w:rPr>
          <w:rFonts w:ascii="Times New Roman" w:hAnsi="Times New Roman" w:cs="Times New Roman"/>
          <w:sz w:val="24"/>
          <w:szCs w:val="24"/>
        </w:rPr>
        <w:t>Wskazane zaniedbanie po stronie powoda nie powinno prowadzić do podjęcia przez osoby zdające egzamin decyzji o odstąpieniu od sporządzania apelacji i sporządzenia opinii, ponieważ:</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a) zgromadzony w pierwszej instancji materiał dowodowy jest wystarczający do uwzględnienia, co do zasady, zawartego w pozwie roszczenia powoda,</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b) wyrok i motywy Sądu Okręgowego są, w stosunku do Jana Nowaka, oczywiście nieprawidłowe, a powód jest osobą w starszym wieku, działał bez zawodowego pełnomocnika, zapewne w zaufaniu do wymiaru sprawiedliwości, a jednocześnie doznał uszczerbku w zakresie bardzo cennego dobra (zdrowia),</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 xml:space="preserve">c) powód ma możliwość podnoszenia w apelacji, że nie zgłosił zastrzeżenia z art. 162 k.p.c. bez swojej winy, co może prowadzić do wyeliminowania rygoryzmu wynikającego z tego przepisu, </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d) powód ma również możliwość wnioskowania o dopuszczenie z urzędu dowodu pominiętego przez Sąd Okręgowy.</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ab/>
        <w:t xml:space="preserve">W konsekwencji, od osób zdających egzamin należy oczekiwać sformułowania </w:t>
      </w:r>
      <w:r>
        <w:rPr>
          <w:rFonts w:ascii="Times New Roman" w:hAnsi="Times New Roman" w:cs="Times New Roman"/>
          <w:sz w:val="24"/>
          <w:szCs w:val="24"/>
        </w:rPr>
        <w:br/>
      </w:r>
      <w:r w:rsidRPr="00891AC9">
        <w:rPr>
          <w:rFonts w:ascii="Times New Roman" w:hAnsi="Times New Roman" w:cs="Times New Roman"/>
          <w:sz w:val="24"/>
          <w:szCs w:val="24"/>
        </w:rPr>
        <w:t>w apelacji:</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 xml:space="preserve">- wywodu naprowadzającego na  brak po stronie powoda winy w niezgłoszeniu zastrzeżenia </w:t>
      </w:r>
      <w:r>
        <w:rPr>
          <w:rFonts w:ascii="Times New Roman" w:hAnsi="Times New Roman" w:cs="Times New Roman"/>
          <w:sz w:val="24"/>
          <w:szCs w:val="24"/>
        </w:rPr>
        <w:br/>
      </w:r>
      <w:r w:rsidRPr="00891AC9">
        <w:rPr>
          <w:rFonts w:ascii="Times New Roman" w:hAnsi="Times New Roman" w:cs="Times New Roman"/>
          <w:sz w:val="24"/>
          <w:szCs w:val="24"/>
        </w:rPr>
        <w:t xml:space="preserve">z art. 162 k.p.c., co w rezultacie otwierałoby drogę do skuteczności wniosku opartego </w:t>
      </w:r>
      <w:r>
        <w:rPr>
          <w:rFonts w:ascii="Times New Roman" w:hAnsi="Times New Roman" w:cs="Times New Roman"/>
          <w:sz w:val="24"/>
          <w:szCs w:val="24"/>
        </w:rPr>
        <w:br/>
      </w:r>
      <w:r w:rsidRPr="00891AC9">
        <w:rPr>
          <w:rFonts w:ascii="Times New Roman" w:hAnsi="Times New Roman" w:cs="Times New Roman"/>
          <w:sz w:val="24"/>
          <w:szCs w:val="24"/>
        </w:rPr>
        <w:t>o przepis art. 380 k.p.c.</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oraz</w:t>
      </w:r>
    </w:p>
    <w:p w:rsidR="008E48A1" w:rsidRPr="00891AC9" w:rsidRDefault="008E48A1" w:rsidP="00891AC9">
      <w:pPr>
        <w:pStyle w:val="p"/>
        <w:spacing w:line="360" w:lineRule="auto"/>
        <w:rPr>
          <w:rFonts w:ascii="Times New Roman" w:hAnsi="Times New Roman" w:cs="Times New Roman"/>
          <w:sz w:val="24"/>
          <w:szCs w:val="24"/>
        </w:rPr>
      </w:pPr>
      <w:r w:rsidRPr="00891AC9">
        <w:rPr>
          <w:rFonts w:ascii="Times New Roman" w:hAnsi="Times New Roman" w:cs="Times New Roman"/>
          <w:sz w:val="24"/>
          <w:szCs w:val="24"/>
        </w:rPr>
        <w:t xml:space="preserve">- jednoczesnego, alternatywnego i umotywowanego wniosku o rozważenie dopuszczenia </w:t>
      </w:r>
      <w:r>
        <w:rPr>
          <w:rFonts w:ascii="Times New Roman" w:hAnsi="Times New Roman" w:cs="Times New Roman"/>
          <w:sz w:val="24"/>
          <w:szCs w:val="24"/>
        </w:rPr>
        <w:br/>
      </w:r>
      <w:r w:rsidRPr="00891AC9">
        <w:rPr>
          <w:rFonts w:ascii="Times New Roman" w:hAnsi="Times New Roman" w:cs="Times New Roman"/>
          <w:sz w:val="24"/>
          <w:szCs w:val="24"/>
        </w:rPr>
        <w:t xml:space="preserve">z urzędu przez Sąd drugiej instancji dowodu pominiętego przez Sąd Okręgowy. </w:t>
      </w:r>
    </w:p>
    <w:sectPr w:rsidR="008E48A1" w:rsidRPr="00891AC9" w:rsidSect="002E21C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8A1" w:rsidRDefault="008E48A1" w:rsidP="00572FCC">
      <w:pPr>
        <w:spacing w:after="0" w:line="240" w:lineRule="auto"/>
      </w:pPr>
      <w:r>
        <w:separator/>
      </w:r>
    </w:p>
  </w:endnote>
  <w:endnote w:type="continuationSeparator" w:id="0">
    <w:p w:rsidR="008E48A1" w:rsidRDefault="008E48A1" w:rsidP="0057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A1" w:rsidRDefault="008E48A1" w:rsidP="002327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48A1" w:rsidRDefault="008E48A1" w:rsidP="003460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8A1" w:rsidRPr="00CF65DB" w:rsidRDefault="008E48A1" w:rsidP="00232778">
    <w:pPr>
      <w:pStyle w:val="Footer"/>
      <w:framePr w:wrap="around" w:vAnchor="text" w:hAnchor="margin" w:xAlign="right" w:y="1"/>
      <w:rPr>
        <w:rStyle w:val="PageNumber"/>
        <w:rFonts w:ascii="Times New Roman" w:hAnsi="Times New Roman"/>
        <w:sz w:val="22"/>
        <w:szCs w:val="22"/>
      </w:rPr>
    </w:pPr>
    <w:r w:rsidRPr="00CF65DB">
      <w:rPr>
        <w:rStyle w:val="PageNumber"/>
        <w:rFonts w:ascii="Times New Roman" w:hAnsi="Times New Roman"/>
        <w:sz w:val="22"/>
        <w:szCs w:val="22"/>
      </w:rPr>
      <w:fldChar w:fldCharType="begin"/>
    </w:r>
    <w:r w:rsidRPr="00CF65DB">
      <w:rPr>
        <w:rStyle w:val="PageNumber"/>
        <w:rFonts w:ascii="Times New Roman" w:hAnsi="Times New Roman"/>
        <w:sz w:val="22"/>
        <w:szCs w:val="22"/>
      </w:rPr>
      <w:instrText xml:space="preserve">PAGE  </w:instrText>
    </w:r>
    <w:r w:rsidRPr="00CF65DB">
      <w:rPr>
        <w:rStyle w:val="PageNumber"/>
        <w:rFonts w:ascii="Times New Roman" w:hAnsi="Times New Roman"/>
        <w:sz w:val="22"/>
        <w:szCs w:val="22"/>
      </w:rPr>
      <w:fldChar w:fldCharType="separate"/>
    </w:r>
    <w:r>
      <w:rPr>
        <w:rStyle w:val="PageNumber"/>
        <w:rFonts w:ascii="Times New Roman" w:hAnsi="Times New Roman"/>
        <w:noProof/>
        <w:sz w:val="22"/>
        <w:szCs w:val="22"/>
      </w:rPr>
      <w:t>5</w:t>
    </w:r>
    <w:r w:rsidRPr="00CF65DB">
      <w:rPr>
        <w:rStyle w:val="PageNumber"/>
        <w:rFonts w:ascii="Times New Roman" w:hAnsi="Times New Roman"/>
        <w:sz w:val="22"/>
        <w:szCs w:val="22"/>
      </w:rPr>
      <w:fldChar w:fldCharType="end"/>
    </w:r>
  </w:p>
  <w:p w:rsidR="008E48A1" w:rsidRPr="00CF65DB" w:rsidRDefault="008E48A1" w:rsidP="00346070">
    <w:pPr>
      <w:pStyle w:val="Footer"/>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8A1" w:rsidRDefault="008E48A1" w:rsidP="00572FCC">
      <w:pPr>
        <w:spacing w:after="0" w:line="240" w:lineRule="auto"/>
      </w:pPr>
      <w:r>
        <w:separator/>
      </w:r>
    </w:p>
  </w:footnote>
  <w:footnote w:type="continuationSeparator" w:id="0">
    <w:p w:rsidR="008E48A1" w:rsidRDefault="008E48A1" w:rsidP="0057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5E34"/>
    <w:multiLevelType w:val="hybridMultilevel"/>
    <w:tmpl w:val="5164B832"/>
    <w:lvl w:ilvl="0" w:tplc="CB925EF8">
      <w:start w:val="1"/>
      <w:numFmt w:val="upperRoman"/>
      <w:lvlText w:val="%1."/>
      <w:lvlJc w:val="left"/>
      <w:pPr>
        <w:ind w:left="1080" w:hanging="72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6970632"/>
    <w:multiLevelType w:val="hybridMultilevel"/>
    <w:tmpl w:val="43A0BDB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644551F"/>
    <w:multiLevelType w:val="hybridMultilevel"/>
    <w:tmpl w:val="58CCE0C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2AD14F9C"/>
    <w:multiLevelType w:val="hybridMultilevel"/>
    <w:tmpl w:val="6E48580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52A8497A"/>
    <w:multiLevelType w:val="hybridMultilevel"/>
    <w:tmpl w:val="2C54D83C"/>
    <w:lvl w:ilvl="0" w:tplc="F04E7AE2">
      <w:start w:val="1"/>
      <w:numFmt w:val="upperRoman"/>
      <w:lvlText w:val="%1."/>
      <w:lvlJc w:val="left"/>
      <w:pPr>
        <w:ind w:left="1080" w:hanging="720"/>
      </w:pPr>
      <w:rPr>
        <w:rFonts w:ascii="Calibri" w:eastAsia="Times New Roman" w:hAnsi="Calibri"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542E3A3E"/>
    <w:multiLevelType w:val="hybridMultilevel"/>
    <w:tmpl w:val="357AE732"/>
    <w:lvl w:ilvl="0" w:tplc="468A7B7E">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6A840829"/>
    <w:multiLevelType w:val="hybridMultilevel"/>
    <w:tmpl w:val="B0BA7E8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6"/>
  </w:num>
  <w:num w:numId="4">
    <w:abstractNumId w:val="2"/>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A9A"/>
    <w:rsid w:val="0000576C"/>
    <w:rsid w:val="000057BC"/>
    <w:rsid w:val="00023F6E"/>
    <w:rsid w:val="00044E5A"/>
    <w:rsid w:val="000557D8"/>
    <w:rsid w:val="000730B0"/>
    <w:rsid w:val="0008426F"/>
    <w:rsid w:val="000A4486"/>
    <w:rsid w:val="000B1544"/>
    <w:rsid w:val="000B259C"/>
    <w:rsid w:val="000C6826"/>
    <w:rsid w:val="000C7959"/>
    <w:rsid w:val="000F4F30"/>
    <w:rsid w:val="000F5D4D"/>
    <w:rsid w:val="001139C2"/>
    <w:rsid w:val="00120F2A"/>
    <w:rsid w:val="00143CF4"/>
    <w:rsid w:val="00157034"/>
    <w:rsid w:val="00170255"/>
    <w:rsid w:val="001834A5"/>
    <w:rsid w:val="00192064"/>
    <w:rsid w:val="00192269"/>
    <w:rsid w:val="0019329F"/>
    <w:rsid w:val="001967F4"/>
    <w:rsid w:val="001A217E"/>
    <w:rsid w:val="001A63FF"/>
    <w:rsid w:val="001B2362"/>
    <w:rsid w:val="001E23C2"/>
    <w:rsid w:val="00206C7B"/>
    <w:rsid w:val="00225D2C"/>
    <w:rsid w:val="0023044D"/>
    <w:rsid w:val="00230DAE"/>
    <w:rsid w:val="00231BAA"/>
    <w:rsid w:val="00232778"/>
    <w:rsid w:val="002342C5"/>
    <w:rsid w:val="00236B23"/>
    <w:rsid w:val="00241449"/>
    <w:rsid w:val="00260AB8"/>
    <w:rsid w:val="002645CE"/>
    <w:rsid w:val="00267B58"/>
    <w:rsid w:val="00270FB4"/>
    <w:rsid w:val="002823AA"/>
    <w:rsid w:val="002B1B05"/>
    <w:rsid w:val="002B6950"/>
    <w:rsid w:val="002C62EC"/>
    <w:rsid w:val="002D6F2D"/>
    <w:rsid w:val="002E0FE0"/>
    <w:rsid w:val="002E21CC"/>
    <w:rsid w:val="002E2A0C"/>
    <w:rsid w:val="002E7A9A"/>
    <w:rsid w:val="002F2130"/>
    <w:rsid w:val="003403C4"/>
    <w:rsid w:val="00344C03"/>
    <w:rsid w:val="00346070"/>
    <w:rsid w:val="003508FE"/>
    <w:rsid w:val="00350B53"/>
    <w:rsid w:val="00354688"/>
    <w:rsid w:val="003602B3"/>
    <w:rsid w:val="00367386"/>
    <w:rsid w:val="003823FB"/>
    <w:rsid w:val="00382F4C"/>
    <w:rsid w:val="003A4287"/>
    <w:rsid w:val="003A61C9"/>
    <w:rsid w:val="003A690C"/>
    <w:rsid w:val="003C4F20"/>
    <w:rsid w:val="003C7DC6"/>
    <w:rsid w:val="003D2E71"/>
    <w:rsid w:val="003F7732"/>
    <w:rsid w:val="004048E8"/>
    <w:rsid w:val="00411C10"/>
    <w:rsid w:val="004201C5"/>
    <w:rsid w:val="00434A06"/>
    <w:rsid w:val="00482726"/>
    <w:rsid w:val="00491A4B"/>
    <w:rsid w:val="00494A27"/>
    <w:rsid w:val="004D036E"/>
    <w:rsid w:val="004D211D"/>
    <w:rsid w:val="004E269D"/>
    <w:rsid w:val="004F1A30"/>
    <w:rsid w:val="00511641"/>
    <w:rsid w:val="00512FDC"/>
    <w:rsid w:val="00535B39"/>
    <w:rsid w:val="00557F2F"/>
    <w:rsid w:val="00562153"/>
    <w:rsid w:val="00572FCC"/>
    <w:rsid w:val="005A0DD3"/>
    <w:rsid w:val="005A4BBA"/>
    <w:rsid w:val="005B15B0"/>
    <w:rsid w:val="005C0F9A"/>
    <w:rsid w:val="005C7E0C"/>
    <w:rsid w:val="005D3255"/>
    <w:rsid w:val="005E435A"/>
    <w:rsid w:val="00600A64"/>
    <w:rsid w:val="00612F69"/>
    <w:rsid w:val="006169F4"/>
    <w:rsid w:val="0061700C"/>
    <w:rsid w:val="006352DC"/>
    <w:rsid w:val="00637066"/>
    <w:rsid w:val="00654C7A"/>
    <w:rsid w:val="00654C9B"/>
    <w:rsid w:val="00661751"/>
    <w:rsid w:val="0068664C"/>
    <w:rsid w:val="006A02DE"/>
    <w:rsid w:val="006A3041"/>
    <w:rsid w:val="006B603C"/>
    <w:rsid w:val="006D0F0D"/>
    <w:rsid w:val="006E6EC2"/>
    <w:rsid w:val="007133BA"/>
    <w:rsid w:val="007419AA"/>
    <w:rsid w:val="00746C6E"/>
    <w:rsid w:val="00753894"/>
    <w:rsid w:val="00754CB3"/>
    <w:rsid w:val="00773A74"/>
    <w:rsid w:val="00773D21"/>
    <w:rsid w:val="007857A5"/>
    <w:rsid w:val="007B5F46"/>
    <w:rsid w:val="007D6221"/>
    <w:rsid w:val="007D766A"/>
    <w:rsid w:val="007F309F"/>
    <w:rsid w:val="007F5CE8"/>
    <w:rsid w:val="007F67EE"/>
    <w:rsid w:val="00831E1C"/>
    <w:rsid w:val="008373C8"/>
    <w:rsid w:val="00843B7D"/>
    <w:rsid w:val="00863B5A"/>
    <w:rsid w:val="00891994"/>
    <w:rsid w:val="00891AC9"/>
    <w:rsid w:val="0089596B"/>
    <w:rsid w:val="008B780B"/>
    <w:rsid w:val="008C44F1"/>
    <w:rsid w:val="008E48A1"/>
    <w:rsid w:val="008F0C4C"/>
    <w:rsid w:val="008F31E6"/>
    <w:rsid w:val="008F67D2"/>
    <w:rsid w:val="00905E9A"/>
    <w:rsid w:val="00913B85"/>
    <w:rsid w:val="009214E5"/>
    <w:rsid w:val="00932195"/>
    <w:rsid w:val="00940206"/>
    <w:rsid w:val="00962676"/>
    <w:rsid w:val="00970250"/>
    <w:rsid w:val="00973CDE"/>
    <w:rsid w:val="0097433C"/>
    <w:rsid w:val="0098198F"/>
    <w:rsid w:val="009A3DD4"/>
    <w:rsid w:val="009A796B"/>
    <w:rsid w:val="009C0B7A"/>
    <w:rsid w:val="009C6C84"/>
    <w:rsid w:val="009E58F9"/>
    <w:rsid w:val="00A323B2"/>
    <w:rsid w:val="00A63A4A"/>
    <w:rsid w:val="00A86A27"/>
    <w:rsid w:val="00A91FB9"/>
    <w:rsid w:val="00AA2AAF"/>
    <w:rsid w:val="00AA3D66"/>
    <w:rsid w:val="00AA77DD"/>
    <w:rsid w:val="00AC4A4F"/>
    <w:rsid w:val="00AC73A7"/>
    <w:rsid w:val="00AD1761"/>
    <w:rsid w:val="00AE42FD"/>
    <w:rsid w:val="00AF2BFF"/>
    <w:rsid w:val="00AF36B0"/>
    <w:rsid w:val="00B10630"/>
    <w:rsid w:val="00B15889"/>
    <w:rsid w:val="00B64DB5"/>
    <w:rsid w:val="00B77491"/>
    <w:rsid w:val="00B91874"/>
    <w:rsid w:val="00BA6474"/>
    <w:rsid w:val="00BB235C"/>
    <w:rsid w:val="00BC138C"/>
    <w:rsid w:val="00BC76C3"/>
    <w:rsid w:val="00BD53E0"/>
    <w:rsid w:val="00BE4DEC"/>
    <w:rsid w:val="00BE768A"/>
    <w:rsid w:val="00C02EDE"/>
    <w:rsid w:val="00C03365"/>
    <w:rsid w:val="00C11CF0"/>
    <w:rsid w:val="00C50DB4"/>
    <w:rsid w:val="00C61D4C"/>
    <w:rsid w:val="00C752FA"/>
    <w:rsid w:val="00C7557B"/>
    <w:rsid w:val="00C76AEE"/>
    <w:rsid w:val="00C82456"/>
    <w:rsid w:val="00C841E0"/>
    <w:rsid w:val="00CA0C8A"/>
    <w:rsid w:val="00CB4DB9"/>
    <w:rsid w:val="00CD0F50"/>
    <w:rsid w:val="00CE0608"/>
    <w:rsid w:val="00CF65DB"/>
    <w:rsid w:val="00CF7B57"/>
    <w:rsid w:val="00D073E5"/>
    <w:rsid w:val="00D1510E"/>
    <w:rsid w:val="00D3091D"/>
    <w:rsid w:val="00D673F8"/>
    <w:rsid w:val="00D8267E"/>
    <w:rsid w:val="00DA27C0"/>
    <w:rsid w:val="00DA5A5F"/>
    <w:rsid w:val="00DA5E3B"/>
    <w:rsid w:val="00DB2CEE"/>
    <w:rsid w:val="00DC19D9"/>
    <w:rsid w:val="00DF0EF8"/>
    <w:rsid w:val="00DF72A8"/>
    <w:rsid w:val="00E05639"/>
    <w:rsid w:val="00E15FCD"/>
    <w:rsid w:val="00E74656"/>
    <w:rsid w:val="00EC3A05"/>
    <w:rsid w:val="00EC3A4F"/>
    <w:rsid w:val="00EC5BAC"/>
    <w:rsid w:val="00EE1250"/>
    <w:rsid w:val="00EF1BBA"/>
    <w:rsid w:val="00EF5220"/>
    <w:rsid w:val="00F173C3"/>
    <w:rsid w:val="00F4290D"/>
    <w:rsid w:val="00F51526"/>
    <w:rsid w:val="00F5195C"/>
    <w:rsid w:val="00F606B0"/>
    <w:rsid w:val="00F61E3F"/>
    <w:rsid w:val="00F62979"/>
    <w:rsid w:val="00F95432"/>
    <w:rsid w:val="00F97CDD"/>
    <w:rsid w:val="00FB117B"/>
    <w:rsid w:val="00FB2795"/>
    <w:rsid w:val="00FC1656"/>
    <w:rsid w:val="00FE5902"/>
    <w:rsid w:val="00FE7982"/>
    <w:rsid w:val="00FF537B"/>
    <w:rsid w:val="00FF6A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6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7A9A"/>
    <w:pPr>
      <w:ind w:left="720"/>
      <w:contextualSpacing/>
    </w:pPr>
  </w:style>
  <w:style w:type="paragraph" w:customStyle="1" w:styleId="p">
    <w:name w:val="p"/>
    <w:uiPriority w:val="99"/>
    <w:rsid w:val="00572FCC"/>
    <w:pPr>
      <w:widowControl w:val="0"/>
      <w:autoSpaceDE w:val="0"/>
      <w:autoSpaceDN w:val="0"/>
      <w:adjustRightInd w:val="0"/>
      <w:spacing w:after="100" w:line="40" w:lineRule="atLeast"/>
      <w:jc w:val="both"/>
    </w:pPr>
    <w:rPr>
      <w:rFonts w:ascii="Arial" w:eastAsia="Times New Roman" w:hAnsi="Arial" w:cs="Arial"/>
      <w:color w:val="000000"/>
      <w:sz w:val="18"/>
      <w:szCs w:val="18"/>
    </w:rPr>
  </w:style>
  <w:style w:type="character" w:customStyle="1" w:styleId="footnote">
    <w:name w:val="footnote"/>
    <w:uiPriority w:val="99"/>
    <w:rsid w:val="00C03365"/>
  </w:style>
  <w:style w:type="character" w:styleId="Hyperlink">
    <w:name w:val="Hyperlink"/>
    <w:basedOn w:val="DefaultParagraphFont"/>
    <w:uiPriority w:val="99"/>
    <w:semiHidden/>
    <w:rsid w:val="00C03365"/>
    <w:rPr>
      <w:rFonts w:cs="Times New Roman"/>
      <w:color w:val="0000FF"/>
      <w:u w:val="single"/>
    </w:rPr>
  </w:style>
  <w:style w:type="paragraph" w:styleId="Header">
    <w:name w:val="header"/>
    <w:basedOn w:val="Normal"/>
    <w:link w:val="HeaderChar"/>
    <w:uiPriority w:val="99"/>
    <w:rsid w:val="00CD0F50"/>
    <w:pPr>
      <w:tabs>
        <w:tab w:val="center" w:pos="4536"/>
        <w:tab w:val="right" w:pos="9072"/>
      </w:tabs>
      <w:spacing w:after="0" w:line="240" w:lineRule="auto"/>
    </w:pPr>
    <w:rPr>
      <w:sz w:val="20"/>
      <w:szCs w:val="20"/>
      <w:lang w:eastAsia="pl-PL"/>
    </w:rPr>
  </w:style>
  <w:style w:type="character" w:customStyle="1" w:styleId="HeaderChar">
    <w:name w:val="Header Char"/>
    <w:basedOn w:val="DefaultParagraphFont"/>
    <w:link w:val="Header"/>
    <w:uiPriority w:val="99"/>
    <w:locked/>
    <w:rsid w:val="00CD0F50"/>
    <w:rPr>
      <w:rFonts w:cs="Times New Roman"/>
    </w:rPr>
  </w:style>
  <w:style w:type="paragraph" w:styleId="Footer">
    <w:name w:val="footer"/>
    <w:basedOn w:val="Normal"/>
    <w:link w:val="FooterChar"/>
    <w:uiPriority w:val="99"/>
    <w:rsid w:val="00CD0F50"/>
    <w:pPr>
      <w:tabs>
        <w:tab w:val="center" w:pos="4536"/>
        <w:tab w:val="right" w:pos="9072"/>
      </w:tabs>
      <w:spacing w:after="0" w:line="240" w:lineRule="auto"/>
    </w:pPr>
    <w:rPr>
      <w:sz w:val="20"/>
      <w:szCs w:val="20"/>
      <w:lang w:eastAsia="pl-PL"/>
    </w:rPr>
  </w:style>
  <w:style w:type="character" w:customStyle="1" w:styleId="FooterChar">
    <w:name w:val="Footer Char"/>
    <w:basedOn w:val="DefaultParagraphFont"/>
    <w:link w:val="Footer"/>
    <w:uiPriority w:val="99"/>
    <w:locked/>
    <w:rsid w:val="00CD0F50"/>
    <w:rPr>
      <w:rFonts w:cs="Times New Roman"/>
    </w:rPr>
  </w:style>
  <w:style w:type="paragraph" w:styleId="EndnoteText">
    <w:name w:val="endnote text"/>
    <w:basedOn w:val="Normal"/>
    <w:link w:val="EndnoteTextChar"/>
    <w:uiPriority w:val="99"/>
    <w:semiHidden/>
    <w:rsid w:val="00512FDC"/>
    <w:rPr>
      <w:sz w:val="20"/>
      <w:szCs w:val="20"/>
    </w:rPr>
  </w:style>
  <w:style w:type="character" w:customStyle="1" w:styleId="EndnoteTextChar">
    <w:name w:val="Endnote Text Char"/>
    <w:basedOn w:val="DefaultParagraphFont"/>
    <w:link w:val="EndnoteText"/>
    <w:uiPriority w:val="99"/>
    <w:semiHidden/>
    <w:locked/>
    <w:rsid w:val="00512FDC"/>
    <w:rPr>
      <w:rFonts w:cs="Times New Roman"/>
      <w:lang w:eastAsia="en-US"/>
    </w:rPr>
  </w:style>
  <w:style w:type="character" w:styleId="EndnoteReference">
    <w:name w:val="endnote reference"/>
    <w:basedOn w:val="DefaultParagraphFont"/>
    <w:uiPriority w:val="99"/>
    <w:semiHidden/>
    <w:rsid w:val="00512FDC"/>
    <w:rPr>
      <w:rFonts w:cs="Times New Roman"/>
      <w:vertAlign w:val="superscript"/>
    </w:rPr>
  </w:style>
  <w:style w:type="character" w:styleId="PageNumber">
    <w:name w:val="page number"/>
    <w:basedOn w:val="DefaultParagraphFont"/>
    <w:uiPriority w:val="99"/>
    <w:rsid w:val="0034607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600</TotalTime>
  <Pages>5</Pages>
  <Words>1289</Words>
  <Characters>7738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Sygn</dc:title>
  <dc:subject/>
  <dc:creator>Sławomir Krześ</dc:creator>
  <cp:keywords/>
  <dc:description/>
  <cp:lastModifiedBy>egzamin adwokacki</cp:lastModifiedBy>
  <cp:revision>131</cp:revision>
  <cp:lastPrinted>2015-01-09T13:53:00Z</cp:lastPrinted>
  <dcterms:created xsi:type="dcterms:W3CDTF">2014-12-17T09:57:00Z</dcterms:created>
  <dcterms:modified xsi:type="dcterms:W3CDTF">2015-02-23T15:17:00Z</dcterms:modified>
</cp:coreProperties>
</file>