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09443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09443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7777777" w:rsidR="00405329" w:rsidRPr="00094438" w:rsidRDefault="003F6F82" w:rsidP="00190EDD">
      <w:pPr>
        <w:pStyle w:val="Style2"/>
        <w:widowControl/>
        <w:spacing w:before="62" w:after="5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>Warszawa, 5 października 2022 r.</w:t>
      </w:r>
    </w:p>
    <w:p w14:paraId="583B003D" w14:textId="3E617B17" w:rsidR="00CF5F1A" w:rsidRDefault="003F6F82" w:rsidP="00190EDD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CF5F1A">
        <w:rPr>
          <w:rStyle w:val="FontStyle41"/>
          <w:rFonts w:ascii="Arial" w:hAnsi="Arial" w:cs="Arial"/>
          <w:sz w:val="28"/>
          <w:szCs w:val="28"/>
        </w:rPr>
        <w:t>54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k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24A1AEEE" w:rsidR="00405329" w:rsidRPr="00094438" w:rsidRDefault="00CF5F1A" w:rsidP="00190EDD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VI.9130.26.2022</w:t>
      </w:r>
    </w:p>
    <w:p w14:paraId="350C5E9C" w14:textId="77777777" w:rsidR="00405329" w:rsidRPr="00094438" w:rsidRDefault="00405329" w:rsidP="00190EDD">
      <w:pPr>
        <w:pStyle w:val="Style4"/>
        <w:widowControl/>
        <w:spacing w:after="5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190EDD">
      <w:pPr>
        <w:pStyle w:val="Style4"/>
        <w:widowControl/>
        <w:spacing w:after="5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190EDD">
      <w:pPr>
        <w:pStyle w:val="Style4"/>
        <w:widowControl/>
        <w:spacing w:after="5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190EDD">
      <w:pPr>
        <w:pStyle w:val="Style4"/>
        <w:widowControl/>
        <w:spacing w:before="168" w:after="5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190EDD">
      <w:pPr>
        <w:pStyle w:val="Style5"/>
        <w:widowControl/>
        <w:spacing w:after="5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Default="003F6F82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Default="003F6F82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094438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Default="00190EDD" w:rsidP="00190EDD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Default="003F6F82" w:rsidP="00190EDD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094438" w:rsidRDefault="00190EDD" w:rsidP="00190EDD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69BF983D" w:rsidR="00405329" w:rsidRPr="00CF5F1A" w:rsidRDefault="003F6F82" w:rsidP="00190EDD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  <w:r w:rsidRPr="00CF5F1A">
        <w:rPr>
          <w:rStyle w:val="FontStyle42"/>
          <w:rFonts w:ascii="Arial" w:hAnsi="Arial" w:cs="Arial"/>
          <w:sz w:val="28"/>
          <w:szCs w:val="28"/>
        </w:rPr>
        <w:t xml:space="preserve">Paweł Lisiecki, Bartłomiej Opaliński, Łukasz </w:t>
      </w:r>
      <w:proofErr w:type="spellStart"/>
      <w:r w:rsidRPr="00CF5F1A">
        <w:rPr>
          <w:rStyle w:val="FontStyle42"/>
          <w:rFonts w:ascii="Arial" w:hAnsi="Arial" w:cs="Arial"/>
          <w:sz w:val="28"/>
          <w:szCs w:val="28"/>
        </w:rPr>
        <w:t>Kondratko</w:t>
      </w:r>
      <w:proofErr w:type="spellEnd"/>
      <w:r w:rsidRPr="00CF5F1A">
        <w:rPr>
          <w:rStyle w:val="FontStyle42"/>
          <w:rFonts w:ascii="Arial" w:hAnsi="Arial" w:cs="Arial"/>
          <w:sz w:val="28"/>
          <w:szCs w:val="28"/>
        </w:rPr>
        <w:t>,</w:t>
      </w:r>
      <w:r w:rsidR="00CF5F1A" w:rsidRPr="00CF5F1A">
        <w:rPr>
          <w:rStyle w:val="FontStyle42"/>
          <w:rFonts w:ascii="Arial" w:hAnsi="Arial" w:cs="Arial"/>
          <w:sz w:val="28"/>
          <w:szCs w:val="28"/>
        </w:rPr>
        <w:t xml:space="preserve"> Robert Kropiwnicki</w:t>
      </w:r>
      <w:r w:rsidRPr="00CF5F1A">
        <w:rPr>
          <w:rStyle w:val="FontStyle42"/>
          <w:rFonts w:ascii="Arial" w:hAnsi="Arial" w:cs="Arial"/>
          <w:sz w:val="28"/>
          <w:szCs w:val="28"/>
        </w:rPr>
        <w:t xml:space="preserve"> Jan Mosiński, Sławomir Potapowicz, </w:t>
      </w:r>
    </w:p>
    <w:p w14:paraId="3F45EC36" w14:textId="2BAE21E5" w:rsid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 xml:space="preserve">po przeprowadzeniu w dniu </w:t>
      </w:r>
      <w:r w:rsidRPr="00CF5F1A">
        <w:rPr>
          <w:rFonts w:ascii="Arial" w:eastAsia="Times New Roman" w:hAnsi="Arial" w:cs="Arial"/>
          <w:color w:val="000000"/>
          <w:sz w:val="28"/>
          <w:szCs w:val="28"/>
        </w:rPr>
        <w:t>5 października</w:t>
      </w: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2022 r. na posiedzeniu niejawnym czynności sprawdzających w celu stwierdzenia, czy istnieją podstawy do wszczęcia postępowania rozpoznawczego</w:t>
      </w:r>
    </w:p>
    <w:p w14:paraId="52571D51" w14:textId="730C7F12" w:rsidR="009C76E8" w:rsidRDefault="009C76E8" w:rsidP="00190EDD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CF5F1A" w:rsidRDefault="009C76E8" w:rsidP="00190EDD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2F86BA1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79C3E71D" w14:textId="101E76EA" w:rsid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Default="009C76E8" w:rsidP="00190EDD">
      <w:pPr>
        <w:widowControl/>
        <w:suppressAutoHyphens/>
        <w:autoSpaceDE/>
        <w:autoSpaceDN/>
        <w:adjustRightInd/>
        <w:spacing w:after="5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05BB6B" w14:textId="77777777" w:rsidR="009C76E8" w:rsidRPr="00CF5F1A" w:rsidRDefault="009C76E8" w:rsidP="00190EDD">
      <w:pPr>
        <w:widowControl/>
        <w:suppressAutoHyphens/>
        <w:autoSpaceDE/>
        <w:autoSpaceDN/>
        <w:adjustRightInd/>
        <w:spacing w:after="5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B864070" w14:textId="77777777" w:rsidR="00CF5F1A" w:rsidRPr="00CF5F1A" w:rsidRDefault="00CF5F1A" w:rsidP="00190EDD">
      <w:pPr>
        <w:widowControl/>
        <w:autoSpaceDE/>
        <w:autoSpaceDN/>
        <w:adjustRightInd/>
        <w:spacing w:after="5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92DF207" w14:textId="0D0C3BC2" w:rsidR="00CF5F1A" w:rsidRPr="0017701F" w:rsidRDefault="00CF5F1A" w:rsidP="0017701F">
      <w:pPr>
        <w:widowControl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1. na podstawie art. 15 ust. 2 i ust. 3, art. 16 ust. 1 i ust. 2 w zw. z art. 16 a ust. 1 i ust. 2  ustawy z dnia 9 marca 2017 r. o szczególnych zasadach usuwania skutków prawnych decyzji reprywatyzacyjnych dotyczących nieruchomości warszawskich, wydanych z naruszeniem </w:t>
      </w: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Pr="00CF5F1A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bookmarkStart w:id="0" w:name="_Hlk74923147"/>
      <w:bookmarkStart w:id="1" w:name="_Hlk93411064"/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w sprawie </w:t>
      </w:r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decyzji </w:t>
      </w:r>
      <w:r w:rsidRPr="00CF5F1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 czerwca 2016 r. nr        </w:t>
      </w:r>
      <w:r w:rsidRPr="00CF5F1A">
        <w:rPr>
          <w:rFonts w:ascii="Arial" w:eastAsia="Times New Roman" w:hAnsi="Arial" w:cs="Arial"/>
          <w:color w:val="000000"/>
          <w:sz w:val="28"/>
          <w:szCs w:val="28"/>
        </w:rPr>
        <w:t xml:space="preserve"> ustanawiającej prawo użytkowania wieczystego do niezabudowanego gruntu o powierzchni 2944 m</w:t>
      </w:r>
      <w:r w:rsidRPr="00CF5F1A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2 </w:t>
      </w:r>
      <w:r w:rsidRPr="00CF5F1A">
        <w:rPr>
          <w:rFonts w:ascii="Arial" w:eastAsia="Times New Roman" w:hAnsi="Arial" w:cs="Arial"/>
          <w:color w:val="000000"/>
          <w:sz w:val="28"/>
          <w:szCs w:val="28"/>
        </w:rPr>
        <w:t xml:space="preserve">oznaczonego jako działka ewidencyjna nr       w obrębie      </w:t>
      </w:r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położonego                                                          w Warszawie przy </w:t>
      </w:r>
      <w:r w:rsidRPr="00CF5F1A">
        <w:rPr>
          <w:rFonts w:ascii="Arial" w:eastAsia="Times New Roman" w:hAnsi="Arial" w:cs="Arial"/>
          <w:bCs/>
          <w:sz w:val="28"/>
          <w:szCs w:val="28"/>
        </w:rPr>
        <w:t xml:space="preserve">ulicy Gwiaździstej (dawna Kamedułów 9), </w:t>
      </w:r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dla której Sąd Rejonowy dla W.  </w:t>
      </w:r>
      <w:r w:rsidR="006C63F4">
        <w:rPr>
          <w:rFonts w:ascii="Arial" w:eastAsia="Times New Roman" w:hAnsi="Arial" w:cs="Arial"/>
          <w:bCs/>
          <w:color w:val="000000"/>
          <w:sz w:val="28"/>
          <w:szCs w:val="28"/>
        </w:rPr>
        <w:t>myślnik</w:t>
      </w:r>
      <w:r w:rsidR="006C63F4"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M.  w </w:t>
      </w:r>
      <w:proofErr w:type="spellStart"/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>.        prowadzi księgę wieczystą</w:t>
      </w:r>
      <w:r w:rsidRPr="00CF5F1A">
        <w:rPr>
          <w:rFonts w:ascii="Arial" w:eastAsia="Times New Roman" w:hAnsi="Arial" w:cs="Arial"/>
          <w:color w:val="000000"/>
          <w:sz w:val="28"/>
          <w:szCs w:val="28"/>
        </w:rPr>
        <w:t xml:space="preserve">              </w:t>
      </w:r>
      <w:r w:rsidR="00023006">
        <w:rPr>
          <w:rFonts w:ascii="Arial" w:eastAsia="Times New Roman" w:hAnsi="Arial" w:cs="Arial"/>
          <w:color w:val="000000"/>
          <w:sz w:val="28"/>
          <w:szCs w:val="28"/>
        </w:rPr>
        <w:t xml:space="preserve"> myślnik </w:t>
      </w:r>
      <w:r w:rsidRPr="00CF5F1A">
        <w:rPr>
          <w:rFonts w:ascii="Arial" w:eastAsia="Times New Roman" w:hAnsi="Arial" w:cs="Arial"/>
          <w:color w:val="000000"/>
          <w:sz w:val="28"/>
          <w:szCs w:val="28"/>
        </w:rPr>
        <w:t xml:space="preserve">cz. </w:t>
      </w:r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dawne oznaczenie numerem hipotecznym </w:t>
      </w:r>
      <w:r w:rsidRPr="00CF5F1A">
        <w:rPr>
          <w:rFonts w:ascii="Arial" w:eastAsia="Calibri" w:hAnsi="Arial" w:cs="Arial"/>
          <w:sz w:val="28"/>
          <w:szCs w:val="28"/>
          <w:lang w:eastAsia="en-US"/>
        </w:rPr>
        <w:t xml:space="preserve">      </w:t>
      </w: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,</w:t>
      </w:r>
      <w:bookmarkEnd w:id="0"/>
      <w:bookmarkEnd w:id="1"/>
      <w:r w:rsidRPr="00CF5F1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CF5F1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CF5F1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CF5F1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bookmarkStart w:id="2" w:name="_Hlk113870925"/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Prokuratora Regionalnego w </w:t>
      </w:r>
      <w:proofErr w:type="spellStart"/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>W</w:t>
      </w:r>
      <w:proofErr w:type="spellEnd"/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       , </w:t>
      </w:r>
      <w:r w:rsidRPr="00CF5F1A">
        <w:rPr>
          <w:rFonts w:ascii="Arial" w:eastAsiaTheme="minorHAnsi" w:hAnsi="Arial" w:cs="Arial"/>
          <w:sz w:val="28"/>
          <w:szCs w:val="28"/>
          <w:lang w:eastAsia="en-US"/>
        </w:rPr>
        <w:t>Z. O.</w:t>
      </w:r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CF5F1A">
        <w:rPr>
          <w:rFonts w:ascii="Arial" w:eastAsiaTheme="minorHAnsi" w:hAnsi="Arial" w:cs="Arial"/>
          <w:sz w:val="28"/>
          <w:szCs w:val="28"/>
          <w:lang w:eastAsia="en-US"/>
        </w:rPr>
        <w:t>W. O.</w:t>
      </w:r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CF5F1A">
        <w:rPr>
          <w:rFonts w:ascii="Arial" w:eastAsiaTheme="minorHAnsi" w:hAnsi="Arial" w:cs="Arial"/>
          <w:sz w:val="28"/>
          <w:szCs w:val="28"/>
          <w:lang w:eastAsia="en-US"/>
        </w:rPr>
        <w:t>M. P.,</w:t>
      </w:r>
      <w:r w:rsidRPr="00CF5F1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CF5F1A">
        <w:rPr>
          <w:rFonts w:ascii="Arial" w:eastAsiaTheme="minorHAnsi" w:hAnsi="Arial" w:cs="Arial"/>
          <w:sz w:val="28"/>
          <w:szCs w:val="28"/>
          <w:lang w:eastAsia="en-US"/>
        </w:rPr>
        <w:t>D. P., I. P., M. P.</w:t>
      </w:r>
      <w:bookmarkEnd w:id="2"/>
      <w:r w:rsidRPr="00CF5F1A">
        <w:rPr>
          <w:rFonts w:ascii="Arial" w:eastAsiaTheme="minorHAnsi" w:hAnsi="Arial" w:cs="Arial"/>
          <w:sz w:val="28"/>
          <w:szCs w:val="28"/>
          <w:lang w:eastAsia="en-US"/>
        </w:rPr>
        <w:t>,</w:t>
      </w:r>
    </w:p>
    <w:p w14:paraId="38709DDB" w14:textId="5364ACE7" w:rsidR="009C76E8" w:rsidRDefault="009C76E8" w:rsidP="00190EDD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84A0BA8" w14:textId="77777777" w:rsidR="009C76E8" w:rsidRPr="00CF5F1A" w:rsidRDefault="009C76E8" w:rsidP="00190EDD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62AAB721" w14:textId="77777777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lastRenderedPageBreak/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190EDD">
      <w:pPr>
        <w:widowControl/>
        <w:suppressAutoHyphens/>
        <w:autoSpaceDE/>
        <w:autoSpaceDN/>
        <w:adjustRightInd/>
        <w:spacing w:after="5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77777777" w:rsidR="00CF5F1A" w:rsidRPr="00CF5F1A" w:rsidRDefault="00CF5F1A" w:rsidP="00190EDD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094438" w:rsidRDefault="00405329" w:rsidP="00190EDD">
      <w:pPr>
        <w:pStyle w:val="Style3"/>
        <w:widowControl/>
        <w:spacing w:after="5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32DE39BF" w:rsidR="003F6F82" w:rsidRDefault="003F6F82" w:rsidP="00190EDD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125A2670" w14:textId="77777777" w:rsidR="003F6F82" w:rsidRDefault="003F6F82" w:rsidP="00190EDD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190EDD">
      <w:pPr>
        <w:pStyle w:val="Nagwek1"/>
        <w:spacing w:before="0"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190EDD">
      <w:pPr>
        <w:widowControl/>
        <w:suppressAutoHyphens/>
        <w:autoSpaceDE/>
        <w:autoSpaceDN/>
        <w:adjustRightInd/>
        <w:spacing w:after="5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190EDD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Default="009C76E8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Default="003F6F82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455" w14:textId="77777777" w:rsidR="008D2A4C" w:rsidRDefault="008D2A4C">
      <w:r>
        <w:separator/>
      </w:r>
    </w:p>
  </w:endnote>
  <w:endnote w:type="continuationSeparator" w:id="0">
    <w:p w14:paraId="024A1D39" w14:textId="77777777" w:rsidR="008D2A4C" w:rsidRDefault="008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7B44" w14:textId="77777777" w:rsidR="008D2A4C" w:rsidRDefault="008D2A4C">
      <w:r>
        <w:separator/>
      </w:r>
    </w:p>
  </w:footnote>
  <w:footnote w:type="continuationSeparator" w:id="0">
    <w:p w14:paraId="31C03A86" w14:textId="77777777" w:rsidR="008D2A4C" w:rsidRDefault="008D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547AE"/>
    <w:rsid w:val="00094438"/>
    <w:rsid w:val="000F6619"/>
    <w:rsid w:val="00133AA9"/>
    <w:rsid w:val="001478F2"/>
    <w:rsid w:val="00150E5C"/>
    <w:rsid w:val="0017701F"/>
    <w:rsid w:val="00190EDD"/>
    <w:rsid w:val="001A0D73"/>
    <w:rsid w:val="00223759"/>
    <w:rsid w:val="00292D3F"/>
    <w:rsid w:val="0030791F"/>
    <w:rsid w:val="003F6F82"/>
    <w:rsid w:val="00405329"/>
    <w:rsid w:val="004D4D38"/>
    <w:rsid w:val="00530D0E"/>
    <w:rsid w:val="00537DCE"/>
    <w:rsid w:val="00562B44"/>
    <w:rsid w:val="006178AF"/>
    <w:rsid w:val="0064489A"/>
    <w:rsid w:val="006467E8"/>
    <w:rsid w:val="006C63F4"/>
    <w:rsid w:val="00792D01"/>
    <w:rsid w:val="007E1FBD"/>
    <w:rsid w:val="007F035F"/>
    <w:rsid w:val="008D2A4C"/>
    <w:rsid w:val="009244EA"/>
    <w:rsid w:val="009C76E8"/>
    <w:rsid w:val="00B60057"/>
    <w:rsid w:val="00BA190F"/>
    <w:rsid w:val="00C02E56"/>
    <w:rsid w:val="00CF5F1A"/>
    <w:rsid w:val="00DC026D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dcterms:created xsi:type="dcterms:W3CDTF">2022-10-14T07:22:00Z</dcterms:created>
  <dcterms:modified xsi:type="dcterms:W3CDTF">2022-10-17T12:34:00Z</dcterms:modified>
</cp:coreProperties>
</file>