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ACE" w:rsidRDefault="001322D8">
      <w:pPr>
        <w:spacing w:line="1" w:lineRule="exact"/>
      </w:pPr>
      <w:r>
        <w:rPr>
          <w:noProof/>
          <w:lang w:bidi="ar-SA"/>
        </w:rPr>
        <mc:AlternateContent>
          <mc:Choice Requires="wps">
            <w:drawing>
              <wp:anchor distT="283210" distB="0" distL="114300" distR="1531620" simplePos="0" relativeHeight="125829378" behindDoc="0" locked="0" layoutInCell="1" allowOverlap="1">
                <wp:simplePos x="0" y="0"/>
                <wp:positionH relativeFrom="page">
                  <wp:posOffset>733425</wp:posOffset>
                </wp:positionH>
                <wp:positionV relativeFrom="paragraph">
                  <wp:posOffset>295910</wp:posOffset>
                </wp:positionV>
                <wp:extent cx="1286510" cy="6584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86510" cy="658495"/>
                        </a:xfrm>
                        <a:prstGeom prst="rect">
                          <a:avLst/>
                        </a:prstGeom>
                        <a:noFill/>
                      </wps:spPr>
                      <wps:txbx>
                        <w:txbxContent>
                          <w:p w:rsidR="00060ACE" w:rsidRDefault="001322D8">
                            <w:pPr>
                              <w:pStyle w:val="Bodytext10"/>
                              <w:spacing w:after="0" w:line="257" w:lineRule="auto"/>
                            </w:pPr>
                            <w:r>
                              <w:rPr>
                                <w:rStyle w:val="Bodytext1"/>
                                <w:b/>
                                <w:bCs/>
                              </w:rPr>
                              <w:t>OD:</w:t>
                            </w:r>
                          </w:p>
                          <w:p w:rsidR="00060ACE" w:rsidRDefault="00060ACE">
                            <w:pPr>
                              <w:pStyle w:val="Bodytext10"/>
                              <w:spacing w:after="0" w:line="257" w:lineRule="auto"/>
                            </w:pPr>
                          </w:p>
                          <w:p w:rsidR="00060ACE" w:rsidRDefault="00060ACE">
                            <w:pPr>
                              <w:pStyle w:val="Bodytext10"/>
                              <w:spacing w:after="0" w:line="257" w:lineRule="auto"/>
                            </w:pPr>
                          </w:p>
                          <w:p w:rsidR="00700981" w:rsidRDefault="00700981">
                            <w:pPr>
                              <w:pStyle w:val="Bodytext10"/>
                              <w:spacing w:after="0" w:line="257" w:lineRule="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7.75pt;margin-top:23.3pt;width:101.3pt;height:51.85pt;z-index:125829378;visibility:visible;mso-wrap-style:square;mso-wrap-distance-left:9pt;mso-wrap-distance-top:22.3pt;mso-wrap-distance-right:120.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" filled="f" stroked="f">
                <v:textbox inset="0,0,0,0">
                  <w:txbxContent>
                    <w:p w:rsidR="00060ACE" w:rsidRDefault="001322D8">
                      <w:pPr>
                        <w:pStyle w:val="Bodytext10"/>
                        <w:spacing w:after="0" w:line="257" w:lineRule="auto"/>
                      </w:pPr>
                      <w:r>
                        <w:rPr>
                          <w:rStyle w:val="Bodytext1"/>
                          <w:b/>
                          <w:bCs/>
                        </w:rPr>
                        <w:t>OD:</w:t>
                      </w:r>
                    </w:p>
                    <w:p w:rsidR="00060ACE" w:rsidRDefault="00060ACE">
                      <w:pPr>
                        <w:pStyle w:val="Bodytext10"/>
                        <w:spacing w:after="0" w:line="257" w:lineRule="auto"/>
                      </w:pPr>
                    </w:p>
                    <w:p w:rsidR="00060ACE" w:rsidRDefault="00060ACE">
                      <w:pPr>
                        <w:pStyle w:val="Bodytext10"/>
                        <w:spacing w:after="0" w:line="257" w:lineRule="auto"/>
                      </w:pPr>
                    </w:p>
                    <w:p w:rsidR="00700981" w:rsidRDefault="00700981">
                      <w:pPr>
                        <w:pStyle w:val="Bodytext10"/>
                        <w:spacing w:after="0" w:line="257" w:lineRule="auto"/>
                      </w:pPr>
                    </w:p>
                  </w:txbxContent>
                </v:textbox>
                <w10:wrap type="square" side="right" anchorx="page"/>
              </v:shape>
            </w:pict>
          </mc:Fallback>
        </mc:AlternateContent>
      </w:r>
    </w:p>
    <w:p w:rsidR="00060ACE" w:rsidRDefault="001322D8">
      <w:pPr>
        <w:pStyle w:val="Bodytext10"/>
        <w:spacing w:after="740" w:line="240" w:lineRule="auto"/>
        <w:jc w:val="right"/>
      </w:pPr>
      <w:r>
        <w:rPr>
          <w:rStyle w:val="Bodytext1"/>
        </w:rPr>
        <w:t>, 2025-04-30</w:t>
      </w:r>
    </w:p>
    <w:p w:rsidR="00060ACE" w:rsidRDefault="001322D8">
      <w:pPr>
        <w:pStyle w:val="Bodytext10"/>
        <w:spacing w:after="0" w:line="240" w:lineRule="auto"/>
        <w:jc w:val="center"/>
      </w:pPr>
      <w:r>
        <w:rPr>
          <w:rStyle w:val="Bodytext1"/>
          <w:b/>
          <w:bCs/>
        </w:rPr>
        <w:t>DO:</w:t>
      </w:r>
    </w:p>
    <w:p w:rsidR="00060ACE" w:rsidRDefault="001322D8">
      <w:pPr>
        <w:pStyle w:val="Bodytext10"/>
        <w:spacing w:after="0" w:line="240" w:lineRule="auto"/>
        <w:ind w:left="4600"/>
      </w:pPr>
      <w:r>
        <w:rPr>
          <w:rStyle w:val="Bodytext1"/>
        </w:rPr>
        <w:t>Ministerstwo Spraw Wewnętrznych i Administracji</w:t>
      </w:r>
    </w:p>
    <w:p w:rsidR="00060ACE" w:rsidRDefault="001322D8">
      <w:pPr>
        <w:pStyle w:val="Bodytext10"/>
        <w:spacing w:after="0" w:line="240" w:lineRule="auto"/>
        <w:ind w:left="4600"/>
      </w:pPr>
      <w:r>
        <w:rPr>
          <w:rStyle w:val="Bodytext1"/>
        </w:rPr>
        <w:t>Stefana Batorego 5</w:t>
      </w:r>
    </w:p>
    <w:p w:rsidR="00060ACE" w:rsidRDefault="001322D8">
      <w:pPr>
        <w:pStyle w:val="Bodytext10"/>
        <w:spacing w:after="1380" w:line="240" w:lineRule="auto"/>
        <w:ind w:left="4600"/>
      </w:pPr>
      <w:r>
        <w:rPr>
          <w:rStyle w:val="Bodytext1"/>
        </w:rPr>
        <w:t>02-591 Warszawa</w:t>
      </w:r>
    </w:p>
    <w:p w:rsidR="00060ACE" w:rsidRDefault="001322D8">
      <w:pPr>
        <w:pStyle w:val="Bodytext10"/>
        <w:spacing w:after="0"/>
        <w:jc w:val="center"/>
      </w:pPr>
      <w:r>
        <w:rPr>
          <w:rStyle w:val="Bodytext1"/>
          <w:b/>
          <w:bCs/>
        </w:rPr>
        <w:t>PETYCJA</w:t>
      </w:r>
      <w:r>
        <w:rPr>
          <w:rStyle w:val="Bodytext1"/>
          <w:b/>
          <w:bCs/>
          <w:vertAlign w:val="superscript"/>
        </w:rPr>
        <w:footnoteReference w:id="1"/>
      </w:r>
    </w:p>
    <w:p w:rsidR="00060ACE" w:rsidRDefault="001322D8">
      <w:pPr>
        <w:pStyle w:val="Bodytext10"/>
        <w:spacing w:after="120"/>
      </w:pPr>
      <w:r>
        <w:rPr>
          <w:rStyle w:val="Bodytext1"/>
        </w:rPr>
        <w:t>Szanowni Państwo,</w:t>
      </w:r>
    </w:p>
    <w:p w:rsidR="00060ACE" w:rsidRDefault="001322D8">
      <w:pPr>
        <w:pStyle w:val="Bodytext10"/>
        <w:spacing w:after="120" w:line="271" w:lineRule="auto"/>
      </w:pPr>
      <w:r>
        <w:rPr>
          <w:rStyle w:val="Bodytext1"/>
        </w:rPr>
        <w:t>Wg. doniesień medialnych, Ministerstwo planuje przywrócić w 2025 roku faktyczną karalność niedopełnienia obowiązku meldunkowego. Apeluję o:</w:t>
      </w:r>
    </w:p>
    <w:p w:rsidR="00060ACE" w:rsidRDefault="001322D8">
      <w:pPr>
        <w:pStyle w:val="Bodytext10"/>
        <w:numPr>
          <w:ilvl w:val="0"/>
          <w:numId w:val="1"/>
        </w:numPr>
        <w:tabs>
          <w:tab w:val="left" w:pos="715"/>
        </w:tabs>
        <w:spacing w:after="120"/>
        <w:ind w:left="720" w:hanging="360"/>
      </w:pPr>
      <w:r>
        <w:rPr>
          <w:rStyle w:val="Bodytext1"/>
        </w:rPr>
        <w:t>Kontynuowanie rozpoczętego w latach 2010-tych procesu wycofywania się z istnienia obowiązku meldunkowego, i nie unicestwianie dorobku całego pokolenia w tym zakresie.</w:t>
      </w:r>
    </w:p>
    <w:p w:rsidR="00060ACE" w:rsidRDefault="001322D8">
      <w:pPr>
        <w:pStyle w:val="Bodytext10"/>
        <w:numPr>
          <w:ilvl w:val="0"/>
          <w:numId w:val="1"/>
        </w:numPr>
        <w:tabs>
          <w:tab w:val="left" w:pos="715"/>
        </w:tabs>
        <w:spacing w:after="120" w:line="269" w:lineRule="auto"/>
        <w:ind w:left="720" w:hanging="360"/>
      </w:pPr>
      <w:r>
        <w:rPr>
          <w:rStyle w:val="Bodytext1"/>
        </w:rPr>
        <w:t>Dążenie do nałożenia na urzędy obowiązku wykorzystywania danych, które zbierają lub do których posiadają dostęp. Wdrożenie, w ramach istniejących przepisów, odpowiedzialności urzędów za</w:t>
      </w:r>
      <w:r w:rsidR="00700981">
        <w:rPr>
          <w:rStyle w:val="Bodytext1"/>
        </w:rPr>
        <w:t> </w:t>
      </w:r>
      <w:r>
        <w:rPr>
          <w:rStyle w:val="Bodytext1"/>
        </w:rPr>
        <w:t>marnotrawienie zbiorów danych.</w:t>
      </w:r>
    </w:p>
    <w:p w:rsidR="00060ACE" w:rsidRDefault="001322D8">
      <w:pPr>
        <w:pStyle w:val="Bodytext10"/>
        <w:numPr>
          <w:ilvl w:val="0"/>
          <w:numId w:val="1"/>
        </w:numPr>
        <w:tabs>
          <w:tab w:val="left" w:pos="715"/>
        </w:tabs>
        <w:spacing w:after="120" w:line="269" w:lineRule="auto"/>
        <w:ind w:left="720" w:hanging="360"/>
      </w:pPr>
      <w:r>
        <w:rPr>
          <w:rStyle w:val="Bodytext1"/>
        </w:rPr>
        <w:t>Zaproponowanie ustawy, która zapewniłaby przejrzystość korzystania przez urzędy zbiorów danych: w zakresie użytej metodologii, podstaw naukowych, narzędzi i wyciąganych wniosków.</w:t>
      </w:r>
    </w:p>
    <w:p w:rsidR="00060ACE" w:rsidRDefault="001322D8">
      <w:pPr>
        <w:pStyle w:val="Bodytext10"/>
        <w:spacing w:after="120"/>
        <w:jc w:val="center"/>
      </w:pPr>
      <w:r>
        <w:rPr>
          <w:rStyle w:val="Bodytext1"/>
          <w:b/>
          <w:bCs/>
        </w:rPr>
        <w:t>UZASADNIENIE</w:t>
      </w:r>
    </w:p>
    <w:p w:rsidR="00060ACE" w:rsidRDefault="001322D8">
      <w:pPr>
        <w:pStyle w:val="Bodytext10"/>
        <w:spacing w:after="120"/>
      </w:pPr>
      <w:r>
        <w:rPr>
          <w:rStyle w:val="Bodytext1"/>
        </w:rPr>
        <w:t>Urzędy, które domagają się zwiększenia zakresu zbieranych danych, w rzeczywistości posiadają już dostęp do gigantycznych zasobów tychże. W tym większości tych, które wskazane są jako uzasadnienia dla przywrócenia karalności braku meldunku.</w:t>
      </w:r>
    </w:p>
    <w:p w:rsidR="00060ACE" w:rsidRDefault="001322D8">
      <w:pPr>
        <w:pStyle w:val="Bodytext10"/>
        <w:spacing w:after="120" w:line="269" w:lineRule="auto"/>
      </w:pPr>
      <w:r>
        <w:rPr>
          <w:rStyle w:val="Bodytext1"/>
        </w:rPr>
        <w:t>Niestety danych tych nie wykorzystują lub używają je w sposób niedający wymiernych efektów. Zamiast naprawić ten problem, próbują zebrać więcej danych w nadziei, że „następnym razem się uda". Tego rodzaju cykl jest widoczny w wielu dziedzinach życia i zawsze prowadzi donikąd.</w:t>
      </w:r>
    </w:p>
    <w:p w:rsidR="00060ACE" w:rsidRDefault="001322D8">
      <w:pPr>
        <w:pStyle w:val="Bodytext10"/>
        <w:spacing w:after="120" w:line="264" w:lineRule="auto"/>
      </w:pPr>
      <w:r>
        <w:rPr>
          <w:rStyle w:val="Bodytext1"/>
        </w:rPr>
        <w:t xml:space="preserve">Urzędy wykazują też typowy przykład jednej z odsłon błędu </w:t>
      </w:r>
      <w:proofErr w:type="spellStart"/>
      <w:r>
        <w:rPr>
          <w:rStyle w:val="Bodytext1"/>
        </w:rPr>
        <w:t>McNamary</w:t>
      </w:r>
      <w:proofErr w:type="spellEnd"/>
      <w:r>
        <w:rPr>
          <w:rStyle w:val="Bodytext1"/>
        </w:rPr>
        <w:t>.</w:t>
      </w:r>
      <w:r>
        <w:rPr>
          <w:rStyle w:val="Bodytext1"/>
          <w:vertAlign w:val="superscript"/>
        </w:rPr>
        <w:footnoteReference w:id="2"/>
      </w:r>
      <w:r>
        <w:rPr>
          <w:rStyle w:val="Bodytext1"/>
        </w:rPr>
        <w:t xml:space="preserve"> Lwia część wskazanych zastosowań danych z meldunków jest już pokryta przez informacje zgłaszane przez mieszkańców. Z</w:t>
      </w:r>
      <w:r w:rsidR="00700981">
        <w:rPr>
          <w:rStyle w:val="Bodytext1"/>
        </w:rPr>
        <w:t> </w:t>
      </w:r>
      <w:r>
        <w:rPr>
          <w:rStyle w:val="Bodytext1"/>
        </w:rPr>
        <w:t xml:space="preserve">wyjątkiem chwilowych </w:t>
      </w:r>
      <w:proofErr w:type="spellStart"/>
      <w:r>
        <w:rPr>
          <w:rStyle w:val="Bodytext1"/>
        </w:rPr>
        <w:t>zapotrzebowań</w:t>
      </w:r>
      <w:proofErr w:type="spellEnd"/>
      <w:r>
        <w:rPr>
          <w:rStyle w:val="Bodytext1"/>
        </w:rPr>
        <w:t xml:space="preserve"> politycznych, informacje te są całkowicie ignorowane od 30 lat. In</w:t>
      </w:r>
      <w:r w:rsidRPr="00700981">
        <w:rPr>
          <w:rStyle w:val="Bodytext1"/>
        </w:rPr>
        <w:t>form</w:t>
      </w:r>
      <w:r>
        <w:rPr>
          <w:rStyle w:val="Bodytext1"/>
        </w:rPr>
        <w:t>acje takie mogą niewątpliwie wymagać weryfikacji w oparciu o dane. Używane do tego metody statystyczne nie zyskują jednak wiele z kompletności tych danych. Wiele innych zbiorów danych, jak najbardziej ilościowych, jest również pomijana (np. GUS, spis powszechny).</w:t>
      </w:r>
    </w:p>
    <w:p w:rsidR="00060ACE" w:rsidRDefault="001322D8">
      <w:pPr>
        <w:pStyle w:val="Bodytext10"/>
        <w:spacing w:after="120" w:line="264" w:lineRule="auto"/>
      </w:pPr>
      <w:r>
        <w:rPr>
          <w:rStyle w:val="Bodytext1"/>
        </w:rPr>
        <w:t>Pomijanie tych danych jest rażącym przejawem niezrozumienia podstaw matematycznych używanych narzędzi. Subiektywne, niemające uzasadnienia w statystyce poczucie „złej jakości" danych wśród osób pozbawionych stosownej wiedzy prowadzi z jednej strony do marnotrawstwa, z drugiej właśnie do błędnego przekonania, że istnieje wymóg zebrania „lepszych" danych.</w:t>
      </w:r>
      <w:r>
        <w:br w:type="page"/>
      </w:r>
    </w:p>
    <w:p w:rsidR="00060ACE" w:rsidRDefault="001322D8">
      <w:pPr>
        <w:pStyle w:val="Bodytext10"/>
      </w:pPr>
      <w:r>
        <w:rPr>
          <w:rStyle w:val="Bodytext1"/>
        </w:rPr>
        <w:lastRenderedPageBreak/>
        <w:t xml:space="preserve">Jednocześnie zbierane i analizowane są wielkie ilości danych w nadziei, że „coś się wyłowi" z magicznej kryształowej kuli. Podejście takie faktycznie stosowane jest w </w:t>
      </w:r>
      <w:r>
        <w:rPr>
          <w:rStyle w:val="Bodytext1"/>
          <w:i/>
          <w:iCs/>
        </w:rPr>
        <w:t xml:space="preserve">Data </w:t>
      </w:r>
      <w:proofErr w:type="spellStart"/>
      <w:r>
        <w:rPr>
          <w:rStyle w:val="Bodytext1"/>
          <w:i/>
          <w:iCs/>
        </w:rPr>
        <w:t>Mining</w:t>
      </w:r>
      <w:proofErr w:type="spellEnd"/>
      <w:r>
        <w:rPr>
          <w:rStyle w:val="Bodytext1"/>
          <w:i/>
          <w:iCs/>
        </w:rPr>
        <w:t>.</w:t>
      </w:r>
      <w:r>
        <w:rPr>
          <w:rStyle w:val="Bodytext1"/>
        </w:rPr>
        <w:t xml:space="preserve"> Trzeba jednak pamiętać, że</w:t>
      </w:r>
      <w:r w:rsidR="00CC72D9">
        <w:rPr>
          <w:rStyle w:val="Bodytext1"/>
        </w:rPr>
        <w:t> </w:t>
      </w:r>
      <w:r>
        <w:rPr>
          <w:rStyle w:val="Bodytext1"/>
        </w:rPr>
        <w:t xml:space="preserve">dobrej jakości </w:t>
      </w:r>
      <w:r>
        <w:rPr>
          <w:rStyle w:val="Bodytext1"/>
          <w:i/>
          <w:iCs/>
        </w:rPr>
        <w:t xml:space="preserve">Data </w:t>
      </w:r>
      <w:proofErr w:type="spellStart"/>
      <w:r>
        <w:rPr>
          <w:rStyle w:val="Bodytext1"/>
          <w:i/>
          <w:iCs/>
        </w:rPr>
        <w:t>Mining</w:t>
      </w:r>
      <w:proofErr w:type="spellEnd"/>
      <w:r>
        <w:rPr>
          <w:rStyle w:val="Bodytext1"/>
          <w:i/>
          <w:iCs/>
        </w:rPr>
        <w:t xml:space="preserve"> (Big Data)</w:t>
      </w:r>
      <w:r>
        <w:rPr>
          <w:rStyle w:val="Bodytext1"/>
        </w:rPr>
        <w:t xml:space="preserve"> zajmują się eksperci z doświadczeniem liczonym w dekadach. Tak w</w:t>
      </w:r>
      <w:r w:rsidR="00CC72D9">
        <w:rPr>
          <w:rStyle w:val="Bodytext1"/>
        </w:rPr>
        <w:t> </w:t>
      </w:r>
      <w:r>
        <w:rPr>
          <w:rStyle w:val="Bodytext1"/>
        </w:rPr>
        <w:t xml:space="preserve">statystyce, jak i w logice. Nie bez powodu: niedoświadczonej osobie lub przy zbyt prymitywnym podejściu bardzo łatwo jest „znaleźć” całkowicie błędne informacje. Jak łatwo, pokazuje </w:t>
      </w:r>
      <w:r>
        <w:rPr>
          <w:rStyle w:val="Bodytext1"/>
          <w:lang w:val="en-US" w:eastAsia="en-US" w:bidi="en-US"/>
        </w:rPr>
        <w:t xml:space="preserve">Tyler </w:t>
      </w:r>
      <w:proofErr w:type="spellStart"/>
      <w:r>
        <w:rPr>
          <w:rStyle w:val="Bodytext1"/>
          <w:lang w:val="en-US" w:eastAsia="en-US" w:bidi="en-US"/>
        </w:rPr>
        <w:t>Vigen</w:t>
      </w:r>
      <w:proofErr w:type="spellEnd"/>
      <w:r>
        <w:rPr>
          <w:rStyle w:val="Bodytext1"/>
          <w:lang w:val="en-US" w:eastAsia="en-US" w:bidi="en-US"/>
        </w:rPr>
        <w:t xml:space="preserve">, </w:t>
      </w:r>
      <w:r>
        <w:rPr>
          <w:rStyle w:val="Bodytext1"/>
        </w:rPr>
        <w:t>ciągle generując przykłady z zaledwie jednego zbioru danych.</w:t>
      </w:r>
      <w:r>
        <w:rPr>
          <w:rStyle w:val="Bodytext1"/>
          <w:vertAlign w:val="superscript"/>
        </w:rPr>
        <w:footnoteReference w:id="3"/>
      </w:r>
    </w:p>
    <w:p w:rsidR="00060ACE" w:rsidRDefault="001322D8">
      <w:pPr>
        <w:pStyle w:val="Bodytext10"/>
        <w:spacing w:line="262" w:lineRule="auto"/>
      </w:pPr>
      <w:r>
        <w:rPr>
          <w:rStyle w:val="Bodytext1"/>
          <w:b/>
          <w:bCs/>
        </w:rPr>
        <w:t>Ad. 1: Kontynuowanie rozpoczętego w latach 2010-tych procesu wycofywania się z istnienia obowiązku meldunkowego, i nie unicestwianie dorobku całego pokolenia w tym zakresie.</w:t>
      </w:r>
    </w:p>
    <w:p w:rsidR="00060ACE" w:rsidRDefault="001322D8">
      <w:pPr>
        <w:pStyle w:val="Bodytext10"/>
      </w:pPr>
      <w:r>
        <w:rPr>
          <w:rStyle w:val="Bodytext1"/>
        </w:rPr>
        <w:t>Zniesienie faktycznej karalności braku meldunku przy jednoczesnym zachowaniu przepisów o obowiązku meldunkowym, nie było niedopatrzeniem. Zachowanie obowiązku pozwala powoływać się na niego. W ten sposób urzędy, które nie zdążyły znieść zależności od danych meldunkowych, dostały czas na</w:t>
      </w:r>
      <w:r w:rsidR="00CC72D9">
        <w:rPr>
          <w:rStyle w:val="Bodytext1"/>
        </w:rPr>
        <w:t> </w:t>
      </w:r>
      <w:r>
        <w:rPr>
          <w:rStyle w:val="Bodytext1"/>
        </w:rPr>
        <w:t>dostosowanie swoich procedur.</w:t>
      </w:r>
    </w:p>
    <w:p w:rsidR="00060ACE" w:rsidRDefault="001322D8">
      <w:pPr>
        <w:pStyle w:val="Bodytext10"/>
        <w:spacing w:line="269" w:lineRule="auto"/>
      </w:pPr>
      <w:r>
        <w:rPr>
          <w:rStyle w:val="Bodytext1"/>
        </w:rPr>
        <w:t>Po okresie przejściowym sam obowiązek również miał zniknąć. Chociaż większość procedur została bez problemu zmieniona, niektóre urzędy zmarnowały dany im czas, nie podjęły prób wprowadzenia zmian, i</w:t>
      </w:r>
      <w:r w:rsidR="00CC72D9">
        <w:rPr>
          <w:rStyle w:val="Bodytext1"/>
        </w:rPr>
        <w:t> </w:t>
      </w:r>
      <w:r>
        <w:rPr>
          <w:rStyle w:val="Bodytext1"/>
        </w:rPr>
        <w:t>zostały w zacofanym modelu. Żeby dać im kolejną szansę, pod koniec lat 2010-tych czas ten został wydłużony. W roku 2025 okazuje się, że urzędy nie tylko nadal nie wykonały swojej pracy, ale domagają się powrotu do „średniowiecznych” metod celem uniknięcia zmian.</w:t>
      </w:r>
    </w:p>
    <w:p w:rsidR="00060ACE" w:rsidRDefault="001322D8">
      <w:pPr>
        <w:pStyle w:val="Bodytext10"/>
      </w:pPr>
      <w:r>
        <w:rPr>
          <w:rStyle w:val="Bodytext1"/>
        </w:rPr>
        <w:t>Obowiązek meldunkowy to rozwiązanie, które próbuje na siłę wtłoczyć obywatela w archaiczną, kompletnie nieadekwatną do obecnych czasów formę. Zamiast dostosowania procedur do współczesnej rzeczywistości, mamy przejaw wymuszania na Polakach dostosowania się do przedatowanych procedur.</w:t>
      </w:r>
    </w:p>
    <w:p w:rsidR="00060ACE" w:rsidRDefault="001322D8">
      <w:pPr>
        <w:pStyle w:val="Bodytext10"/>
        <w:spacing w:line="264" w:lineRule="auto"/>
      </w:pPr>
      <w:r>
        <w:rPr>
          <w:rStyle w:val="Bodytext1"/>
        </w:rPr>
        <w:t>Procedury te, jak pokazują przykłady z innych urzędów i z innych krajów, nie są potrzebne. Co było oczywiste 20 lat temu, pozostaje nadal aktualne: to urzędy mają dostosować się do zmieniającego się świata. Cele dążenia do zniesienia obowiązku meldunkowego nie tylko nie zniknęły, ale stają się jeszcze istotniejsze. Zatem absolutnie nie ma uzasadnienia, by trend ten odwracać.</w:t>
      </w:r>
    </w:p>
    <w:p w:rsidR="00060ACE" w:rsidRDefault="001322D8">
      <w:pPr>
        <w:pStyle w:val="Bodytext10"/>
      </w:pPr>
      <w:r>
        <w:rPr>
          <w:rStyle w:val="Bodytext1"/>
        </w:rPr>
        <w:t>Działanie takie byłoby zniewagą dla rozsądku. Ale przede wszystkim napluciem w twarz wszystkim tym urzędom, które podjęły wysiłek dostosowania się do rzeczywistości.</w:t>
      </w:r>
    </w:p>
    <w:p w:rsidR="00060ACE" w:rsidRDefault="001322D8">
      <w:pPr>
        <w:pStyle w:val="Bodytext10"/>
        <w:spacing w:line="269" w:lineRule="auto"/>
      </w:pPr>
      <w:r>
        <w:rPr>
          <w:rStyle w:val="Bodytext1"/>
          <w:b/>
          <w:bCs/>
        </w:rPr>
        <w:t>Ad. 2: Dążenie do nałożenia na urzędy obowiązku wykorzystywania danych, które zbierają lub do</w:t>
      </w:r>
      <w:r w:rsidR="00CC72D9">
        <w:rPr>
          <w:rStyle w:val="Bodytext1"/>
          <w:b/>
          <w:bCs/>
        </w:rPr>
        <w:t> </w:t>
      </w:r>
      <w:r>
        <w:rPr>
          <w:rStyle w:val="Bodytext1"/>
          <w:b/>
          <w:bCs/>
        </w:rPr>
        <w:t>których posiadają dostęp. Wdrożenie, w ramach istniejących przepisów, odpowiedzialności urzędów za marnotrawienie zbiorów danych.</w:t>
      </w:r>
    </w:p>
    <w:p w:rsidR="00060ACE" w:rsidRDefault="001322D8">
      <w:pPr>
        <w:pStyle w:val="Bodytext10"/>
      </w:pPr>
      <w:r>
        <w:rPr>
          <w:rStyle w:val="Bodytext1"/>
        </w:rPr>
        <w:t>Obecnie urzędy mogą zbierać, i zbierają, wielkie ilości danych. Mówimy i o danych o obywatelach, i</w:t>
      </w:r>
      <w:r w:rsidR="00CC72D9">
        <w:rPr>
          <w:rStyle w:val="Bodytext1"/>
        </w:rPr>
        <w:t> </w:t>
      </w:r>
      <w:r>
        <w:rPr>
          <w:rStyle w:val="Bodytext1"/>
        </w:rPr>
        <w:t>o</w:t>
      </w:r>
      <w:r w:rsidR="00CC72D9">
        <w:rPr>
          <w:rStyle w:val="Bodytext1"/>
        </w:rPr>
        <w:t> </w:t>
      </w:r>
      <w:r>
        <w:rPr>
          <w:rStyle w:val="Bodytext1"/>
        </w:rPr>
        <w:t>wszelkiej maści innych danych. Często rodzi to pytanie o prywatność mieszkańców lub formę obciążającą firmy i instytucje. Pomimo tego wartość wiedzy płynącej z tych danych może równoważyć te</w:t>
      </w:r>
      <w:r w:rsidR="00CC72D9">
        <w:rPr>
          <w:rStyle w:val="Bodytext1"/>
        </w:rPr>
        <w:t> </w:t>
      </w:r>
      <w:r>
        <w:rPr>
          <w:rStyle w:val="Bodytext1"/>
        </w:rPr>
        <w:t>niedogodności, stanowiąc właściwe uzasadnienie dla takich działań urzędów.</w:t>
      </w:r>
    </w:p>
    <w:p w:rsidR="00060ACE" w:rsidRDefault="001322D8">
      <w:pPr>
        <w:pStyle w:val="Bodytext10"/>
        <w:spacing w:line="264" w:lineRule="auto"/>
      </w:pPr>
      <w:r>
        <w:rPr>
          <w:rStyle w:val="Bodytext1"/>
        </w:rPr>
        <w:t>Uzasadnienie to pozostaje właściwe tylko i wyłącznie, jeżeli dane faktycznie zostaną użyte. Nie tylko użyte, ale także wykorzystanie ich będzie miało staranny charakter i będzie zgodne z celami ich zebrania. W</w:t>
      </w:r>
      <w:r w:rsidR="00CC72D9">
        <w:rPr>
          <w:rStyle w:val="Bodytext1"/>
        </w:rPr>
        <w:t> </w:t>
      </w:r>
      <w:r>
        <w:rPr>
          <w:rStyle w:val="Bodytext1"/>
        </w:rPr>
        <w:t>przeciwnym przypadku naruszenie dóbr obywateli i obciążenie instytucji jest całkowicie nieuzasadnione. Ponieważ zbieranie danych zawsze wiąże się z kosztami, dochodzi także do marnotrawienia środków publicznych. Tak bezpośrednio w urzędzie, jak i w instytucjach tworzących dane (np. Policja).</w:t>
      </w:r>
    </w:p>
    <w:p w:rsidR="00060ACE" w:rsidRDefault="001322D8">
      <w:pPr>
        <w:pStyle w:val="Bodytext10"/>
        <w:spacing w:line="264" w:lineRule="auto"/>
      </w:pPr>
      <w:r>
        <w:rPr>
          <w:rStyle w:val="Bodytext1"/>
        </w:rPr>
        <w:t>Obecne istniejące przepisy, dotyczące prywatności oraz wykorzystania środków publicznych, pozwalają wyciągać odpowiedzialność od urzędów za marnowanie danych lub ich nieuzasadnione zbieranie. Nie może być tak, że dane są zbierane „bo można”, po czym nikt przez lata nie dotknie ich palcem, by wreszcie usunąć, stracić nad nimi kontrolę, lub przekazać do archiwum.</w:t>
      </w:r>
      <w:r>
        <w:br w:type="page"/>
      </w:r>
    </w:p>
    <w:p w:rsidR="00060ACE" w:rsidRDefault="001322D8">
      <w:pPr>
        <w:pStyle w:val="Bodytext10"/>
      </w:pPr>
      <w:r>
        <w:rPr>
          <w:rStyle w:val="Bodytext1"/>
        </w:rPr>
        <w:lastRenderedPageBreak/>
        <w:t xml:space="preserve">Nadmiarowe zbieranie danych często jest też objawem nieprawidłowego użycia statystyki. Przykładowo może wskazywać na pomylenie benchmarku z celami (obserwowane w Policji), w szczególności podlegać pod prawo </w:t>
      </w:r>
      <w:proofErr w:type="spellStart"/>
      <w:r>
        <w:rPr>
          <w:rStyle w:val="Bodytext1"/>
        </w:rPr>
        <w:t>Goodharta</w:t>
      </w:r>
      <w:proofErr w:type="spellEnd"/>
      <w:r>
        <w:rPr>
          <w:rStyle w:val="Bodytext1"/>
        </w:rPr>
        <w:t>.</w:t>
      </w:r>
    </w:p>
    <w:p w:rsidR="00060ACE" w:rsidRDefault="001322D8">
      <w:pPr>
        <w:pStyle w:val="Bodytext10"/>
      </w:pPr>
      <w:r>
        <w:rPr>
          <w:rStyle w:val="Bodytext1"/>
          <w:b/>
          <w:bCs/>
        </w:rPr>
        <w:t>Ad. 3: Zaproponowanie ustawy, która zapewniłaby przejrzystość korzystania przez urzędy zbiorów danych: w zakresie użytej metodologii, podstaw naukowych, narzędzi i wyciąganych wniosków.</w:t>
      </w:r>
    </w:p>
    <w:p w:rsidR="00060ACE" w:rsidRDefault="001322D8">
      <w:pPr>
        <w:pStyle w:val="Bodytext10"/>
      </w:pPr>
      <w:r>
        <w:rPr>
          <w:rStyle w:val="Bodytext1"/>
        </w:rPr>
        <w:t>W Polsce zbiory danych i badania przeprowadzane na nich przez urzędy pozostają poza kontrolą tak społeczeństwa, jak i organów władzy. Proces ten pozostaje całkowicie w cieniu. Nie jest prowadzona żadna weryfikacja, czy metodologia zbierania lub analizowania danych jest prawidłowa. Nikt nie kontroluje, czy mechanizmy prowadzenia badań są zgodne z wiedzą matematyczną i czy stawiane pytania mają podstawy naukowe. Ustalenie, kto prowadził badania i czy posiadał właściwe kwalifikacje, jest na granicy niemożliwości, wyciągane wnioski są w najlepszym przypadku ogólnikowo podsumowane między linijkami ogłoszeń o działaniach urzędu, a raporty z badań w ogóle nie są publikowane. Sytuacja taka jest niedopuszczalna.</w:t>
      </w:r>
    </w:p>
    <w:p w:rsidR="00060ACE" w:rsidRDefault="001322D8">
      <w:pPr>
        <w:pStyle w:val="Bodytext10"/>
      </w:pPr>
      <w:r>
        <w:rPr>
          <w:rStyle w:val="Bodytext1"/>
        </w:rPr>
        <w:t>wyniki badań, które prowadzone są z publicznych pieniędzy i na podstawie danych o obywatelach, powinny być dostępne bez ograniczeń dla całego społeczeństwa. Jeżeli urząd przeprowadza badania, to powinien opublikować kompletny raport, zgodny z przyjętymi w środowisku naukowym normami. Niezależnie od wyniku, a więc także wyniki negatywne, które nie znalazły żadnych interesujących faktów. Jest to konieczne dla uniknięcia problemu selektywnej publikacji.</w:t>
      </w:r>
    </w:p>
    <w:p w:rsidR="00060ACE" w:rsidRDefault="001322D8">
      <w:pPr>
        <w:pStyle w:val="Bodytext10"/>
      </w:pPr>
      <w:r>
        <w:rPr>
          <w:rStyle w:val="Bodytext1"/>
        </w:rPr>
        <w:t>Jest to uzasadnione z punktu widzenia zapłacenia przez podatników za przeprowadzenie tych badań. Jest również poparte względami etycznymi: skoro dane nas wszystkich są używane, to wszyscy powinniśmy mieć dostęp do efektów.</w:t>
      </w:r>
    </w:p>
    <w:p w:rsidR="00060ACE" w:rsidRDefault="001322D8">
      <w:pPr>
        <w:pStyle w:val="Bodytext10"/>
        <w:spacing w:line="264" w:lineRule="auto"/>
      </w:pPr>
      <w:r>
        <w:rPr>
          <w:rStyle w:val="Bodytext1"/>
        </w:rPr>
        <w:t>Publikacja pozwala także na weryfikację przez stronę społeczną i państwową pracy urzędów, zasadności podejmowanych przez nie decyzji, i prawidłowości wyciąganych w badaniach wniosków. Jeżeli publikacja jest dobrej jakości, to dodatkowo stanowi wartościowy wkład w Polską naukę.</w:t>
      </w:r>
    </w:p>
    <w:p w:rsidR="00060ACE" w:rsidRDefault="001322D8">
      <w:pPr>
        <w:pStyle w:val="Bodytext10"/>
        <w:spacing w:line="240" w:lineRule="auto"/>
      </w:pPr>
      <w:r>
        <w:rPr>
          <w:rStyle w:val="Bodytext1"/>
          <w:b/>
          <w:bCs/>
        </w:rPr>
        <w:t>Negatywne skutki obowiązku meldunkowego</w:t>
      </w:r>
    </w:p>
    <w:p w:rsidR="00060ACE" w:rsidRDefault="001322D8">
      <w:pPr>
        <w:pStyle w:val="Bodytext10"/>
      </w:pPr>
      <w:r>
        <w:rPr>
          <w:rStyle w:val="Bodytext1"/>
        </w:rPr>
        <w:t>Niezależnie od uzasadnienia powyżej, obowiązek meldunkowy stanowi problem dla wielu obywateli. Z</w:t>
      </w:r>
      <w:r w:rsidR="00322485">
        <w:rPr>
          <w:rStyle w:val="Bodytext1"/>
        </w:rPr>
        <w:t> </w:t>
      </w:r>
      <w:r>
        <w:rPr>
          <w:rStyle w:val="Bodytext1"/>
        </w:rPr>
        <w:t>doświadczenia poprzedzającego zniesienie karalności braku meldunku wiemy, że obowiązek ten nie pozostaje w oddzieleniu od funkcjonowania państwa i społeczeństwa.</w:t>
      </w:r>
    </w:p>
    <w:p w:rsidR="00060ACE" w:rsidRDefault="001322D8">
      <w:pPr>
        <w:pStyle w:val="Bodytext10"/>
      </w:pPr>
      <w:r>
        <w:rPr>
          <w:rStyle w:val="Bodytext1"/>
        </w:rPr>
        <w:t>Sam fakt istnienia przypisania adresu do osoby prowadził do podejmowania przez instytucje państwowe i</w:t>
      </w:r>
      <w:r w:rsidR="00322485">
        <w:rPr>
          <w:rStyle w:val="Bodytext1"/>
        </w:rPr>
        <w:t> </w:t>
      </w:r>
      <w:r>
        <w:rPr>
          <w:rStyle w:val="Bodytext1"/>
        </w:rPr>
        <w:t>prywatne decyzji w sposób nie uwzględniający innej możliwości. Przykładowo nie tak dawno instytucje (w</w:t>
      </w:r>
      <w:r w:rsidR="00322485">
        <w:rPr>
          <w:rStyle w:val="Bodytext1"/>
        </w:rPr>
        <w:t> </w:t>
      </w:r>
      <w:r>
        <w:rPr>
          <w:rStyle w:val="Bodytext1"/>
        </w:rPr>
        <w:t>tym np. policja) odmawiały przyjęcia adresu korespondencyjnego innego niż adres meldunkowy. W tej chwili można podać np. adres rodziny, i nie martwić się, że korespondencja będzie przez następne lata wysyłana na adres, z którego ktoś się wyprowadził.</w:t>
      </w:r>
    </w:p>
    <w:p w:rsidR="00060ACE" w:rsidRDefault="001322D8">
      <w:pPr>
        <w:pStyle w:val="Bodytext10"/>
        <w:spacing w:line="264" w:lineRule="auto"/>
      </w:pPr>
      <w:r>
        <w:rPr>
          <w:rStyle w:val="Bodytext1"/>
        </w:rPr>
        <w:t>Analogicznie, brak całkowitej kontroli lub wiedzy instytucji państwowych o obywatelu, konieczny jest dla zdrowego funkcjonowania społeczeństwa. Pozwala dostosować istniejące rozwiązania do rzeczywistych potrzeb: coś, czego centralnie tworzone regulacje nigdy nie zrobią.</w:t>
      </w:r>
    </w:p>
    <w:p w:rsidR="00060ACE" w:rsidRDefault="001322D8">
      <w:pPr>
        <w:pStyle w:val="Bodytext10"/>
        <w:spacing w:after="500" w:line="264" w:lineRule="auto"/>
      </w:pPr>
      <w:r>
        <w:rPr>
          <w:noProof/>
          <w:lang w:bidi="ar-SA"/>
        </w:rPr>
        <mc:AlternateContent>
          <mc:Choice Requires="wps">
            <w:drawing>
              <wp:anchor distT="0" distB="0" distL="0" distR="0" simplePos="0" relativeHeight="251658240" behindDoc="0" locked="0" layoutInCell="1" allowOverlap="1">
                <wp:simplePos x="0" y="0"/>
                <wp:positionH relativeFrom="page">
                  <wp:posOffset>5506720</wp:posOffset>
                </wp:positionH>
                <wp:positionV relativeFrom="paragraph">
                  <wp:posOffset>800100</wp:posOffset>
                </wp:positionV>
                <wp:extent cx="1295400" cy="173990"/>
                <wp:effectExtent l="0" t="0" r="0" b="0"/>
                <wp:wrapNone/>
                <wp:docPr id="7" name="Shape 7"/>
                <wp:cNvGraphicFramePr/>
                <a:graphic xmlns:a="http://schemas.openxmlformats.org/drawingml/2006/main">
                  <a:graphicData uri="http://schemas.microsoft.com/office/word/2010/wordprocessingShape">
                    <wps:wsp>
                      <wps:cNvSpPr txBox="1"/>
                      <wps:spPr>
                        <a:xfrm>
                          <a:off x="0" y="0"/>
                          <a:ext cx="1295400" cy="173990"/>
                        </a:xfrm>
                        <a:prstGeom prst="rect">
                          <a:avLst/>
                        </a:prstGeom>
                        <a:noFill/>
                      </wps:spPr>
                      <wps:txbx>
                        <w:txbxContent>
                          <w:p w:rsidR="00060ACE" w:rsidRDefault="00060ACE">
                            <w:pPr>
                              <w:pStyle w:val="Picturecaption10"/>
                              <w:spacing w:line="240" w:lineRule="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433.6pt;margin-top:63pt;width:102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" filled="f" stroked="f">
                <v:textbox inset="0,0,0,0">
                  <w:txbxContent>
                    <w:p w:rsidR="00060ACE" w:rsidRDefault="00060ACE">
                      <w:pPr>
                        <w:pStyle w:val="Picturecaption10"/>
                        <w:spacing w:line="240" w:lineRule="auto"/>
                      </w:pPr>
                    </w:p>
                  </w:txbxContent>
                </v:textbox>
                <w10:wrap anchorx="page"/>
              </v:shape>
            </w:pict>
          </mc:Fallback>
        </mc:AlternateContent>
      </w:r>
      <w:r>
        <w:rPr>
          <w:rStyle w:val="Bodytext1"/>
        </w:rPr>
        <w:t>Ja sam, żeby nie szukać daleko, jako osoba niepełnosprawna muszę polegać na odbieraniu nieoczekiwanej poczty przez matkę, która mieszka w Pruszkowie. Tak samo jak lekarz pierwszego kontaktu jest mi potrzebny wyłącznie do wypisania recepty (matka może ją odebrać wracając z pracy), a faktyczną opiekę medyczną sprawuje nade mną zespół specjalistów. Nadmierna próba uregulowania takich aspektów to</w:t>
      </w:r>
      <w:r w:rsidR="00322485">
        <w:rPr>
          <w:rStyle w:val="Bodytext1"/>
        </w:rPr>
        <w:t> </w:t>
      </w:r>
      <w:r>
        <w:rPr>
          <w:rStyle w:val="Bodytext1"/>
        </w:rPr>
        <w:t>bezsensowne utrudnianie życia.</w:t>
      </w:r>
    </w:p>
    <w:p w:rsidR="00060ACE" w:rsidRDefault="001322D8">
      <w:pPr>
        <w:pStyle w:val="Bodytext10"/>
        <w:spacing w:after="0" w:line="240" w:lineRule="auto"/>
      </w:pPr>
      <w:r>
        <w:rPr>
          <w:rStyle w:val="Bodytext1"/>
        </w:rPr>
        <w:t>Załączniki:</w:t>
      </w:r>
    </w:p>
    <w:p w:rsidR="00060ACE" w:rsidRDefault="001322D8" w:rsidP="00700981">
      <w:pPr>
        <w:pStyle w:val="Bodytext10"/>
        <w:spacing w:line="240" w:lineRule="auto"/>
        <w:ind w:firstLine="380"/>
      </w:pPr>
      <w:r>
        <w:rPr>
          <w:rStyle w:val="Bodytext1"/>
        </w:rPr>
        <w:t xml:space="preserve">1. Niektóre przykłady zebrane przez </w:t>
      </w:r>
      <w:r w:rsidR="00322485">
        <w:rPr>
          <w:rStyle w:val="Bodytext1"/>
        </w:rPr>
        <w:t xml:space="preserve">                     </w:t>
      </w:r>
      <w:bookmarkStart w:id="0" w:name="_GoBack"/>
      <w:bookmarkEnd w:id="0"/>
      <w:r>
        <w:rPr>
          <w:rStyle w:val="Bodytext1"/>
          <w:lang w:val="en-US" w:eastAsia="en-US" w:bidi="en-US"/>
        </w:rPr>
        <w:t>.</w:t>
      </w:r>
    </w:p>
    <w:sectPr w:rsidR="00060ACE">
      <w:footerReference w:type="default" r:id="rId7"/>
      <w:pgSz w:w="11900" w:h="16840"/>
      <w:pgMar w:top="1112" w:right="1188" w:bottom="1112" w:left="1097" w:header="684" w:footer="684"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20A" w:rsidRDefault="006A720A">
      <w:r>
        <w:separator/>
      </w:r>
    </w:p>
  </w:endnote>
  <w:endnote w:type="continuationSeparator" w:id="0">
    <w:p w:rsidR="006A720A" w:rsidRDefault="006A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CE" w:rsidRDefault="00060A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20A" w:rsidRDefault="006A720A">
      <w:r>
        <w:separator/>
      </w:r>
    </w:p>
  </w:footnote>
  <w:footnote w:type="continuationSeparator" w:id="0">
    <w:p w:rsidR="006A720A" w:rsidRDefault="006A720A">
      <w:r>
        <w:continuationSeparator/>
      </w:r>
    </w:p>
  </w:footnote>
  <w:footnote w:id="1">
    <w:p w:rsidR="00060ACE" w:rsidRDefault="001322D8">
      <w:pPr>
        <w:pStyle w:val="Footnote10"/>
        <w:ind w:left="0" w:firstLine="0"/>
      </w:pPr>
      <w:r>
        <w:rPr>
          <w:rStyle w:val="Footnote1"/>
        </w:rPr>
        <w:footnoteRef/>
      </w:r>
      <w:r>
        <w:rPr>
          <w:rStyle w:val="Footnote1"/>
        </w:rPr>
        <w:t xml:space="preserve"> W rozumieniu Ustawy z dn. 11 lipca 2014 r. o petycjach, na podst. Art. 2 ust. 2 </w:t>
      </w:r>
      <w:proofErr w:type="spellStart"/>
      <w:r>
        <w:rPr>
          <w:rStyle w:val="Footnote1"/>
          <w:lang w:val="en-US" w:eastAsia="en-US" w:bidi="en-US"/>
        </w:rPr>
        <w:t>pkt</w:t>
      </w:r>
      <w:proofErr w:type="spellEnd"/>
      <w:r>
        <w:rPr>
          <w:rStyle w:val="Footnote1"/>
          <w:lang w:val="en-US" w:eastAsia="en-US" w:bidi="en-US"/>
        </w:rPr>
        <w:t xml:space="preserve"> </w:t>
      </w:r>
      <w:r>
        <w:rPr>
          <w:rStyle w:val="Footnote1"/>
        </w:rPr>
        <w:t>1.</w:t>
      </w:r>
    </w:p>
  </w:footnote>
  <w:footnote w:id="2">
    <w:p w:rsidR="00060ACE" w:rsidRDefault="001322D8">
      <w:pPr>
        <w:pStyle w:val="Footnote10"/>
      </w:pPr>
      <w:r>
        <w:rPr>
          <w:rStyle w:val="Footnote1"/>
        </w:rPr>
        <w:footnoteRef/>
      </w:r>
      <w:r>
        <w:rPr>
          <w:rStyle w:val="Footnote1"/>
        </w:rPr>
        <w:t xml:space="preserve"> Amerykański sekretarz obrony w latach 60-tych. W statystyce i filozofii znany z naiwnego rozumienia metod statystycznych, połączonego z ignorowaniem raportów niedających kompletnych danych ilościowych. Do</w:t>
      </w:r>
      <w:r w:rsidR="00700981">
        <w:rPr>
          <w:rStyle w:val="Footnote1"/>
        </w:rPr>
        <w:t> </w:t>
      </w:r>
      <w:r>
        <w:rPr>
          <w:rStyle w:val="Footnote1"/>
        </w:rPr>
        <w:t xml:space="preserve">skutków należy porażka w Zatoce Świń, wysłanie na wojnę 300 tysięcy osób niepełnosprawnych nie nadających się do tej roli („Project 100,000"), i drastyczne niedoszacowanie siły </w:t>
      </w:r>
      <w:proofErr w:type="spellStart"/>
      <w:r>
        <w:rPr>
          <w:rStyle w:val="Footnote1"/>
          <w:lang w:val="en-US" w:eastAsia="en-US" w:bidi="en-US"/>
        </w:rPr>
        <w:t>Vietcongu</w:t>
      </w:r>
      <w:proofErr w:type="spellEnd"/>
      <w:r>
        <w:rPr>
          <w:rStyle w:val="Footnote1"/>
          <w:lang w:val="en-US" w:eastAsia="en-US" w:bidi="en-US"/>
        </w:rPr>
        <w:t xml:space="preserve">, </w:t>
      </w:r>
      <w:r>
        <w:rPr>
          <w:rStyle w:val="Footnote1"/>
        </w:rPr>
        <w:t>będące wśród przyczyn przegrania wojny w Wietnamie.</w:t>
      </w:r>
    </w:p>
  </w:footnote>
  <w:footnote w:id="3">
    <w:p w:rsidR="00700981" w:rsidRDefault="001322D8">
      <w:pPr>
        <w:pStyle w:val="Footnote10"/>
        <w:spacing w:line="240" w:lineRule="auto"/>
        <w:ind w:left="380" w:hanging="380"/>
        <w:rPr>
          <w:rStyle w:val="Footnote1"/>
          <w:lang w:val="en-US" w:eastAsia="en-US" w:bidi="en-US"/>
        </w:rPr>
      </w:pPr>
      <w:r>
        <w:rPr>
          <w:rStyle w:val="Footnote1"/>
        </w:rPr>
        <w:footnoteRef/>
      </w:r>
      <w:r>
        <w:rPr>
          <w:rStyle w:val="Footnote1"/>
        </w:rPr>
        <w:t xml:space="preserve"> </w:t>
      </w:r>
      <w:r>
        <w:rPr>
          <w:rStyle w:val="Footnote1"/>
          <w:lang w:val="en-US" w:eastAsia="en-US" w:bidi="en-US"/>
        </w:rPr>
        <w:t xml:space="preserve">Spurious Correlations: </w:t>
      </w:r>
      <w:hyperlink r:id="rId1" w:history="1">
        <w:r>
          <w:rPr>
            <w:rStyle w:val="Footnote1"/>
            <w:lang w:val="en-US" w:eastAsia="en-US" w:bidi="en-US"/>
          </w:rPr>
          <w:t>https://www.tylervigen.com/spurious-correlations</w:t>
        </w:r>
      </w:hyperlink>
    </w:p>
    <w:p w:rsidR="00060ACE" w:rsidRDefault="00700981" w:rsidP="00700981">
      <w:pPr>
        <w:pStyle w:val="Footnote10"/>
        <w:spacing w:line="240" w:lineRule="auto"/>
      </w:pPr>
      <w:r>
        <w:rPr>
          <w:rStyle w:val="Footnote1"/>
          <w:lang w:val="en-US" w:eastAsia="en-US" w:bidi="en-US"/>
        </w:rPr>
        <w:t xml:space="preserve">   </w:t>
      </w:r>
      <w:r w:rsidR="001322D8">
        <w:rPr>
          <w:rStyle w:val="Footnote1"/>
        </w:rPr>
        <w:t>W załączniku kilka przykładów.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124CD"/>
    <w:multiLevelType w:val="multilevel"/>
    <w:tmpl w:val="05C0E9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CE"/>
    <w:rsid w:val="00060ACE"/>
    <w:rsid w:val="001322D8"/>
    <w:rsid w:val="00322485"/>
    <w:rsid w:val="006A720A"/>
    <w:rsid w:val="00700981"/>
    <w:rsid w:val="00CC72D9"/>
    <w:rsid w:val="00FE4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A6E6F"/>
  <w15:docId w15:val="{90F25FF4-93F8-4E97-A98C-5C212B4A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1">
    <w:name w:val="Footnote|1_"/>
    <w:basedOn w:val="Domylnaczcionkaakapitu"/>
    <w:link w:val="Footnote10"/>
    <w:rPr>
      <w:rFonts w:ascii="Arial" w:eastAsia="Arial" w:hAnsi="Arial" w:cs="Arial"/>
      <w:b w:val="0"/>
      <w:bCs w:val="0"/>
      <w:i w:val="0"/>
      <w:iCs w:val="0"/>
      <w:smallCaps w:val="0"/>
      <w:strike w:val="0"/>
      <w:sz w:val="19"/>
      <w:szCs w:val="19"/>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Domylnaczcionkaakapitu"/>
    <w:link w:val="Picturecaption10"/>
    <w:rPr>
      <w:rFonts w:ascii="Arial" w:eastAsia="Arial" w:hAnsi="Arial" w:cs="Arial"/>
      <w:b/>
      <w:bCs/>
      <w:i w:val="0"/>
      <w:iCs w:val="0"/>
      <w:smallCaps w:val="0"/>
      <w:strike w:val="0"/>
      <w:sz w:val="20"/>
      <w:szCs w:val="2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paragraph" w:customStyle="1" w:styleId="Footnote10">
    <w:name w:val="Footnote|1"/>
    <w:basedOn w:val="Normalny"/>
    <w:link w:val="Footnote1"/>
    <w:pPr>
      <w:spacing w:line="254" w:lineRule="auto"/>
      <w:ind w:left="340" w:hanging="340"/>
    </w:pPr>
    <w:rPr>
      <w:rFonts w:ascii="Arial" w:eastAsia="Arial" w:hAnsi="Arial" w:cs="Arial"/>
      <w:sz w:val="19"/>
      <w:szCs w:val="19"/>
    </w:rPr>
  </w:style>
  <w:style w:type="paragraph" w:customStyle="1" w:styleId="Bodytext10">
    <w:name w:val="Body text|1"/>
    <w:basedOn w:val="Normalny"/>
    <w:link w:val="Bodytext1"/>
    <w:pPr>
      <w:spacing w:after="140" w:line="266" w:lineRule="auto"/>
    </w:pPr>
    <w:rPr>
      <w:rFonts w:ascii="Arial" w:eastAsia="Arial" w:hAnsi="Arial" w:cs="Arial"/>
      <w:sz w:val="20"/>
      <w:szCs w:val="20"/>
    </w:rPr>
  </w:style>
  <w:style w:type="paragraph" w:customStyle="1" w:styleId="Picturecaption10">
    <w:name w:val="Picture caption|1"/>
    <w:basedOn w:val="Normalny"/>
    <w:link w:val="Picturecaption1"/>
    <w:pPr>
      <w:spacing w:line="254" w:lineRule="auto"/>
    </w:pPr>
    <w:rPr>
      <w:rFonts w:ascii="Arial" w:eastAsia="Arial" w:hAnsi="Arial" w:cs="Arial"/>
      <w:b/>
      <w:bCs/>
      <w:sz w:val="20"/>
      <w:szCs w:val="20"/>
    </w:rPr>
  </w:style>
  <w:style w:type="paragraph" w:customStyle="1" w:styleId="Headerorfooter20">
    <w:name w:val="Header or footer|2"/>
    <w:basedOn w:val="Normalny"/>
    <w:link w:val="Headerorfooter2"/>
    <w:rPr>
      <w:sz w:val="20"/>
      <w:szCs w:val="20"/>
    </w:rPr>
  </w:style>
  <w:style w:type="paragraph" w:styleId="Nagwek">
    <w:name w:val="header"/>
    <w:basedOn w:val="Normalny"/>
    <w:link w:val="NagwekZnak"/>
    <w:uiPriority w:val="99"/>
    <w:unhideWhenUsed/>
    <w:rsid w:val="00700981"/>
    <w:pPr>
      <w:tabs>
        <w:tab w:val="center" w:pos="4536"/>
        <w:tab w:val="right" w:pos="9072"/>
      </w:tabs>
    </w:pPr>
  </w:style>
  <w:style w:type="character" w:customStyle="1" w:styleId="NagwekZnak">
    <w:name w:val="Nagłówek Znak"/>
    <w:basedOn w:val="Domylnaczcionkaakapitu"/>
    <w:link w:val="Nagwek"/>
    <w:uiPriority w:val="99"/>
    <w:rsid w:val="00700981"/>
    <w:rPr>
      <w:color w:val="000000"/>
    </w:rPr>
  </w:style>
  <w:style w:type="paragraph" w:styleId="Stopka">
    <w:name w:val="footer"/>
    <w:basedOn w:val="Normalny"/>
    <w:link w:val="StopkaZnak"/>
    <w:uiPriority w:val="99"/>
    <w:unhideWhenUsed/>
    <w:rsid w:val="00700981"/>
    <w:pPr>
      <w:tabs>
        <w:tab w:val="center" w:pos="4536"/>
        <w:tab w:val="right" w:pos="9072"/>
      </w:tabs>
    </w:pPr>
  </w:style>
  <w:style w:type="character" w:customStyle="1" w:styleId="StopkaZnak">
    <w:name w:val="Stopka Znak"/>
    <w:basedOn w:val="Domylnaczcionkaakapitu"/>
    <w:link w:val="Stopka"/>
    <w:uiPriority w:val="99"/>
    <w:rsid w:val="007009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ylervigen.com/spurious-correlatio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1383</Words>
  <Characters>8298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Tymczyszyn Paweł</cp:lastModifiedBy>
  <cp:revision>3</cp:revision>
  <dcterms:created xsi:type="dcterms:W3CDTF">2025-05-16T10:04:00Z</dcterms:created>
  <dcterms:modified xsi:type="dcterms:W3CDTF">2025-05-16T12:14:00Z</dcterms:modified>
</cp:coreProperties>
</file>