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88786" w14:textId="6360F3FA" w:rsidR="00EB4EBF" w:rsidRDefault="001141D2" w:rsidP="001141D2">
      <w:pPr>
        <w:pStyle w:val="Podpisobrazu0"/>
        <w:spacing w:after="0"/>
        <w:ind w:left="6372" w:right="0" w:firstLine="708"/>
      </w:pPr>
      <w:r>
        <w:rPr>
          <w:rStyle w:val="Podpisobrazu"/>
          <w:b/>
          <w:bCs/>
        </w:rPr>
        <w:t xml:space="preserve">             </w:t>
      </w:r>
      <w:r w:rsidR="00816F2F">
        <w:rPr>
          <w:rStyle w:val="Podpisobrazu"/>
          <w:b/>
          <w:bCs/>
        </w:rPr>
        <w:t>RADA EUROPY</w:t>
      </w:r>
    </w:p>
    <w:p w14:paraId="1AA3F8C6" w14:textId="77777777" w:rsidR="00EB4EBF" w:rsidRDefault="00816F2F">
      <w:pPr>
        <w:jc w:val="right"/>
        <w:rPr>
          <w:sz w:val="2"/>
          <w:szCs w:val="2"/>
        </w:rPr>
      </w:pPr>
      <w:r>
        <w:rPr>
          <w:noProof/>
        </w:rPr>
        <w:drawing>
          <wp:inline distT="0" distB="0" distL="0" distR="0" wp14:anchorId="65DFBA85" wp14:editId="53036E29">
            <wp:extent cx="1158240" cy="64008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1158240" cy="640080"/>
                    </a:xfrm>
                    <a:prstGeom prst="rect">
                      <a:avLst/>
                    </a:prstGeom>
                  </pic:spPr>
                </pic:pic>
              </a:graphicData>
            </a:graphic>
          </wp:inline>
        </w:drawing>
      </w:r>
    </w:p>
    <w:p w14:paraId="1F8B7649" w14:textId="056B962E" w:rsidR="00EB4EBF" w:rsidRPr="003A17A7" w:rsidRDefault="00D753E7">
      <w:pPr>
        <w:pStyle w:val="Podpisobrazu0"/>
        <w:spacing w:after="100"/>
        <w:ind w:right="0"/>
        <w:jc w:val="right"/>
        <w:rPr>
          <w:lang w:val="fr-FR"/>
        </w:rPr>
      </w:pPr>
      <w:r w:rsidRPr="003A17A7">
        <w:rPr>
          <w:rStyle w:val="Podpisobrazu"/>
          <w:b/>
          <w:bCs/>
          <w:lang w:val="fr-FR"/>
        </w:rPr>
        <w:t>CONSE</w:t>
      </w:r>
      <w:r>
        <w:rPr>
          <w:rStyle w:val="Podpisobrazu"/>
          <w:b/>
          <w:bCs/>
          <w:lang w:val="fr-FR"/>
        </w:rPr>
        <w:t>I</w:t>
      </w:r>
      <w:r w:rsidRPr="003A17A7">
        <w:rPr>
          <w:rStyle w:val="Podpisobrazu"/>
          <w:b/>
          <w:bCs/>
          <w:lang w:val="fr-FR"/>
        </w:rPr>
        <w:t xml:space="preserve">L </w:t>
      </w:r>
      <w:r w:rsidR="00816F2F" w:rsidRPr="003A17A7">
        <w:rPr>
          <w:rStyle w:val="Podpisobrazu"/>
          <w:b/>
          <w:bCs/>
          <w:lang w:val="fr-FR"/>
        </w:rPr>
        <w:t>DE L'EUROPE</w:t>
      </w:r>
    </w:p>
    <w:p w14:paraId="44458465" w14:textId="0B6D0927" w:rsidR="00EB4EBF" w:rsidRPr="00247705" w:rsidRDefault="00D753E7">
      <w:pPr>
        <w:pStyle w:val="Podpisobrazu0"/>
        <w:spacing w:after="0"/>
        <w:ind w:right="0"/>
        <w:rPr>
          <w:sz w:val="19"/>
          <w:szCs w:val="19"/>
        </w:rPr>
      </w:pPr>
      <w:r w:rsidRPr="00247705">
        <w:rPr>
          <w:rStyle w:val="Podpisobrazu"/>
          <w:b/>
          <w:bCs/>
          <w:i/>
          <w:iCs/>
          <w:sz w:val="19"/>
          <w:szCs w:val="19"/>
        </w:rPr>
        <w:t>Europejska Seria Traktatów</w:t>
      </w:r>
      <w:r w:rsidR="00816F2F" w:rsidRPr="00247705">
        <w:rPr>
          <w:rStyle w:val="Podpisobrazu"/>
          <w:b/>
          <w:bCs/>
          <w:i/>
          <w:iCs/>
          <w:sz w:val="19"/>
          <w:szCs w:val="19"/>
        </w:rPr>
        <w:t xml:space="preserve"> </w:t>
      </w:r>
      <w:r w:rsidR="00816F2F" w:rsidRPr="00247705">
        <w:rPr>
          <w:rStyle w:val="Podpisobrazu"/>
          <w:b/>
          <w:bCs/>
          <w:i/>
          <w:iCs/>
          <w:sz w:val="18"/>
          <w:szCs w:val="18"/>
        </w:rPr>
        <w:t xml:space="preserve">- </w:t>
      </w:r>
      <w:r w:rsidR="00816F2F" w:rsidRPr="00247705">
        <w:rPr>
          <w:rStyle w:val="Podpisobrazu"/>
          <w:b/>
          <w:bCs/>
          <w:i/>
          <w:iCs/>
          <w:sz w:val="19"/>
          <w:szCs w:val="19"/>
        </w:rPr>
        <w:t>Nr 98</w:t>
      </w:r>
    </w:p>
    <w:p w14:paraId="39F4E12C" w14:textId="77777777" w:rsidR="00EB4EBF" w:rsidRPr="003A17A7" w:rsidRDefault="00EB4EBF">
      <w:pPr>
        <w:spacing w:after="199" w:line="1" w:lineRule="exact"/>
        <w:rPr>
          <w:lang w:val="fr-FR"/>
        </w:rPr>
      </w:pPr>
    </w:p>
    <w:p w14:paraId="026F1D98" w14:textId="053F030D" w:rsidR="00EB4EBF" w:rsidRPr="00AD5D05" w:rsidRDefault="00A309A0">
      <w:pPr>
        <w:pStyle w:val="Nagwek10"/>
        <w:keepNext/>
        <w:keepLines/>
        <w:spacing w:after="0"/>
        <w:jc w:val="both"/>
      </w:pPr>
      <w:bookmarkStart w:id="0" w:name="bookmark0"/>
      <w:r>
        <w:rPr>
          <w:rStyle w:val="Nagwek1"/>
          <w:b/>
          <w:bCs/>
        </w:rPr>
        <w:t>Raport</w:t>
      </w:r>
      <w:r w:rsidR="00816F2F" w:rsidRPr="00AD5D05">
        <w:rPr>
          <w:rStyle w:val="Nagwek1"/>
          <w:b/>
          <w:bCs/>
        </w:rPr>
        <w:t xml:space="preserve"> wyjaśniając</w:t>
      </w:r>
      <w:r>
        <w:rPr>
          <w:rStyle w:val="Nagwek1"/>
          <w:b/>
          <w:bCs/>
        </w:rPr>
        <w:t>y</w:t>
      </w:r>
      <w:bookmarkEnd w:id="0"/>
    </w:p>
    <w:p w14:paraId="7BCF0411" w14:textId="77777777" w:rsidR="00EB4EBF" w:rsidRDefault="00816F2F">
      <w:pPr>
        <w:pStyle w:val="Nagwek10"/>
        <w:keepNext/>
        <w:keepLines/>
        <w:spacing w:after="260"/>
        <w:jc w:val="both"/>
      </w:pPr>
      <w:r w:rsidRPr="00AD5D05">
        <w:rPr>
          <w:rStyle w:val="Nagwek1"/>
          <w:b/>
          <w:bCs/>
        </w:rPr>
        <w:t>do Drugiego protokołu dodatkowego</w:t>
      </w:r>
      <w:r>
        <w:rPr>
          <w:rStyle w:val="Nagwek1"/>
          <w:b/>
          <w:bCs/>
        </w:rPr>
        <w:t xml:space="preserve"> do Europejskiej konwencji o ekstradycji</w:t>
      </w:r>
    </w:p>
    <w:p w14:paraId="4FDBF4B1" w14:textId="77777777" w:rsidR="00EB4EBF" w:rsidRDefault="00816F2F">
      <w:pPr>
        <w:pStyle w:val="Teksttreci0"/>
        <w:spacing w:after="780"/>
        <w:jc w:val="both"/>
      </w:pPr>
      <w:r>
        <w:rPr>
          <w:rStyle w:val="Teksttreci"/>
          <w:color w:val="333333"/>
        </w:rPr>
        <w:t>Strasburg, 17.III.1978 r.</w:t>
      </w:r>
    </w:p>
    <w:p w14:paraId="44470617" w14:textId="3A7D648A" w:rsidR="00EB4EBF" w:rsidRDefault="00816F2F">
      <w:pPr>
        <w:pStyle w:val="Teksttreci0"/>
        <w:numPr>
          <w:ilvl w:val="0"/>
          <w:numId w:val="1"/>
        </w:numPr>
        <w:tabs>
          <w:tab w:val="left" w:pos="962"/>
        </w:tabs>
        <w:ind w:left="720" w:firstLine="20"/>
        <w:jc w:val="both"/>
      </w:pPr>
      <w:r>
        <w:rPr>
          <w:rStyle w:val="Teksttreci"/>
        </w:rPr>
        <w:t xml:space="preserve">Drugi </w:t>
      </w:r>
      <w:r w:rsidR="009B1B7A">
        <w:rPr>
          <w:rStyle w:val="Teksttreci"/>
        </w:rPr>
        <w:t>p</w:t>
      </w:r>
      <w:r>
        <w:rPr>
          <w:rStyle w:val="Teksttreci"/>
        </w:rPr>
        <w:t xml:space="preserve">rotokół dodatkowy do Europejskiej konwencji o ekstradycji, sporządzony w ramach Rady Europy przez komitet </w:t>
      </w:r>
      <w:r w:rsidR="00D753E7">
        <w:rPr>
          <w:rStyle w:val="Teksttreci"/>
        </w:rPr>
        <w:t xml:space="preserve">ekspertów </w:t>
      </w:r>
      <w:r>
        <w:rPr>
          <w:rStyle w:val="Teksttreci"/>
        </w:rPr>
        <w:t xml:space="preserve">rządowych z upoważnienia </w:t>
      </w:r>
      <w:r w:rsidRPr="00247705">
        <w:rPr>
          <w:rStyle w:val="Teksttreci"/>
        </w:rPr>
        <w:t xml:space="preserve">Europejskiego Komitetu </w:t>
      </w:r>
      <w:r w:rsidR="00247705">
        <w:rPr>
          <w:rStyle w:val="Teksttreci"/>
        </w:rPr>
        <w:t>Problematyki</w:t>
      </w:r>
      <w:r w:rsidRPr="00247705">
        <w:rPr>
          <w:rStyle w:val="Teksttreci"/>
        </w:rPr>
        <w:t xml:space="preserve"> Przestępczości</w:t>
      </w:r>
      <w:r>
        <w:rPr>
          <w:rStyle w:val="Teksttreci"/>
        </w:rPr>
        <w:t xml:space="preserve"> (E</w:t>
      </w:r>
      <w:r w:rsidR="002A256D">
        <w:rPr>
          <w:rStyle w:val="Teksttreci"/>
        </w:rPr>
        <w:t>KPP</w:t>
      </w:r>
      <w:r>
        <w:rPr>
          <w:rStyle w:val="Teksttreci"/>
        </w:rPr>
        <w:t>), został otwarty do podpisu przez państwa członkowskie Rady w dniu 17 marca 1978 r.</w:t>
      </w:r>
    </w:p>
    <w:p w14:paraId="73C16762" w14:textId="1F118A33" w:rsidR="00EB4EBF" w:rsidRPr="00AD5D05" w:rsidRDefault="00816F2F">
      <w:pPr>
        <w:pStyle w:val="Teksttreci0"/>
        <w:numPr>
          <w:ilvl w:val="0"/>
          <w:numId w:val="1"/>
        </w:numPr>
        <w:tabs>
          <w:tab w:val="left" w:pos="1006"/>
        </w:tabs>
        <w:ind w:left="720" w:firstLine="20"/>
        <w:jc w:val="both"/>
      </w:pPr>
      <w:r>
        <w:rPr>
          <w:rStyle w:val="Teksttreci"/>
        </w:rPr>
        <w:t>Tekst</w:t>
      </w:r>
      <w:r w:rsidR="004063E2">
        <w:rPr>
          <w:rStyle w:val="Teksttreci"/>
        </w:rPr>
        <w:t xml:space="preserve"> raportu</w:t>
      </w:r>
      <w:r>
        <w:rPr>
          <w:rStyle w:val="Teksttreci"/>
        </w:rPr>
        <w:t xml:space="preserve"> wyjaśniającego, przygotowanego na podstawie dyskusji tego komitetu </w:t>
      </w:r>
      <w:r w:rsidRPr="00AD5D05">
        <w:rPr>
          <w:rStyle w:val="Teksttreci"/>
        </w:rPr>
        <w:t xml:space="preserve">i przedłożonego Komitetowi Ministrów Rady Europy, nie stanowi instrumentu zapewniającego autorytatywną interpretację tekstu </w:t>
      </w:r>
      <w:r w:rsidR="009B1B7A">
        <w:rPr>
          <w:rStyle w:val="Teksttreci"/>
        </w:rPr>
        <w:t>d</w:t>
      </w:r>
      <w:r w:rsidRPr="00AD5D05">
        <w:rPr>
          <w:rStyle w:val="Teksttreci"/>
        </w:rPr>
        <w:t xml:space="preserve">rugiego </w:t>
      </w:r>
      <w:r w:rsidR="009B1B7A">
        <w:rPr>
          <w:rStyle w:val="Teksttreci"/>
        </w:rPr>
        <w:t>p</w:t>
      </w:r>
      <w:r w:rsidRPr="00AD5D05">
        <w:rPr>
          <w:rStyle w:val="Teksttreci"/>
        </w:rPr>
        <w:t xml:space="preserve">rotokołu dodatkowego, chociaż może ułatwić zrozumienie postanowień </w:t>
      </w:r>
      <w:r w:rsidR="009B1B7A">
        <w:rPr>
          <w:rStyle w:val="Teksttreci"/>
        </w:rPr>
        <w:t>p</w:t>
      </w:r>
      <w:r w:rsidRPr="00AD5D05">
        <w:rPr>
          <w:rStyle w:val="Teksttreci"/>
        </w:rPr>
        <w:t>rotokołu dodatkowego.</w:t>
      </w:r>
    </w:p>
    <w:p w14:paraId="5DA8224C" w14:textId="77777777" w:rsidR="00EB4EBF" w:rsidRDefault="00816F2F">
      <w:pPr>
        <w:pStyle w:val="Nagwek20"/>
        <w:keepNext/>
        <w:keepLines/>
        <w:ind w:firstLine="0"/>
        <w:jc w:val="both"/>
      </w:pPr>
      <w:bookmarkStart w:id="1" w:name="bookmark3"/>
      <w:r w:rsidRPr="00AD5D05">
        <w:rPr>
          <w:rStyle w:val="Nagwek2"/>
          <w:b/>
          <w:bCs/>
        </w:rPr>
        <w:t>Wstęp</w:t>
      </w:r>
      <w:bookmarkEnd w:id="1"/>
    </w:p>
    <w:p w14:paraId="163895A7" w14:textId="5A9D5F67" w:rsidR="00EB4EBF" w:rsidRDefault="00816F2F">
      <w:pPr>
        <w:pStyle w:val="Teksttreci0"/>
        <w:numPr>
          <w:ilvl w:val="0"/>
          <w:numId w:val="2"/>
        </w:numPr>
        <w:tabs>
          <w:tab w:val="left" w:pos="1011"/>
        </w:tabs>
        <w:ind w:left="720" w:firstLine="20"/>
        <w:jc w:val="both"/>
      </w:pPr>
      <w:r>
        <w:rPr>
          <w:rStyle w:val="Teksttreci"/>
        </w:rPr>
        <w:t xml:space="preserve">Podobnie jak w przypadku </w:t>
      </w:r>
      <w:r w:rsidR="009B1B7A">
        <w:rPr>
          <w:rStyle w:val="Teksttreci"/>
        </w:rPr>
        <w:t>p</w:t>
      </w:r>
      <w:r>
        <w:rPr>
          <w:rStyle w:val="Teksttreci"/>
        </w:rPr>
        <w:t>rotokołu dodatkowego do Europejskiej konwencji o ekstradycji, który otwarto do podpisu w dniu 15 października 1975 r.</w:t>
      </w:r>
      <w:r>
        <w:rPr>
          <w:rStyle w:val="Teksttreci"/>
          <w:b/>
          <w:bCs/>
          <w:vertAlign w:val="superscript"/>
        </w:rPr>
        <w:t>(</w:t>
      </w:r>
      <w:r w:rsidR="00C06887">
        <w:rPr>
          <w:rStyle w:val="Odwoanieprzypisudolnego"/>
          <w:b/>
          <w:bCs/>
        </w:rPr>
        <w:footnoteReference w:id="1"/>
      </w:r>
      <w:r>
        <w:rPr>
          <w:rStyle w:val="Teksttreci"/>
          <w:b/>
          <w:bCs/>
          <w:vertAlign w:val="superscript"/>
        </w:rPr>
        <w:t>)</w:t>
      </w:r>
      <w:r>
        <w:rPr>
          <w:rStyle w:val="Teksttreci"/>
        </w:rPr>
        <w:t xml:space="preserve">, przygotowanie </w:t>
      </w:r>
      <w:r w:rsidR="009B1B7A">
        <w:rPr>
          <w:rStyle w:val="Teksttreci"/>
        </w:rPr>
        <w:t>d</w:t>
      </w:r>
      <w:r>
        <w:rPr>
          <w:rStyle w:val="Teksttreci"/>
        </w:rPr>
        <w:t>rugiego protokołu dodatkowego ma swoje źródło w spotkaniu, które Rada Europy zorganizowała w czerwcu 1969 r. dla osób odpowiedzialnych na szczeblu krajowym za stosowanie konwencji. Uczestnicy tego spotkania omówili różne problemy pojawiające się w związku z wdrażaniem konwencji i przedstawili szereg propozycji mających na celu poprawę jej funkcjonowania</w:t>
      </w:r>
      <w:r>
        <w:rPr>
          <w:rStyle w:val="Teksttreci"/>
          <w:b/>
          <w:bCs/>
          <w:vertAlign w:val="superscript"/>
        </w:rPr>
        <w:t>(</w:t>
      </w:r>
      <w:r w:rsidR="00C06887">
        <w:rPr>
          <w:rStyle w:val="Odwoanieprzypisudolnego"/>
          <w:b/>
          <w:bCs/>
        </w:rPr>
        <w:footnoteReference w:id="2"/>
      </w:r>
      <w:r>
        <w:rPr>
          <w:rStyle w:val="Teksttreci"/>
          <w:b/>
          <w:bCs/>
          <w:vertAlign w:val="superscript"/>
        </w:rPr>
        <w:t>)</w:t>
      </w:r>
      <w:r>
        <w:rPr>
          <w:rStyle w:val="Teksttreci"/>
        </w:rPr>
        <w:t>.</w:t>
      </w:r>
    </w:p>
    <w:p w14:paraId="13D1EB8E" w14:textId="7CC1CB8A" w:rsidR="00EB4EBF" w:rsidRDefault="00816F2F">
      <w:pPr>
        <w:pStyle w:val="Teksttreci0"/>
        <w:numPr>
          <w:ilvl w:val="0"/>
          <w:numId w:val="2"/>
        </w:numPr>
        <w:tabs>
          <w:tab w:val="left" w:pos="1006"/>
        </w:tabs>
        <w:ind w:left="720" w:firstLine="20"/>
        <w:jc w:val="both"/>
      </w:pPr>
      <w:r>
        <w:rPr>
          <w:rStyle w:val="Teksttreci"/>
        </w:rPr>
        <w:t xml:space="preserve">Na 20. sesji plenarnej w 1971 r. </w:t>
      </w:r>
      <w:r w:rsidRPr="00247705">
        <w:rPr>
          <w:rStyle w:val="Teksttreci"/>
        </w:rPr>
        <w:t xml:space="preserve">Europejski Komitet </w:t>
      </w:r>
      <w:r w:rsidR="00247705">
        <w:rPr>
          <w:rStyle w:val="Teksttreci"/>
        </w:rPr>
        <w:t xml:space="preserve">Problematyki Przestępczości </w:t>
      </w:r>
      <w:r>
        <w:rPr>
          <w:rStyle w:val="Teksttreci"/>
        </w:rPr>
        <w:t>(E</w:t>
      </w:r>
      <w:r w:rsidR="002A256D">
        <w:rPr>
          <w:rStyle w:val="Teksttreci"/>
        </w:rPr>
        <w:t>KPP</w:t>
      </w:r>
      <w:r>
        <w:rPr>
          <w:rStyle w:val="Teksttreci"/>
        </w:rPr>
        <w:t xml:space="preserve">) przeanalizował wnioski ze spotkania w 1969 r. i powołał </w:t>
      </w:r>
      <w:r w:rsidR="006068B0">
        <w:rPr>
          <w:rStyle w:val="Teksttreci"/>
        </w:rPr>
        <w:t xml:space="preserve">podkomitet </w:t>
      </w:r>
      <w:r>
        <w:rPr>
          <w:rStyle w:val="Teksttreci"/>
        </w:rPr>
        <w:t>(</w:t>
      </w:r>
      <w:r w:rsidR="00A05DA1">
        <w:rPr>
          <w:rStyle w:val="Teksttreci"/>
        </w:rPr>
        <w:t xml:space="preserve">Podkomitet </w:t>
      </w:r>
      <w:r>
        <w:rPr>
          <w:rStyle w:val="Teksttreci"/>
        </w:rPr>
        <w:t xml:space="preserve">nr XXXI </w:t>
      </w:r>
      <w:r w:rsidR="002A256D">
        <w:rPr>
          <w:rStyle w:val="Teksttreci"/>
        </w:rPr>
        <w:t>EKPP</w:t>
      </w:r>
      <w:r>
        <w:rPr>
          <w:rStyle w:val="Teksttreci"/>
        </w:rPr>
        <w:t xml:space="preserve">, </w:t>
      </w:r>
      <w:r w:rsidR="006068B0">
        <w:rPr>
          <w:rStyle w:val="Teksttreci"/>
        </w:rPr>
        <w:t xml:space="preserve">któremu </w:t>
      </w:r>
      <w:r>
        <w:rPr>
          <w:rStyle w:val="Teksttreci"/>
        </w:rPr>
        <w:t>polecono przeprowadzenie szczegółowej analizy poruszanych problemów i zaproponowanie odpowiednich środków do realizacji wniosków ze spotkania w 1969 r.</w:t>
      </w:r>
    </w:p>
    <w:p w14:paraId="77466FCA" w14:textId="3700A0E4" w:rsidR="00EB4EBF" w:rsidRDefault="006068B0">
      <w:pPr>
        <w:pStyle w:val="Teksttreci0"/>
        <w:ind w:left="720" w:firstLine="20"/>
        <w:jc w:val="both"/>
      </w:pPr>
      <w:r>
        <w:rPr>
          <w:rStyle w:val="Teksttreci"/>
        </w:rPr>
        <w:t xml:space="preserve">Pan </w:t>
      </w:r>
      <w:r w:rsidR="00816F2F">
        <w:rPr>
          <w:rStyle w:val="Teksttreci"/>
        </w:rPr>
        <w:t xml:space="preserve">R. </w:t>
      </w:r>
      <w:proofErr w:type="spellStart"/>
      <w:r w:rsidR="00816F2F">
        <w:rPr>
          <w:rStyle w:val="Teksttreci"/>
        </w:rPr>
        <w:t>Linke</w:t>
      </w:r>
      <w:proofErr w:type="spellEnd"/>
      <w:r w:rsidR="00816F2F">
        <w:rPr>
          <w:rStyle w:val="Teksttreci"/>
        </w:rPr>
        <w:t xml:space="preserve"> (Austria) został mianowany przewodniczącym podkomitetu. </w:t>
      </w:r>
      <w:r>
        <w:rPr>
          <w:rStyle w:val="Teksttreci"/>
        </w:rPr>
        <w:t xml:space="preserve">Obsługa sekretariatu została zapewniona </w:t>
      </w:r>
      <w:r w:rsidRPr="00D46A52">
        <w:rPr>
          <w:rStyle w:val="Teksttreci"/>
        </w:rPr>
        <w:t>przez</w:t>
      </w:r>
      <w:r w:rsidR="00816F2F" w:rsidRPr="00D46A52">
        <w:rPr>
          <w:rStyle w:val="Teksttreci"/>
        </w:rPr>
        <w:t xml:space="preserve"> </w:t>
      </w:r>
      <w:bookmarkStart w:id="2" w:name="_Hlk123640071"/>
      <w:r w:rsidR="00816F2F" w:rsidRPr="00D46A52">
        <w:rPr>
          <w:rStyle w:val="Teksttreci"/>
        </w:rPr>
        <w:t xml:space="preserve">Wydział </w:t>
      </w:r>
      <w:r w:rsidR="00D46A52" w:rsidRPr="00D46A52">
        <w:rPr>
          <w:rStyle w:val="Teksttreci"/>
        </w:rPr>
        <w:t xml:space="preserve">Problematyki Przestępczości </w:t>
      </w:r>
      <w:r w:rsidR="00816F2F" w:rsidRPr="00D46A52">
        <w:rPr>
          <w:rStyle w:val="Teksttreci"/>
        </w:rPr>
        <w:t>Dyrekcji ds. Prawnych Rady Europy</w:t>
      </w:r>
      <w:bookmarkEnd w:id="2"/>
      <w:r w:rsidR="00816F2F" w:rsidRPr="00D46A52">
        <w:rPr>
          <w:rStyle w:val="Teksttreci"/>
        </w:rPr>
        <w:t>.</w:t>
      </w:r>
    </w:p>
    <w:p w14:paraId="643B83FA" w14:textId="7EEF919A" w:rsidR="00EB4EBF" w:rsidRDefault="00816F2F">
      <w:pPr>
        <w:pStyle w:val="Teksttreci0"/>
        <w:numPr>
          <w:ilvl w:val="0"/>
          <w:numId w:val="2"/>
        </w:numPr>
        <w:tabs>
          <w:tab w:val="left" w:pos="1006"/>
        </w:tabs>
        <w:spacing w:after="460"/>
        <w:ind w:left="720" w:firstLine="20"/>
        <w:jc w:val="both"/>
      </w:pPr>
      <w:r>
        <w:rPr>
          <w:rStyle w:val="Teksttreci"/>
        </w:rPr>
        <w:t xml:space="preserve">Podkomitet opracował najpierw Protokół dodatkowy, który otwarto do podpisu 15 października 1975 r. Następnie zbadał szereg innych kwestii związanych z praktycznym stosowaniem </w:t>
      </w:r>
      <w:r w:rsidR="006068B0">
        <w:rPr>
          <w:rStyle w:val="Teksttreci"/>
        </w:rPr>
        <w:t>konwencji</w:t>
      </w:r>
      <w:r>
        <w:rPr>
          <w:rStyle w:val="Teksttreci"/>
        </w:rPr>
        <w:t xml:space="preserve">. Podczas posiedzeń w dniach </w:t>
      </w:r>
      <w:r w:rsidR="00DB21F8">
        <w:rPr>
          <w:rStyle w:val="Teksttreci"/>
        </w:rPr>
        <w:t xml:space="preserve">od </w:t>
      </w:r>
      <w:r>
        <w:rPr>
          <w:rStyle w:val="Teksttreci"/>
        </w:rPr>
        <w:t>24</w:t>
      </w:r>
      <w:r w:rsidR="00DB21F8">
        <w:rPr>
          <w:rStyle w:val="Teksttreci"/>
        </w:rPr>
        <w:t xml:space="preserve"> do </w:t>
      </w:r>
      <w:r>
        <w:rPr>
          <w:rStyle w:val="Teksttreci"/>
        </w:rPr>
        <w:t xml:space="preserve">27 września 1974 r., </w:t>
      </w:r>
      <w:r w:rsidR="00DB21F8">
        <w:rPr>
          <w:rStyle w:val="Teksttreci"/>
        </w:rPr>
        <w:t xml:space="preserve">od </w:t>
      </w:r>
      <w:r>
        <w:rPr>
          <w:rStyle w:val="Teksttreci"/>
        </w:rPr>
        <w:t>22</w:t>
      </w:r>
      <w:r w:rsidR="00DB21F8">
        <w:rPr>
          <w:rStyle w:val="Teksttreci"/>
        </w:rPr>
        <w:t xml:space="preserve"> do </w:t>
      </w:r>
      <w:r>
        <w:rPr>
          <w:rStyle w:val="Teksttreci"/>
        </w:rPr>
        <w:t xml:space="preserve">25 kwietnia 1975 r. i </w:t>
      </w:r>
      <w:r w:rsidR="00DB21F8">
        <w:rPr>
          <w:rStyle w:val="Teksttreci"/>
        </w:rPr>
        <w:t xml:space="preserve">od </w:t>
      </w:r>
      <w:r>
        <w:rPr>
          <w:rStyle w:val="Teksttreci"/>
        </w:rPr>
        <w:t>15</w:t>
      </w:r>
      <w:r w:rsidR="00DB21F8">
        <w:rPr>
          <w:rStyle w:val="Teksttreci"/>
        </w:rPr>
        <w:t xml:space="preserve"> do </w:t>
      </w:r>
      <w:r>
        <w:rPr>
          <w:rStyle w:val="Teksttreci"/>
        </w:rPr>
        <w:t>19 marca 1976 r. przygotowała ona m.in. Protokół, który jest przedmiotem niniejszego</w:t>
      </w:r>
      <w:r w:rsidR="004063E2">
        <w:rPr>
          <w:rStyle w:val="Teksttreci"/>
        </w:rPr>
        <w:t xml:space="preserve"> raportu</w:t>
      </w:r>
      <w:r>
        <w:rPr>
          <w:rStyle w:val="Teksttreci"/>
        </w:rPr>
        <w:t>.</w:t>
      </w:r>
    </w:p>
    <w:p w14:paraId="1B343EC6" w14:textId="5BE60F89" w:rsidR="00EB4EBF" w:rsidRDefault="00816F2F">
      <w:pPr>
        <w:pStyle w:val="Teksttreci0"/>
        <w:numPr>
          <w:ilvl w:val="0"/>
          <w:numId w:val="4"/>
        </w:numPr>
        <w:tabs>
          <w:tab w:val="left" w:pos="1016"/>
        </w:tabs>
        <w:ind w:left="720"/>
        <w:jc w:val="both"/>
      </w:pPr>
      <w:r>
        <w:rPr>
          <w:rStyle w:val="Teksttreci"/>
        </w:rPr>
        <w:t>W celu przeanalizowania projektów tekstów E</w:t>
      </w:r>
      <w:r w:rsidR="002A256D">
        <w:rPr>
          <w:rStyle w:val="Teksttreci"/>
        </w:rPr>
        <w:t>KPP</w:t>
      </w:r>
      <w:r>
        <w:rPr>
          <w:rStyle w:val="Teksttreci"/>
        </w:rPr>
        <w:t xml:space="preserve"> postanowił, podczas swojej 25. sesji plenarnej w 1976 roku, rozszerzyć skład podkomitetu, tak aby obejmował on </w:t>
      </w:r>
      <w:r w:rsidR="00DB21F8">
        <w:rPr>
          <w:rStyle w:val="Teksttreci"/>
        </w:rPr>
        <w:t>ekspertów</w:t>
      </w:r>
      <w:r>
        <w:rPr>
          <w:rStyle w:val="Teksttreci"/>
        </w:rPr>
        <w:t xml:space="preserve"> ze wszystkich państw członkowskich, jak również z Umawiających się Stron, które nie są członkami </w:t>
      </w:r>
      <w:r>
        <w:rPr>
          <w:rStyle w:val="Teksttreci"/>
        </w:rPr>
        <w:lastRenderedPageBreak/>
        <w:t>Rady Europy.</w:t>
      </w:r>
    </w:p>
    <w:p w14:paraId="3E58E0AF" w14:textId="77777777" w:rsidR="00EB4EBF" w:rsidRDefault="00816F2F" w:rsidP="00D46A52">
      <w:pPr>
        <w:pStyle w:val="Teksttreci0"/>
        <w:ind w:left="709"/>
        <w:jc w:val="both"/>
      </w:pPr>
      <w:r>
        <w:rPr>
          <w:rStyle w:val="Teksttreci"/>
        </w:rPr>
        <w:t>Powiększony podkomitet spotkał się w dniach od 6 do 10 września 1976 r. oraz od 7 do 11 marca 1977 r.</w:t>
      </w:r>
    </w:p>
    <w:p w14:paraId="72B08099" w14:textId="5109E379" w:rsidR="00EB4EBF" w:rsidRDefault="00816F2F">
      <w:pPr>
        <w:pStyle w:val="Teksttreci0"/>
        <w:numPr>
          <w:ilvl w:val="0"/>
          <w:numId w:val="4"/>
        </w:numPr>
        <w:tabs>
          <w:tab w:val="left" w:pos="1011"/>
        </w:tabs>
        <w:ind w:left="720"/>
        <w:jc w:val="both"/>
      </w:pPr>
      <w:r>
        <w:rPr>
          <w:rStyle w:val="Teksttreci"/>
        </w:rPr>
        <w:t xml:space="preserve">Projekt </w:t>
      </w:r>
      <w:r w:rsidR="009B1B7A">
        <w:rPr>
          <w:rStyle w:val="Teksttreci"/>
        </w:rPr>
        <w:t>protoko</w:t>
      </w:r>
      <w:r>
        <w:rPr>
          <w:rStyle w:val="Teksttreci"/>
        </w:rPr>
        <w:t>łu dodatkowego z poprawkami rozszerzonego podkomitetu został przedłożony na 26. sesji plenarnej E</w:t>
      </w:r>
      <w:r w:rsidR="002A256D">
        <w:rPr>
          <w:rStyle w:val="Teksttreci"/>
        </w:rPr>
        <w:t>KPP</w:t>
      </w:r>
      <w:r>
        <w:rPr>
          <w:rStyle w:val="Teksttreci"/>
        </w:rPr>
        <w:t xml:space="preserve"> w maju 1977 r., któr</w:t>
      </w:r>
      <w:r w:rsidR="006C7CE4">
        <w:rPr>
          <w:rStyle w:val="Teksttreci"/>
        </w:rPr>
        <w:t>y</w:t>
      </w:r>
      <w:r>
        <w:rPr>
          <w:rStyle w:val="Teksttreci"/>
        </w:rPr>
        <w:t xml:space="preserve"> postanowił przekazać go Komitetowi Ministrów.</w:t>
      </w:r>
    </w:p>
    <w:p w14:paraId="7842646A" w14:textId="6177BD03" w:rsidR="00EB4EBF" w:rsidRDefault="00816F2F">
      <w:pPr>
        <w:pStyle w:val="Teksttreci0"/>
        <w:numPr>
          <w:ilvl w:val="0"/>
          <w:numId w:val="4"/>
        </w:numPr>
        <w:tabs>
          <w:tab w:val="left" w:pos="1016"/>
        </w:tabs>
        <w:ind w:left="720"/>
        <w:jc w:val="both"/>
      </w:pPr>
      <w:r>
        <w:rPr>
          <w:rStyle w:val="Teksttreci"/>
        </w:rPr>
        <w:t xml:space="preserve">Komitet Ministrów Rady Europy przyjął tekst </w:t>
      </w:r>
      <w:r w:rsidR="009B1B7A">
        <w:rPr>
          <w:rStyle w:val="Teksttreci"/>
        </w:rPr>
        <w:t>d</w:t>
      </w:r>
      <w:r>
        <w:rPr>
          <w:rStyle w:val="Teksttreci"/>
        </w:rPr>
        <w:t xml:space="preserve">rugiego </w:t>
      </w:r>
      <w:r w:rsidR="006C7CE4">
        <w:rPr>
          <w:rStyle w:val="Teksttreci"/>
        </w:rPr>
        <w:t xml:space="preserve">protokołu dodatkowego </w:t>
      </w:r>
      <w:r>
        <w:rPr>
          <w:rStyle w:val="Teksttreci"/>
        </w:rPr>
        <w:t>na 279</w:t>
      </w:r>
      <w:r w:rsidR="00D5521E">
        <w:rPr>
          <w:rStyle w:val="Teksttreci"/>
        </w:rPr>
        <w:t>.</w:t>
      </w:r>
      <w:r>
        <w:rPr>
          <w:rStyle w:val="Teksttreci"/>
        </w:rPr>
        <w:t xml:space="preserve"> posiedzeniu </w:t>
      </w:r>
      <w:r w:rsidR="006C7CE4">
        <w:rPr>
          <w:rStyle w:val="Teksttreci"/>
        </w:rPr>
        <w:t xml:space="preserve">Zastępców </w:t>
      </w:r>
      <w:r>
        <w:rPr>
          <w:rStyle w:val="Teksttreci"/>
        </w:rPr>
        <w:t>Ministrów w listopadzie 1977 r. i postanowił otworzyć go do podpisu.</w:t>
      </w:r>
    </w:p>
    <w:p w14:paraId="26133A02" w14:textId="7834A297" w:rsidR="00EB4EBF" w:rsidRPr="008438F3" w:rsidRDefault="005F07C8">
      <w:pPr>
        <w:pStyle w:val="Nagwek20"/>
        <w:keepNext/>
        <w:keepLines/>
        <w:ind w:firstLine="0"/>
        <w:jc w:val="both"/>
      </w:pPr>
      <w:r>
        <w:rPr>
          <w:rStyle w:val="Nagwek2"/>
          <w:b/>
          <w:bCs/>
        </w:rPr>
        <w:t>Uwagi ogólne</w:t>
      </w:r>
    </w:p>
    <w:p w14:paraId="4AA5302C" w14:textId="147D1F4D" w:rsidR="00EB4EBF" w:rsidRDefault="00816F2F">
      <w:pPr>
        <w:pStyle w:val="Teksttreci0"/>
        <w:numPr>
          <w:ilvl w:val="0"/>
          <w:numId w:val="4"/>
        </w:numPr>
        <w:tabs>
          <w:tab w:val="left" w:pos="1016"/>
        </w:tabs>
        <w:ind w:left="720"/>
        <w:jc w:val="both"/>
      </w:pPr>
      <w:r w:rsidRPr="008438F3">
        <w:rPr>
          <w:rStyle w:val="Teksttreci"/>
        </w:rPr>
        <w:t xml:space="preserve">Przygotowując Protokół, podkomitet stanął przed podstawowym wyborem: albo opracować oddzielne instrumenty dla każdego z </w:t>
      </w:r>
      <w:r w:rsidR="008438F3">
        <w:rPr>
          <w:rStyle w:val="Teksttreci"/>
        </w:rPr>
        <w:t>zagadnień</w:t>
      </w:r>
      <w:r w:rsidRPr="008438F3">
        <w:rPr>
          <w:rStyle w:val="Teksttreci"/>
        </w:rPr>
        <w:t xml:space="preserve">, które mają być poruszone, albo zawrzeć różne </w:t>
      </w:r>
      <w:r w:rsidR="008438F3">
        <w:rPr>
          <w:rStyle w:val="Teksttreci"/>
        </w:rPr>
        <w:t>zagadnienia</w:t>
      </w:r>
      <w:r w:rsidR="008438F3" w:rsidRPr="008438F3">
        <w:rPr>
          <w:rStyle w:val="Teksttreci"/>
        </w:rPr>
        <w:t xml:space="preserve"> </w:t>
      </w:r>
      <w:r w:rsidRPr="008438F3">
        <w:rPr>
          <w:rStyle w:val="Teksttreci"/>
        </w:rPr>
        <w:t xml:space="preserve">w jednym i tym samym </w:t>
      </w:r>
      <w:r w:rsidR="009B1B7A">
        <w:rPr>
          <w:rStyle w:val="Teksttreci"/>
        </w:rPr>
        <w:t>protoko</w:t>
      </w:r>
      <w:r w:rsidRPr="008438F3">
        <w:rPr>
          <w:rStyle w:val="Teksttreci"/>
        </w:rPr>
        <w:t xml:space="preserve">le. Zgodnie z metodą przyjętą już w przypadku </w:t>
      </w:r>
      <w:r w:rsidR="009B1B7A">
        <w:rPr>
          <w:rStyle w:val="Teksttreci"/>
        </w:rPr>
        <w:t>protoko</w:t>
      </w:r>
      <w:r w:rsidRPr="008438F3">
        <w:rPr>
          <w:rStyle w:val="Teksttreci"/>
        </w:rPr>
        <w:t>łu dodatkowego</w:t>
      </w:r>
      <w:r>
        <w:rPr>
          <w:rStyle w:val="Teksttreci"/>
        </w:rPr>
        <w:t xml:space="preserve"> do </w:t>
      </w:r>
      <w:r w:rsidR="00FE04BE">
        <w:rPr>
          <w:rStyle w:val="Teksttreci"/>
        </w:rPr>
        <w:t xml:space="preserve">konwencji </w:t>
      </w:r>
      <w:r>
        <w:rPr>
          <w:rStyle w:val="Teksttreci"/>
        </w:rPr>
        <w:t>o ekstradycji z dnia 15 października 1975 r. podkomitet zdecydował się na to drugie podejście. W związku z tym Protokół zawiera postanowienia dotyczące wielu różnych zagadnień; dotyczą one:</w:t>
      </w:r>
    </w:p>
    <w:p w14:paraId="3E35F2D5" w14:textId="321D55C1" w:rsidR="00EB4EBF" w:rsidRDefault="00816F2F">
      <w:pPr>
        <w:pStyle w:val="Teksttreci0"/>
        <w:numPr>
          <w:ilvl w:val="0"/>
          <w:numId w:val="5"/>
        </w:numPr>
        <w:tabs>
          <w:tab w:val="left" w:pos="1698"/>
        </w:tabs>
        <w:spacing w:after="0"/>
        <w:ind w:left="1440"/>
        <w:jc w:val="both"/>
      </w:pPr>
      <w:r>
        <w:rPr>
          <w:rStyle w:val="Teksttreci"/>
        </w:rPr>
        <w:t xml:space="preserve">rozszerzenie akcesoryjnej ekstradycji na przestępstwa, </w:t>
      </w:r>
      <w:r w:rsidR="00F61A7F">
        <w:rPr>
          <w:rStyle w:val="Teksttreci"/>
        </w:rPr>
        <w:t>zagrożonymi jedynie karą o charakterze finansowym</w:t>
      </w:r>
      <w:r>
        <w:rPr>
          <w:rStyle w:val="Teksttreci"/>
        </w:rPr>
        <w:t xml:space="preserve"> (rozdział I);</w:t>
      </w:r>
    </w:p>
    <w:p w14:paraId="36B1AFF8" w14:textId="77777777" w:rsidR="00EB4EBF" w:rsidRDefault="00816F2F">
      <w:pPr>
        <w:pStyle w:val="Teksttreci0"/>
        <w:numPr>
          <w:ilvl w:val="0"/>
          <w:numId w:val="5"/>
        </w:numPr>
        <w:tabs>
          <w:tab w:val="left" w:pos="1698"/>
        </w:tabs>
        <w:spacing w:after="0"/>
        <w:ind w:left="1440"/>
        <w:jc w:val="both"/>
      </w:pPr>
      <w:r>
        <w:rPr>
          <w:rStyle w:val="Teksttreci"/>
        </w:rPr>
        <w:t>rozszerzenie konwencji na przestępstwa skarbowe (rozdział II);</w:t>
      </w:r>
    </w:p>
    <w:p w14:paraId="59B887B9" w14:textId="3981FF62" w:rsidR="00EB4EBF" w:rsidRDefault="00D5521E">
      <w:pPr>
        <w:pStyle w:val="Teksttreci0"/>
        <w:numPr>
          <w:ilvl w:val="0"/>
          <w:numId w:val="5"/>
        </w:numPr>
        <w:tabs>
          <w:tab w:val="left" w:pos="1698"/>
        </w:tabs>
        <w:spacing w:after="0"/>
        <w:ind w:left="1440"/>
        <w:jc w:val="both"/>
      </w:pPr>
      <w:r>
        <w:rPr>
          <w:rStyle w:val="Teksttreci"/>
        </w:rPr>
        <w:t xml:space="preserve">orzeczenia </w:t>
      </w:r>
      <w:r w:rsidR="00816F2F">
        <w:rPr>
          <w:rStyle w:val="Teksttreci"/>
        </w:rPr>
        <w:t>zaoczne (rozdział III);</w:t>
      </w:r>
    </w:p>
    <w:p w14:paraId="173B9AC1" w14:textId="77777777" w:rsidR="00EB4EBF" w:rsidRDefault="00816F2F">
      <w:pPr>
        <w:pStyle w:val="Teksttreci0"/>
        <w:numPr>
          <w:ilvl w:val="0"/>
          <w:numId w:val="5"/>
        </w:numPr>
        <w:tabs>
          <w:tab w:val="left" w:pos="1698"/>
        </w:tabs>
        <w:spacing w:after="0"/>
        <w:ind w:left="1440"/>
        <w:jc w:val="both"/>
      </w:pPr>
      <w:r>
        <w:rPr>
          <w:rStyle w:val="Teksttreci"/>
        </w:rPr>
        <w:t>amnestia (rozdział IV); oraz</w:t>
      </w:r>
    </w:p>
    <w:p w14:paraId="64AC89B8" w14:textId="77777777" w:rsidR="00EB4EBF" w:rsidRDefault="00816F2F">
      <w:pPr>
        <w:pStyle w:val="Teksttreci0"/>
        <w:numPr>
          <w:ilvl w:val="0"/>
          <w:numId w:val="5"/>
        </w:numPr>
        <w:tabs>
          <w:tab w:val="left" w:pos="1698"/>
        </w:tabs>
        <w:ind w:left="1440"/>
        <w:jc w:val="both"/>
      </w:pPr>
      <w:r>
        <w:rPr>
          <w:rStyle w:val="Teksttreci"/>
        </w:rPr>
        <w:t>przekazywanie wniosków o ekstradycję (rozdział V).</w:t>
      </w:r>
    </w:p>
    <w:p w14:paraId="4A2C4D1B" w14:textId="79A1FD73" w:rsidR="00EB4EBF" w:rsidRDefault="00816F2F">
      <w:pPr>
        <w:pStyle w:val="Teksttreci0"/>
        <w:numPr>
          <w:ilvl w:val="0"/>
          <w:numId w:val="4"/>
        </w:numPr>
        <w:tabs>
          <w:tab w:val="left" w:pos="1016"/>
        </w:tabs>
        <w:ind w:left="720"/>
        <w:jc w:val="both"/>
      </w:pPr>
      <w:r>
        <w:rPr>
          <w:rStyle w:val="Teksttreci"/>
        </w:rPr>
        <w:t xml:space="preserve">Należy zauważyć, że postanowienia dotyczące przestępstw skarbowych i wniosków o ekstradycję (rozdziały II i V) modyfikują istniejące teksty odpowiednich artykułów </w:t>
      </w:r>
      <w:r w:rsidR="00FE04BE">
        <w:rPr>
          <w:rStyle w:val="Teksttreci"/>
        </w:rPr>
        <w:t>konwencji</w:t>
      </w:r>
      <w:r>
        <w:rPr>
          <w:rStyle w:val="Teksttreci"/>
        </w:rPr>
        <w:t xml:space="preserve">, natomiast postanowienia dotyczące ekstradycji akcesoryjnej, </w:t>
      </w:r>
      <w:r w:rsidR="00FE04BE">
        <w:rPr>
          <w:rStyle w:val="Teksttreci"/>
        </w:rPr>
        <w:t xml:space="preserve">orzeczeń </w:t>
      </w:r>
      <w:r>
        <w:rPr>
          <w:rStyle w:val="Teksttreci"/>
        </w:rPr>
        <w:t>zaocznych i amnestii (rozdziały I, III i IV) uzupełniają artykuły oryginalne.</w:t>
      </w:r>
    </w:p>
    <w:p w14:paraId="2096E8EA" w14:textId="2650A877" w:rsidR="00EB4EBF" w:rsidRDefault="00816F2F">
      <w:pPr>
        <w:pStyle w:val="Nagwek20"/>
        <w:keepNext/>
        <w:keepLines/>
        <w:ind w:firstLine="0"/>
        <w:jc w:val="both"/>
      </w:pPr>
      <w:bookmarkStart w:id="3" w:name="bookmark7"/>
      <w:r>
        <w:rPr>
          <w:rStyle w:val="Nagwek2"/>
          <w:b/>
          <w:bCs/>
        </w:rPr>
        <w:t xml:space="preserve">Komentarz do artykułów </w:t>
      </w:r>
      <w:r w:rsidR="009B1B7A">
        <w:rPr>
          <w:rStyle w:val="Nagwek2"/>
          <w:b/>
          <w:bCs/>
        </w:rPr>
        <w:t>protoko</w:t>
      </w:r>
      <w:r>
        <w:rPr>
          <w:rStyle w:val="Nagwek2"/>
          <w:b/>
          <w:bCs/>
        </w:rPr>
        <w:t>łu</w:t>
      </w:r>
      <w:bookmarkEnd w:id="3"/>
    </w:p>
    <w:p w14:paraId="58722642" w14:textId="7B2EE080" w:rsidR="00EB4EBF" w:rsidRPr="008438F3" w:rsidRDefault="00816F2F">
      <w:pPr>
        <w:pStyle w:val="Nagwek20"/>
        <w:keepNext/>
        <w:keepLines/>
        <w:ind w:firstLine="300"/>
        <w:jc w:val="both"/>
      </w:pPr>
      <w:r>
        <w:rPr>
          <w:rStyle w:val="Nagwek2"/>
          <w:b/>
          <w:bCs/>
        </w:rPr>
        <w:t xml:space="preserve">Rozdział I - </w:t>
      </w:r>
      <w:r w:rsidR="003C026B" w:rsidRPr="008438F3">
        <w:rPr>
          <w:rStyle w:val="Nagwek2"/>
          <w:b/>
          <w:bCs/>
        </w:rPr>
        <w:t>E</w:t>
      </w:r>
      <w:r w:rsidRPr="008438F3">
        <w:rPr>
          <w:rStyle w:val="Nagwek2"/>
          <w:b/>
          <w:bCs/>
        </w:rPr>
        <w:t>kstradycja</w:t>
      </w:r>
      <w:r w:rsidR="003C026B" w:rsidRPr="008438F3">
        <w:rPr>
          <w:rStyle w:val="Nagwek2"/>
          <w:b/>
          <w:bCs/>
        </w:rPr>
        <w:t xml:space="preserve"> </w:t>
      </w:r>
      <w:r w:rsidR="00FE04BE" w:rsidRPr="008438F3">
        <w:rPr>
          <w:rStyle w:val="Nagwek2"/>
          <w:b/>
          <w:bCs/>
        </w:rPr>
        <w:t>akcesoryjna</w:t>
      </w:r>
    </w:p>
    <w:p w14:paraId="2E32963B" w14:textId="74A88ABE" w:rsidR="00EB4EBF" w:rsidRPr="008438F3" w:rsidRDefault="00816F2F">
      <w:pPr>
        <w:pStyle w:val="Teksttreci0"/>
        <w:numPr>
          <w:ilvl w:val="0"/>
          <w:numId w:val="4"/>
        </w:numPr>
        <w:tabs>
          <w:tab w:val="left" w:pos="1008"/>
        </w:tabs>
        <w:ind w:left="720"/>
        <w:jc w:val="both"/>
      </w:pPr>
      <w:r w:rsidRPr="008438F3">
        <w:rPr>
          <w:rStyle w:val="Teksttreci"/>
        </w:rPr>
        <w:t>Prawo niektórych państw rozróżnia przestępstwa</w:t>
      </w:r>
      <w:r w:rsidR="003C026B" w:rsidRPr="008438F3">
        <w:rPr>
          <w:rStyle w:val="Teksttreci"/>
        </w:rPr>
        <w:t xml:space="preserve"> </w:t>
      </w:r>
      <w:r w:rsidR="00897905" w:rsidRPr="005F07C8">
        <w:rPr>
          <w:rStyle w:val="Teksttreci"/>
        </w:rPr>
        <w:t>kryminalne w znaczeniu ścisłym</w:t>
      </w:r>
      <w:r w:rsidRPr="008438F3">
        <w:rPr>
          <w:rStyle w:val="Teksttreci"/>
        </w:rPr>
        <w:t xml:space="preserve"> i </w:t>
      </w:r>
      <w:r w:rsidR="00897905" w:rsidRPr="008438F3">
        <w:rPr>
          <w:rStyle w:val="Teksttreci"/>
        </w:rPr>
        <w:t>niektóre inne typy przestępstw</w:t>
      </w:r>
      <w:r w:rsidRPr="008438F3">
        <w:rPr>
          <w:rStyle w:val="Teksttreci"/>
        </w:rPr>
        <w:t xml:space="preserve">. O ile za przestępstwa </w:t>
      </w:r>
      <w:r w:rsidR="00897905" w:rsidRPr="008438F3">
        <w:rPr>
          <w:rStyle w:val="Teksttreci"/>
        </w:rPr>
        <w:t xml:space="preserve">kryminalne </w:t>
      </w:r>
      <w:r w:rsidRPr="008438F3">
        <w:rPr>
          <w:rStyle w:val="Teksttreci"/>
        </w:rPr>
        <w:t xml:space="preserve">grożą sankcje karne, o tyle za pozostałe </w:t>
      </w:r>
      <w:r w:rsidR="00897905" w:rsidRPr="008438F3">
        <w:rPr>
          <w:rStyle w:val="Teksttreci"/>
        </w:rPr>
        <w:t xml:space="preserve">przestępstwa </w:t>
      </w:r>
      <w:r w:rsidRPr="008438F3">
        <w:rPr>
          <w:rStyle w:val="Teksttreci"/>
        </w:rPr>
        <w:t xml:space="preserve">grożą </w:t>
      </w:r>
      <w:r w:rsidR="00897905" w:rsidRPr="008438F3">
        <w:rPr>
          <w:rStyle w:val="Teksttreci"/>
        </w:rPr>
        <w:t>kary fiskalne</w:t>
      </w:r>
      <w:r w:rsidRPr="008438F3">
        <w:rPr>
          <w:rStyle w:val="Teksttreci"/>
        </w:rPr>
        <w:t xml:space="preserve">, które nie są uznawane za sankcje karne. Na przykład w Republice Federalnej Niemiec istnieją wykroczenia przeciwko porządkowi publicznemu </w:t>
      </w:r>
      <w:r w:rsidRPr="008438F3">
        <w:rPr>
          <w:rStyle w:val="Teksttreci"/>
          <w:i/>
          <w:iCs/>
        </w:rPr>
        <w:t>(</w:t>
      </w:r>
      <w:proofErr w:type="spellStart"/>
      <w:r w:rsidRPr="008438F3">
        <w:rPr>
          <w:rStyle w:val="Teksttreci"/>
          <w:i/>
          <w:iCs/>
        </w:rPr>
        <w:t>Ordnungswidrigkeiten</w:t>
      </w:r>
      <w:proofErr w:type="spellEnd"/>
      <w:r w:rsidRPr="008438F3">
        <w:rPr>
          <w:rStyle w:val="Teksttreci"/>
          <w:i/>
          <w:iCs/>
        </w:rPr>
        <w:t>)</w:t>
      </w:r>
      <w:r w:rsidRPr="008438F3">
        <w:rPr>
          <w:rStyle w:val="Teksttreci"/>
        </w:rPr>
        <w:t xml:space="preserve">, które są </w:t>
      </w:r>
      <w:r w:rsidR="0013755D" w:rsidRPr="008438F3">
        <w:rPr>
          <w:rStyle w:val="Teksttreci"/>
        </w:rPr>
        <w:t xml:space="preserve">karane grzywną </w:t>
      </w:r>
      <w:r w:rsidRPr="008438F3">
        <w:rPr>
          <w:rStyle w:val="Teksttreci"/>
        </w:rPr>
        <w:t xml:space="preserve">przez organy administracyjne, </w:t>
      </w:r>
      <w:r w:rsidR="0013755D" w:rsidRPr="008438F3">
        <w:rPr>
          <w:rStyle w:val="Teksttreci"/>
        </w:rPr>
        <w:t>co jednak podlega</w:t>
      </w:r>
      <w:r w:rsidRPr="008438F3">
        <w:rPr>
          <w:rStyle w:val="Teksttreci"/>
        </w:rPr>
        <w:t xml:space="preserve"> zaskarżeniu do </w:t>
      </w:r>
      <w:r w:rsidR="00D5521E" w:rsidRPr="008438F3">
        <w:rPr>
          <w:rStyle w:val="Teksttreci"/>
        </w:rPr>
        <w:t xml:space="preserve">powszechnych </w:t>
      </w:r>
      <w:r w:rsidRPr="008438F3">
        <w:rPr>
          <w:rStyle w:val="Teksttreci"/>
        </w:rPr>
        <w:t>sądów karnych.</w:t>
      </w:r>
    </w:p>
    <w:p w14:paraId="65BA309F" w14:textId="061D91A8" w:rsidR="00EB4EBF" w:rsidRDefault="00816F2F">
      <w:pPr>
        <w:pStyle w:val="Teksttreci0"/>
        <w:numPr>
          <w:ilvl w:val="0"/>
          <w:numId w:val="4"/>
        </w:numPr>
        <w:tabs>
          <w:tab w:val="left" w:pos="1122"/>
        </w:tabs>
        <w:ind w:left="720"/>
        <w:jc w:val="both"/>
      </w:pPr>
      <w:r w:rsidRPr="008438F3">
        <w:rPr>
          <w:rStyle w:val="Teksttreci"/>
        </w:rPr>
        <w:t xml:space="preserve">Zgodnie z </w:t>
      </w:r>
      <w:r w:rsidR="00E357E4" w:rsidRPr="008438F3">
        <w:rPr>
          <w:rStyle w:val="Teksttreci"/>
        </w:rPr>
        <w:t>konwencją drobne przestępstwa</w:t>
      </w:r>
      <w:r w:rsidRPr="008438F3">
        <w:rPr>
          <w:rStyle w:val="Teksttreci"/>
        </w:rPr>
        <w:t>, za które grozi jedynie grzywna, jak również</w:t>
      </w:r>
      <w:r w:rsidR="005F07C8">
        <w:rPr>
          <w:rStyle w:val="Teksttreci"/>
        </w:rPr>
        <w:t xml:space="preserve"> </w:t>
      </w:r>
      <w:r w:rsidR="0013755D" w:rsidRPr="008438F3">
        <w:rPr>
          <w:rStyle w:val="Teksttreci"/>
        </w:rPr>
        <w:t>pozostałe</w:t>
      </w:r>
      <w:r w:rsidRPr="008438F3">
        <w:rPr>
          <w:rStyle w:val="Teksttreci"/>
        </w:rPr>
        <w:t xml:space="preserve"> rodzaje</w:t>
      </w:r>
      <w:r>
        <w:rPr>
          <w:rStyle w:val="Teksttreci"/>
        </w:rPr>
        <w:t xml:space="preserve"> </w:t>
      </w:r>
      <w:r w:rsidR="00E357E4">
        <w:rPr>
          <w:rStyle w:val="Teksttreci"/>
        </w:rPr>
        <w:t xml:space="preserve">przestępstw </w:t>
      </w:r>
      <w:r>
        <w:rPr>
          <w:rStyle w:val="Teksttreci"/>
        </w:rPr>
        <w:t xml:space="preserve">wymienione w ust. 9 nie mogą stanowić podstawy do ekstradycji akcesoryjnej zgodnie z art. 2 ust. 2, ponieważ nie spełniają one określonych </w:t>
      </w:r>
      <w:r w:rsidR="00D5521E">
        <w:rPr>
          <w:rStyle w:val="Teksttreci"/>
        </w:rPr>
        <w:t xml:space="preserve">przesłanek </w:t>
      </w:r>
      <w:r>
        <w:rPr>
          <w:rStyle w:val="Teksttreci"/>
        </w:rPr>
        <w:t xml:space="preserve">dotyczących charakteru sankcji. Niemniej jednak przestępstwa te mogą </w:t>
      </w:r>
      <w:r w:rsidR="008334A1">
        <w:rPr>
          <w:rStyle w:val="Teksttreci"/>
        </w:rPr>
        <w:t>odznaczać się  znacznym stopniem</w:t>
      </w:r>
      <w:r>
        <w:rPr>
          <w:rStyle w:val="Teksttreci"/>
        </w:rPr>
        <w:t xml:space="preserve"> </w:t>
      </w:r>
      <w:r w:rsidR="008334A1">
        <w:rPr>
          <w:rStyle w:val="Teksttreci"/>
        </w:rPr>
        <w:t xml:space="preserve">szkodliwości społecznej </w:t>
      </w:r>
      <w:r>
        <w:rPr>
          <w:rStyle w:val="Teksttreci"/>
        </w:rPr>
        <w:t xml:space="preserve">(np. naruszenie przepisów związanych z ochroną środowiska). Dlatego też uznano za pożądane włączenie ich wszystkich do kategorii przestępstw, w odniesieniu do których może zostać </w:t>
      </w:r>
      <w:r w:rsidR="005F07C8">
        <w:rPr>
          <w:rStyle w:val="Teksttreci"/>
        </w:rPr>
        <w:t xml:space="preserve">udzielona </w:t>
      </w:r>
      <w:r>
        <w:rPr>
          <w:rStyle w:val="Teksttreci"/>
        </w:rPr>
        <w:t>ekstradycja akcesoryjna, zwłaszcza że powaga przestępstwa, która jest zwykle warunkiem ekstradycji, nie budzi obaw w przypadku ekstradycji akcesoryjnej.</w:t>
      </w:r>
    </w:p>
    <w:p w14:paraId="32E81FC6" w14:textId="5AF9D9C5" w:rsidR="00EB4EBF" w:rsidRDefault="00816F2F">
      <w:pPr>
        <w:pStyle w:val="Teksttreci0"/>
        <w:numPr>
          <w:ilvl w:val="0"/>
          <w:numId w:val="4"/>
        </w:numPr>
        <w:tabs>
          <w:tab w:val="left" w:pos="1119"/>
        </w:tabs>
        <w:spacing w:after="240"/>
        <w:ind w:left="720"/>
        <w:jc w:val="both"/>
      </w:pPr>
      <w:r>
        <w:rPr>
          <w:rStyle w:val="Teksttreci"/>
        </w:rPr>
        <w:t xml:space="preserve">Rozdział I rozszerza zakres stosowania ekstradycji </w:t>
      </w:r>
      <w:r w:rsidR="00D5521E">
        <w:rPr>
          <w:rStyle w:val="Teksttreci"/>
        </w:rPr>
        <w:t xml:space="preserve">akcesoryjnej </w:t>
      </w:r>
      <w:r>
        <w:rPr>
          <w:rStyle w:val="Teksttreci"/>
        </w:rPr>
        <w:t>dopuszczalnej na podstawie art. 2.</w:t>
      </w:r>
      <w:r w:rsidR="00AD049F">
        <w:rPr>
          <w:rStyle w:val="Teksttreci"/>
        </w:rPr>
        <w:t xml:space="preserve"> ust. </w:t>
      </w:r>
      <w:r>
        <w:rPr>
          <w:rStyle w:val="Teksttreci"/>
        </w:rPr>
        <w:t xml:space="preserve">2 na te przestępstwa. Państwo wzywające ma zatem możliwość uzyskania ekstradycji również w przypadku przestępstwa, które podlega grzywnie lub innej </w:t>
      </w:r>
      <w:r w:rsidR="00655174">
        <w:rPr>
          <w:rStyle w:val="Teksttreci"/>
        </w:rPr>
        <w:t>karze fiskalnej</w:t>
      </w:r>
      <w:r>
        <w:rPr>
          <w:rStyle w:val="Teksttreci"/>
        </w:rPr>
        <w:t>.</w:t>
      </w:r>
    </w:p>
    <w:p w14:paraId="0E17CADF" w14:textId="35294A27" w:rsidR="00EB4EBF" w:rsidRDefault="00816F2F">
      <w:pPr>
        <w:pStyle w:val="Teksttreci0"/>
        <w:numPr>
          <w:ilvl w:val="0"/>
          <w:numId w:val="4"/>
        </w:numPr>
        <w:tabs>
          <w:tab w:val="left" w:pos="1114"/>
        </w:tabs>
        <w:spacing w:after="240"/>
        <w:ind w:left="720"/>
        <w:jc w:val="both"/>
      </w:pPr>
      <w:r>
        <w:rPr>
          <w:rStyle w:val="Teksttreci"/>
        </w:rPr>
        <w:lastRenderedPageBreak/>
        <w:t>Jeśli chodzi o zasadę podwójnej karalności, wszystkie te przestępstwa muszą spełniać ogólny warunek ustanowiony w art. 2</w:t>
      </w:r>
      <w:r w:rsidR="00D5521E">
        <w:rPr>
          <w:rStyle w:val="Teksttreci"/>
        </w:rPr>
        <w:t xml:space="preserve"> ust.</w:t>
      </w:r>
      <w:r w:rsidR="005F07C8">
        <w:rPr>
          <w:rStyle w:val="Teksttreci"/>
        </w:rPr>
        <w:t xml:space="preserve"> </w:t>
      </w:r>
      <w:r>
        <w:rPr>
          <w:rStyle w:val="Teksttreci"/>
        </w:rPr>
        <w:t xml:space="preserve">1, tj. muszą </w:t>
      </w:r>
      <w:r w:rsidR="00D5521E">
        <w:rPr>
          <w:rStyle w:val="Teksttreci"/>
        </w:rPr>
        <w:t>być zagrożone karą</w:t>
      </w:r>
      <w:r>
        <w:rPr>
          <w:rStyle w:val="Teksttreci"/>
        </w:rPr>
        <w:t xml:space="preserve"> </w:t>
      </w:r>
      <w:r w:rsidR="00D5521E">
        <w:rPr>
          <w:rStyle w:val="Teksttreci"/>
        </w:rPr>
        <w:t>w świetle</w:t>
      </w:r>
      <w:r>
        <w:rPr>
          <w:rStyle w:val="Teksttreci"/>
        </w:rPr>
        <w:t xml:space="preserve"> prawa zarówno państwa wezwanego, jak i państwa wzywającego. Nie jest jednak konieczne, aby w obu państwach były one zagrożone </w:t>
      </w:r>
      <w:r w:rsidR="00D5521E">
        <w:rPr>
          <w:rStyle w:val="Teksttreci"/>
        </w:rPr>
        <w:t xml:space="preserve">karą </w:t>
      </w:r>
      <w:r>
        <w:rPr>
          <w:rStyle w:val="Teksttreci"/>
        </w:rPr>
        <w:t>tego samego rodzaju. Ta sama zasada została ustanowiona np. w art. 11.</w:t>
      </w:r>
      <w:r w:rsidR="00AD049F">
        <w:rPr>
          <w:rStyle w:val="Teksttreci"/>
        </w:rPr>
        <w:t xml:space="preserve"> ust. </w:t>
      </w:r>
      <w:r>
        <w:rPr>
          <w:rStyle w:val="Teksttreci"/>
        </w:rPr>
        <w:t>2 umowy szwajcarsko-niemieckiej z dnia 13 listopada 1969 r. uzupełniającej Europejską konwencję o ekstradycji.</w:t>
      </w:r>
    </w:p>
    <w:p w14:paraId="41CE7B9E" w14:textId="12DEBCD3" w:rsidR="00EB4EBF" w:rsidRDefault="00816F2F">
      <w:pPr>
        <w:pStyle w:val="Teksttreci0"/>
        <w:numPr>
          <w:ilvl w:val="0"/>
          <w:numId w:val="4"/>
        </w:numPr>
        <w:tabs>
          <w:tab w:val="left" w:pos="1114"/>
        </w:tabs>
        <w:spacing w:after="240"/>
        <w:ind w:left="720"/>
        <w:jc w:val="both"/>
      </w:pPr>
      <w:r>
        <w:rPr>
          <w:rStyle w:val="Teksttreci"/>
        </w:rPr>
        <w:t>Ponieważ przestępstwa objęte rozdziałem I są przestępstwami w rozumieniu art. 14</w:t>
      </w:r>
      <w:r w:rsidR="00D5521E">
        <w:rPr>
          <w:rStyle w:val="Teksttreci"/>
        </w:rPr>
        <w:t xml:space="preserve"> ust. </w:t>
      </w:r>
      <w:r>
        <w:rPr>
          <w:rStyle w:val="Teksttreci"/>
        </w:rPr>
        <w:t xml:space="preserve">1 </w:t>
      </w:r>
      <w:r w:rsidR="00AD049F">
        <w:rPr>
          <w:rStyle w:val="Teksttreci"/>
        </w:rPr>
        <w:t>konwencji</w:t>
      </w:r>
      <w:r>
        <w:rPr>
          <w:rStyle w:val="Teksttreci"/>
        </w:rPr>
        <w:t xml:space="preserve">, zasada specjalności określona w tym </w:t>
      </w:r>
      <w:r w:rsidR="00AD049F">
        <w:rPr>
          <w:rStyle w:val="Teksttreci"/>
        </w:rPr>
        <w:t xml:space="preserve">postanowieniu </w:t>
      </w:r>
      <w:r>
        <w:rPr>
          <w:rStyle w:val="Teksttreci"/>
        </w:rPr>
        <w:t>ma zastosowanie do akcesoryjnej ekstradycji za takie przestępstwa.</w:t>
      </w:r>
    </w:p>
    <w:p w14:paraId="2969357D" w14:textId="02AE7A95" w:rsidR="00EB4EBF" w:rsidRDefault="00816F2F">
      <w:pPr>
        <w:pStyle w:val="Teksttreci0"/>
        <w:numPr>
          <w:ilvl w:val="0"/>
          <w:numId w:val="4"/>
        </w:numPr>
        <w:tabs>
          <w:tab w:val="left" w:pos="1114"/>
        </w:tabs>
        <w:spacing w:after="240"/>
        <w:ind w:left="720"/>
        <w:jc w:val="both"/>
      </w:pPr>
      <w:r>
        <w:rPr>
          <w:rStyle w:val="Teksttreci"/>
        </w:rPr>
        <w:t xml:space="preserve">W odniesieniu do dokumentów, które należy przedłożyć na poparcie wniosku o ekstradycję akcesoryjną w odniesieniu do tych przestępstw, stosuje się </w:t>
      </w:r>
      <w:r w:rsidR="00876BD7">
        <w:rPr>
          <w:rStyle w:val="Teksttreci"/>
        </w:rPr>
        <w:t>art.</w:t>
      </w:r>
      <w:r>
        <w:rPr>
          <w:rStyle w:val="Teksttreci"/>
        </w:rPr>
        <w:t xml:space="preserve"> 12 </w:t>
      </w:r>
      <w:r w:rsidR="00AD049F">
        <w:rPr>
          <w:rStyle w:val="Teksttreci"/>
        </w:rPr>
        <w:t>konwencji</w:t>
      </w:r>
      <w:r>
        <w:rPr>
          <w:rStyle w:val="Teksttreci"/>
        </w:rPr>
        <w:t>, przy czym rozumie się, że państwo wzywające może przedstawić, zamiast nakazu aresztowania, jakikolwiek inny dokument</w:t>
      </w:r>
      <w:r w:rsidR="00D5521E">
        <w:rPr>
          <w:rStyle w:val="Teksttreci"/>
        </w:rPr>
        <w:t>, z którego wynika</w:t>
      </w:r>
      <w:r>
        <w:rPr>
          <w:rStyle w:val="Teksttreci"/>
        </w:rPr>
        <w:t>, że przeciwko danej osobie wniesiono oskarżenie.</w:t>
      </w:r>
    </w:p>
    <w:p w14:paraId="4435D520" w14:textId="77777777" w:rsidR="00EB4EBF" w:rsidRDefault="00816F2F">
      <w:pPr>
        <w:pStyle w:val="Nagwek20"/>
        <w:keepNext/>
        <w:keepLines/>
        <w:spacing w:after="240"/>
        <w:jc w:val="both"/>
      </w:pPr>
      <w:bookmarkStart w:id="4" w:name="bookmark10"/>
      <w:r>
        <w:rPr>
          <w:rStyle w:val="Nagwek2"/>
          <w:b/>
          <w:bCs/>
        </w:rPr>
        <w:t>Rozdział II - Przestępstwa skarbowe</w:t>
      </w:r>
      <w:bookmarkEnd w:id="4"/>
    </w:p>
    <w:p w14:paraId="603E08DC" w14:textId="7B5F15C5" w:rsidR="00EB4EBF" w:rsidRDefault="00816F2F">
      <w:pPr>
        <w:pStyle w:val="Teksttreci0"/>
        <w:numPr>
          <w:ilvl w:val="0"/>
          <w:numId w:val="4"/>
        </w:numPr>
        <w:tabs>
          <w:tab w:val="left" w:pos="1110"/>
        </w:tabs>
        <w:spacing w:after="240"/>
        <w:ind w:left="720"/>
        <w:jc w:val="both"/>
      </w:pPr>
      <w:r>
        <w:rPr>
          <w:rStyle w:val="Teksttreci"/>
        </w:rPr>
        <w:t xml:space="preserve">Artykuł 5 </w:t>
      </w:r>
      <w:r w:rsidR="00D771CE">
        <w:rPr>
          <w:rStyle w:val="Teksttreci"/>
        </w:rPr>
        <w:t xml:space="preserve">konwencji </w:t>
      </w:r>
      <w:r>
        <w:rPr>
          <w:rStyle w:val="Teksttreci"/>
        </w:rPr>
        <w:t xml:space="preserve">stanowi, że </w:t>
      </w:r>
      <w:r w:rsidR="00485935">
        <w:rPr>
          <w:rStyle w:val="Teksttreci"/>
        </w:rPr>
        <w:t xml:space="preserve">wydanie </w:t>
      </w:r>
      <w:r>
        <w:rPr>
          <w:rStyle w:val="Teksttreci"/>
        </w:rPr>
        <w:t xml:space="preserve">w przypadku przestępstw skarbowych, tj. przestępstw </w:t>
      </w:r>
      <w:r w:rsidR="00485935">
        <w:rPr>
          <w:rStyle w:val="Teksttreci"/>
        </w:rPr>
        <w:t>podatkowych, celnych i dewizowych</w:t>
      </w:r>
      <w:r>
        <w:rPr>
          <w:rStyle w:val="Teksttreci"/>
        </w:rPr>
        <w:t xml:space="preserve">, </w:t>
      </w:r>
      <w:r w:rsidR="00485935">
        <w:rPr>
          <w:rStyle w:val="Teksttreci"/>
        </w:rPr>
        <w:t>może nastąpić wyłącznie</w:t>
      </w:r>
      <w:r>
        <w:rPr>
          <w:rStyle w:val="Teksttreci"/>
        </w:rPr>
        <w:t xml:space="preserve"> wtedy, gdy Umawiające się Strony </w:t>
      </w:r>
      <w:r w:rsidR="00485935">
        <w:rPr>
          <w:rStyle w:val="Teksttreci"/>
        </w:rPr>
        <w:t>porozumieją się co do danego</w:t>
      </w:r>
      <w:r>
        <w:rPr>
          <w:rStyle w:val="Teksttreci"/>
        </w:rPr>
        <w:t xml:space="preserve"> przestępstwa lub kategorii przestępstw. Konieczne jest zatem wcześniejsze ustalenie między stronami.</w:t>
      </w:r>
    </w:p>
    <w:p w14:paraId="46E6D0C4" w14:textId="3E9E6E25" w:rsidR="00EB4EBF" w:rsidRDefault="00816F2F">
      <w:pPr>
        <w:pStyle w:val="Teksttreci0"/>
        <w:spacing w:after="240"/>
        <w:ind w:left="720"/>
        <w:jc w:val="both"/>
      </w:pPr>
      <w:r>
        <w:rPr>
          <w:rStyle w:val="Teksttreci"/>
        </w:rPr>
        <w:t xml:space="preserve">Rozdział II </w:t>
      </w:r>
      <w:r w:rsidR="009B1B7A">
        <w:rPr>
          <w:rStyle w:val="Teksttreci"/>
        </w:rPr>
        <w:t>protoko</w:t>
      </w:r>
      <w:r>
        <w:rPr>
          <w:rStyle w:val="Teksttreci"/>
        </w:rPr>
        <w:t xml:space="preserve">łu nadaje </w:t>
      </w:r>
      <w:r w:rsidR="00876BD7">
        <w:rPr>
          <w:rStyle w:val="Teksttreci"/>
        </w:rPr>
        <w:t>art.</w:t>
      </w:r>
      <w:r>
        <w:rPr>
          <w:rStyle w:val="Teksttreci"/>
        </w:rPr>
        <w:t xml:space="preserve"> 5 </w:t>
      </w:r>
      <w:r w:rsidR="00D771CE">
        <w:rPr>
          <w:rStyle w:val="Teksttreci"/>
        </w:rPr>
        <w:t xml:space="preserve">konwencji </w:t>
      </w:r>
      <w:r>
        <w:rPr>
          <w:rStyle w:val="Teksttreci"/>
        </w:rPr>
        <w:t xml:space="preserve">bardziej </w:t>
      </w:r>
      <w:r w:rsidR="00485935">
        <w:rPr>
          <w:rStyle w:val="Teksttreci"/>
        </w:rPr>
        <w:t xml:space="preserve">obligatoryjną </w:t>
      </w:r>
      <w:r>
        <w:rPr>
          <w:rStyle w:val="Teksttreci"/>
        </w:rPr>
        <w:t xml:space="preserve">formę: ekstradycja następuje niezależnie od wszelkich ustaleń między Umawiającymi się Stronami w każdym przypadku, gdy przestępstwo skarbowe, zgodnie z prawem państwa wzywającego, odpowiada, zgodnie z prawem państwa wezwanego, przestępstwu </w:t>
      </w:r>
      <w:r w:rsidR="00274520">
        <w:rPr>
          <w:rStyle w:val="Teksttreci"/>
        </w:rPr>
        <w:t>takiego samego rodzaju</w:t>
      </w:r>
      <w:r>
        <w:rPr>
          <w:rStyle w:val="Teksttreci"/>
        </w:rPr>
        <w:t>.</w:t>
      </w:r>
    </w:p>
    <w:p w14:paraId="1FE3B7D0" w14:textId="1F333C69" w:rsidR="00EB4EBF" w:rsidRDefault="00816F2F">
      <w:pPr>
        <w:pStyle w:val="Teksttreci0"/>
        <w:numPr>
          <w:ilvl w:val="0"/>
          <w:numId w:val="4"/>
        </w:numPr>
        <w:tabs>
          <w:tab w:val="left" w:pos="1124"/>
        </w:tabs>
        <w:spacing w:after="240"/>
        <w:ind w:left="720"/>
        <w:jc w:val="both"/>
      </w:pPr>
      <w:r>
        <w:rPr>
          <w:rStyle w:val="Teksttreci"/>
        </w:rPr>
        <w:t>Ta nowa zasada odzwierciedla tendencję, zgodnie z którą przestępstwa skarbowe nie są już objęte zakresem stosowania ustaleń dotyczących ekstradycji. Przez długi czas uważano, że przestępstwa skarbowe nie powinny być traktowane jako przestępstwa</w:t>
      </w:r>
      <w:r w:rsidR="0099388C">
        <w:rPr>
          <w:rStyle w:val="Teksttreci"/>
        </w:rPr>
        <w:t xml:space="preserve"> powszechne</w:t>
      </w:r>
      <w:r>
        <w:rPr>
          <w:rStyle w:val="Teksttreci"/>
        </w:rPr>
        <w:t>, ponieważ były zbliżone do przestępstw wojskowych lub politycznych, które tradycyjnie nie stanowiły podstawy do ekstradycji. Państwa wahały się przed udzieleniem ekstradycji, gdy ofiarą przestępstwa nie była osoba prywatna, lecz inne państwo, ponieważ uważano, że zadaniem jednego państwa nie jest ochrona finansów innego.</w:t>
      </w:r>
    </w:p>
    <w:p w14:paraId="7E0F5A69" w14:textId="0BA14D3C" w:rsidR="00EB4EBF" w:rsidRDefault="00816F2F">
      <w:pPr>
        <w:pStyle w:val="Teksttreci0"/>
        <w:spacing w:after="240"/>
        <w:ind w:left="720"/>
        <w:jc w:val="both"/>
      </w:pPr>
      <w:r>
        <w:rPr>
          <w:rStyle w:val="Teksttreci"/>
        </w:rPr>
        <w:t>Jednak w ostatnim czasie podejście do polityki karnej uległo znacznym zmianom. Obecnie uznaje się, że należy poświęcić większą uwagę przestępstwom gospodarczym ze względu na szkody, jakie wyrządzają one społeczeństwu. Uważa się również, że istnieje obecnie potrzeba ściślejszej współpracy międzynarodowej w tej dziedzinie i że nie jest już uzasadnione rozróżnianie w dziedzinie ekstradycji przestępstw „</w:t>
      </w:r>
      <w:r w:rsidR="00F128B3">
        <w:rPr>
          <w:rStyle w:val="Teksttreci"/>
        </w:rPr>
        <w:t>powszechnych</w:t>
      </w:r>
      <w:r>
        <w:rPr>
          <w:rStyle w:val="Teksttreci"/>
        </w:rPr>
        <w:t>” i podatkowych.</w:t>
      </w:r>
    </w:p>
    <w:p w14:paraId="2E0C62A9" w14:textId="461CA18B" w:rsidR="00EB4EBF" w:rsidRDefault="00816F2F">
      <w:pPr>
        <w:pStyle w:val="Teksttreci0"/>
        <w:spacing w:after="240"/>
        <w:ind w:left="720"/>
        <w:jc w:val="both"/>
      </w:pPr>
      <w:r>
        <w:rPr>
          <w:rStyle w:val="Teksttreci"/>
        </w:rPr>
        <w:t>Dla celów ekstradycji rozdział II stawia zatem na równi przestępstwa skarbowe i „</w:t>
      </w:r>
      <w:r w:rsidR="00F128B3">
        <w:rPr>
          <w:rStyle w:val="Teksttreci"/>
        </w:rPr>
        <w:t>powszechne</w:t>
      </w:r>
      <w:r>
        <w:rPr>
          <w:rStyle w:val="Teksttreci"/>
        </w:rPr>
        <w:t>”.</w:t>
      </w:r>
    </w:p>
    <w:p w14:paraId="2C31B241" w14:textId="33A7ACD2" w:rsidR="00EB4EBF" w:rsidRDefault="00816F2F">
      <w:pPr>
        <w:pStyle w:val="Teksttreci0"/>
        <w:numPr>
          <w:ilvl w:val="0"/>
          <w:numId w:val="4"/>
        </w:numPr>
        <w:tabs>
          <w:tab w:val="left" w:pos="1114"/>
        </w:tabs>
        <w:spacing w:after="240"/>
        <w:ind w:left="720"/>
        <w:jc w:val="both"/>
      </w:pPr>
      <w:r>
        <w:rPr>
          <w:rStyle w:val="Teksttreci"/>
        </w:rPr>
        <w:t xml:space="preserve">Na mocy </w:t>
      </w:r>
      <w:r w:rsidR="00D771CE">
        <w:rPr>
          <w:rStyle w:val="Teksttreci"/>
        </w:rPr>
        <w:t xml:space="preserve">konwencji </w:t>
      </w:r>
      <w:r>
        <w:rPr>
          <w:rStyle w:val="Teksttreci"/>
        </w:rPr>
        <w:t>(</w:t>
      </w:r>
      <w:r w:rsidR="00876BD7">
        <w:rPr>
          <w:rStyle w:val="Teksttreci"/>
        </w:rPr>
        <w:t>art.</w:t>
      </w:r>
      <w:r>
        <w:rPr>
          <w:rStyle w:val="Teksttreci"/>
        </w:rPr>
        <w:t xml:space="preserve"> 2) ekstradycja podlega warunkom podwójnej odpowiedzialności karnej: przestępstwo</w:t>
      </w:r>
      <w:r w:rsidR="00F128B3">
        <w:rPr>
          <w:rStyle w:val="Teksttreci"/>
        </w:rPr>
        <w:t xml:space="preserve"> objęte</w:t>
      </w:r>
      <w:r>
        <w:rPr>
          <w:rStyle w:val="Teksttreci"/>
        </w:rPr>
        <w:t xml:space="preserve"> </w:t>
      </w:r>
      <w:r w:rsidR="00F128B3">
        <w:rPr>
          <w:rStyle w:val="Teksttreci"/>
        </w:rPr>
        <w:t xml:space="preserve">wnioskiem </w:t>
      </w:r>
      <w:r>
        <w:rPr>
          <w:rStyle w:val="Teksttreci"/>
        </w:rPr>
        <w:t xml:space="preserve">o ekstradycję, musi być przestępstwem karalnym tego samego rodzaju w ramach kompetencji sądów zarówno w państwie </w:t>
      </w:r>
      <w:r w:rsidR="003163F4">
        <w:rPr>
          <w:rStyle w:val="Teksttreci"/>
        </w:rPr>
        <w:t>wzywającym</w:t>
      </w:r>
      <w:r>
        <w:rPr>
          <w:rStyle w:val="Teksttreci"/>
        </w:rPr>
        <w:t>, jak i w państwie wezwanym.</w:t>
      </w:r>
    </w:p>
    <w:p w14:paraId="09903EAF" w14:textId="0D2D66AD" w:rsidR="00EB4EBF" w:rsidRDefault="00816F2F">
      <w:pPr>
        <w:pStyle w:val="Teksttreci0"/>
        <w:ind w:left="700"/>
        <w:jc w:val="both"/>
      </w:pPr>
      <w:r>
        <w:rPr>
          <w:rStyle w:val="Teksttreci"/>
        </w:rPr>
        <w:t xml:space="preserve">Jeśli chodzi o przestępstwa skarbowe, prawa państw członkowskich różnią się pod względem znamion różnych przestępstw związanych z podatkami, cłami, opłatami i </w:t>
      </w:r>
      <w:r w:rsidR="00F128B3">
        <w:rPr>
          <w:rStyle w:val="Teksttreci"/>
        </w:rPr>
        <w:t>obrotem dewizowym</w:t>
      </w:r>
      <w:r>
        <w:rPr>
          <w:rStyle w:val="Teksttreci"/>
        </w:rPr>
        <w:t>. Aby uniknąć trudności interpretacyjnych w odniesieniu do przestępstw „skarbowych” w rozumieniu rozdziału II, tekst, zamiast przyjąć termin „przestępstwo skarbowe”, który nie ma znaczenia</w:t>
      </w:r>
      <w:r w:rsidR="00F128B3">
        <w:rPr>
          <w:rStyle w:val="Teksttreci"/>
        </w:rPr>
        <w:t xml:space="preserve"> powszechnego</w:t>
      </w:r>
      <w:r>
        <w:rPr>
          <w:rStyle w:val="Teksttreci"/>
        </w:rPr>
        <w:t xml:space="preserve">, powiela </w:t>
      </w:r>
      <w:r w:rsidR="00274520">
        <w:rPr>
          <w:rStyle w:val="Teksttreci"/>
        </w:rPr>
        <w:t xml:space="preserve">wyrażenia </w:t>
      </w:r>
      <w:r>
        <w:rPr>
          <w:rStyle w:val="Teksttreci"/>
        </w:rPr>
        <w:t xml:space="preserve">pojawiające się w </w:t>
      </w:r>
      <w:r w:rsidR="00876BD7">
        <w:rPr>
          <w:rStyle w:val="Teksttreci"/>
        </w:rPr>
        <w:t>art.</w:t>
      </w:r>
      <w:r>
        <w:rPr>
          <w:rStyle w:val="Teksttreci"/>
        </w:rPr>
        <w:t xml:space="preserve"> 5 </w:t>
      </w:r>
      <w:r w:rsidR="0055558C">
        <w:rPr>
          <w:rStyle w:val="Teksttreci"/>
        </w:rPr>
        <w:t>k</w:t>
      </w:r>
      <w:r>
        <w:rPr>
          <w:rStyle w:val="Teksttreci"/>
        </w:rPr>
        <w:t xml:space="preserve">onwencji („podatki, opłaty, cła i </w:t>
      </w:r>
      <w:r w:rsidR="00F128B3">
        <w:rPr>
          <w:rStyle w:val="Teksttreci"/>
        </w:rPr>
        <w:t xml:space="preserve">obrót </w:t>
      </w:r>
      <w:r>
        <w:rPr>
          <w:rStyle w:val="Teksttreci"/>
        </w:rPr>
        <w:t>dewiz</w:t>
      </w:r>
      <w:r w:rsidR="00F128B3">
        <w:rPr>
          <w:rStyle w:val="Teksttreci"/>
        </w:rPr>
        <w:t>owy</w:t>
      </w:r>
      <w:r>
        <w:rPr>
          <w:rStyle w:val="Teksttreci"/>
        </w:rPr>
        <w:t xml:space="preserve">”); ponadto w ust. 1 przewidziano, że ekstradycja ma miejsce, „jeżeli </w:t>
      </w:r>
      <w:r w:rsidR="00274520">
        <w:rPr>
          <w:rStyle w:val="Teksttreci"/>
        </w:rPr>
        <w:t xml:space="preserve">dane </w:t>
      </w:r>
      <w:r>
        <w:rPr>
          <w:rStyle w:val="Teksttreci"/>
        </w:rPr>
        <w:t xml:space="preserve">przestępstwo, </w:t>
      </w:r>
      <w:r w:rsidR="00274520">
        <w:rPr>
          <w:rStyle w:val="Teksttreci"/>
        </w:rPr>
        <w:t>według prawa</w:t>
      </w:r>
      <w:r>
        <w:rPr>
          <w:rStyle w:val="Teksttreci"/>
        </w:rPr>
        <w:t xml:space="preserve"> Strony wezwanej, odpowiada przestępstwu </w:t>
      </w:r>
      <w:r w:rsidR="00274520">
        <w:rPr>
          <w:rStyle w:val="Teksttreci"/>
        </w:rPr>
        <w:t>takiego samego rodzaju</w:t>
      </w:r>
      <w:r>
        <w:rPr>
          <w:rStyle w:val="Teksttreci"/>
        </w:rPr>
        <w:t xml:space="preserve">”: ekstradycja ma być udzielona nie tylko w przypadku, gdy dany czyn jest </w:t>
      </w:r>
      <w:r w:rsidR="00F128B3">
        <w:rPr>
          <w:rStyle w:val="Teksttreci"/>
        </w:rPr>
        <w:t xml:space="preserve">zagrożony karą </w:t>
      </w:r>
      <w:r>
        <w:rPr>
          <w:rStyle w:val="Teksttreci"/>
        </w:rPr>
        <w:t xml:space="preserve">jako to samo przestępstwo skarbowe na terytorium Strony wzywającej i Strony wezwanej, </w:t>
      </w:r>
      <w:r>
        <w:rPr>
          <w:rStyle w:val="Teksttreci"/>
        </w:rPr>
        <w:lastRenderedPageBreak/>
        <w:t>ale również w przypadku, gdy czyn o takim samym charakterze, jak</w:t>
      </w:r>
      <w:r w:rsidR="00274520">
        <w:rPr>
          <w:rStyle w:val="Teksttreci"/>
        </w:rPr>
        <w:t xml:space="preserve"> ten stanowiący podstawę</w:t>
      </w:r>
      <w:r>
        <w:rPr>
          <w:rStyle w:val="Teksttreci"/>
        </w:rPr>
        <w:t xml:space="preserve"> wniosku o ekstradycję, byłby </w:t>
      </w:r>
      <w:r w:rsidR="00F128B3">
        <w:rPr>
          <w:rStyle w:val="Teksttreci"/>
        </w:rPr>
        <w:t xml:space="preserve">zagrożony karą </w:t>
      </w:r>
      <w:r>
        <w:rPr>
          <w:rStyle w:val="Teksttreci"/>
        </w:rPr>
        <w:t>na terytorium Strony wezwanej.</w:t>
      </w:r>
    </w:p>
    <w:p w14:paraId="7DC17598" w14:textId="5DD2B746" w:rsidR="00EB4EBF" w:rsidRDefault="00816F2F">
      <w:pPr>
        <w:pStyle w:val="Teksttreci0"/>
        <w:ind w:left="700"/>
        <w:jc w:val="both"/>
      </w:pPr>
      <w:r>
        <w:rPr>
          <w:rStyle w:val="Teksttreci"/>
        </w:rPr>
        <w:t xml:space="preserve">Na przykład osoba, która umyślnie uchyla się od płacenia podatku lub cła w państwie </w:t>
      </w:r>
      <w:r w:rsidR="00A24886">
        <w:rPr>
          <w:rStyle w:val="Teksttreci"/>
        </w:rPr>
        <w:t>wzywającym</w:t>
      </w:r>
      <w:r>
        <w:rPr>
          <w:rStyle w:val="Teksttreci"/>
        </w:rPr>
        <w:t>, podając nieprawdziwe informacje w dokumencie, który służy za podstawę decyzji dotyczącej wysokości tego podatku lub cła, może zostać poddana ekstradycji, jeżeli ten sam rodzaj umyślnego wprowadzenia w błąd organów podatkowych jest</w:t>
      </w:r>
      <w:r w:rsidR="00F128B3">
        <w:rPr>
          <w:rStyle w:val="Teksttreci"/>
        </w:rPr>
        <w:t xml:space="preserve"> zagrożony</w:t>
      </w:r>
      <w:r>
        <w:rPr>
          <w:rStyle w:val="Teksttreci"/>
        </w:rPr>
        <w:t xml:space="preserve"> </w:t>
      </w:r>
      <w:r w:rsidR="00F128B3">
        <w:rPr>
          <w:rStyle w:val="Teksttreci"/>
        </w:rPr>
        <w:t xml:space="preserve">karą </w:t>
      </w:r>
      <w:r>
        <w:rPr>
          <w:rStyle w:val="Teksttreci"/>
        </w:rPr>
        <w:t xml:space="preserve">na mocy prawa państwa wezwanego, nawet jeżeli prawo tego państwa nie odpowiada w pełni prawu państwa </w:t>
      </w:r>
      <w:r w:rsidR="0086407D">
        <w:rPr>
          <w:rStyle w:val="Teksttreci"/>
        </w:rPr>
        <w:t>wzywającego</w:t>
      </w:r>
      <w:r>
        <w:rPr>
          <w:rStyle w:val="Teksttreci"/>
        </w:rPr>
        <w:t>.</w:t>
      </w:r>
    </w:p>
    <w:p w14:paraId="01C94700" w14:textId="77777777" w:rsidR="00EB4EBF" w:rsidRDefault="00816F2F">
      <w:pPr>
        <w:pStyle w:val="Teksttreci0"/>
        <w:numPr>
          <w:ilvl w:val="0"/>
          <w:numId w:val="4"/>
        </w:numPr>
        <w:tabs>
          <w:tab w:val="left" w:pos="1090"/>
        </w:tabs>
        <w:ind w:left="700"/>
        <w:jc w:val="both"/>
      </w:pPr>
      <w:r>
        <w:rPr>
          <w:rStyle w:val="Teksttreci"/>
        </w:rPr>
        <w:t>Z braku definicji pojęcia „przestępstwo skarbowe” wynika, że państwo wezwane ma szeroką swobodę w ocenie ewentualnego charakteru przestępstwa.</w:t>
      </w:r>
    </w:p>
    <w:p w14:paraId="21B58B5E" w14:textId="7DF2A62F" w:rsidR="00EB4EBF" w:rsidRDefault="00816F2F">
      <w:pPr>
        <w:pStyle w:val="Teksttreci0"/>
        <w:numPr>
          <w:ilvl w:val="0"/>
          <w:numId w:val="4"/>
        </w:numPr>
        <w:tabs>
          <w:tab w:val="left" w:pos="1094"/>
        </w:tabs>
        <w:ind w:left="700"/>
        <w:jc w:val="both"/>
      </w:pPr>
      <w:r>
        <w:rPr>
          <w:rStyle w:val="Teksttreci"/>
        </w:rPr>
        <w:t xml:space="preserve">Fakt, że prawo Strony wezwanej nie nakłada tego samego rodzaju podatku lub cła, co prawo Strony wzywającej, </w:t>
      </w:r>
      <w:r w:rsidR="00F128B3">
        <w:rPr>
          <w:rStyle w:val="Teksttreci"/>
        </w:rPr>
        <w:t>nie ma znaczenia na gruncie</w:t>
      </w:r>
      <w:r>
        <w:rPr>
          <w:rStyle w:val="Teksttreci"/>
        </w:rPr>
        <w:t xml:space="preserve"> ust</w:t>
      </w:r>
      <w:r w:rsidR="00876BD7">
        <w:rPr>
          <w:rStyle w:val="Teksttreci"/>
        </w:rPr>
        <w:t>.</w:t>
      </w:r>
      <w:r>
        <w:rPr>
          <w:rStyle w:val="Teksttreci"/>
        </w:rPr>
        <w:t xml:space="preserve"> 2. Nie można odmówić ekstradycji z tego powodu. Również w tym przypadku podstawowym założeniem jest to, że decydujące znaczenie mają </w:t>
      </w:r>
      <w:r w:rsidR="00C34635">
        <w:rPr>
          <w:rStyle w:val="Teksttreci"/>
        </w:rPr>
        <w:t xml:space="preserve">istotne </w:t>
      </w:r>
      <w:r>
        <w:rPr>
          <w:rStyle w:val="Teksttreci"/>
        </w:rPr>
        <w:t>znamiona przestępstwa.</w:t>
      </w:r>
    </w:p>
    <w:p w14:paraId="4CB049C0" w14:textId="3D283638" w:rsidR="00EB4EBF" w:rsidRDefault="00816F2F">
      <w:pPr>
        <w:pStyle w:val="Teksttreci0"/>
        <w:numPr>
          <w:ilvl w:val="0"/>
          <w:numId w:val="4"/>
        </w:numPr>
        <w:tabs>
          <w:tab w:val="left" w:pos="1094"/>
        </w:tabs>
        <w:ind w:left="700"/>
        <w:jc w:val="both"/>
      </w:pPr>
      <w:r>
        <w:rPr>
          <w:rStyle w:val="Teksttreci"/>
        </w:rPr>
        <w:t xml:space="preserve">Ekstradycja w odniesieniu do przestępstw skarbowych jest udzielana „zgodnie z postanowieniami </w:t>
      </w:r>
      <w:r w:rsidR="00C34635">
        <w:rPr>
          <w:rStyle w:val="Teksttreci"/>
        </w:rPr>
        <w:t>konwencji</w:t>
      </w:r>
      <w:r>
        <w:rPr>
          <w:rStyle w:val="Teksttreci"/>
        </w:rPr>
        <w:t xml:space="preserve">”. Podlega zatem warunkom określonym w </w:t>
      </w:r>
      <w:r w:rsidR="00C34635">
        <w:rPr>
          <w:rStyle w:val="Teksttreci"/>
        </w:rPr>
        <w:t>konwencji</w:t>
      </w:r>
      <w:r>
        <w:rPr>
          <w:rStyle w:val="Teksttreci"/>
        </w:rPr>
        <w:t>, w tym dotyczącym wymiaru kary za dane przestępstwo (</w:t>
      </w:r>
      <w:r w:rsidR="00876BD7">
        <w:rPr>
          <w:rStyle w:val="Teksttreci"/>
        </w:rPr>
        <w:t>art.</w:t>
      </w:r>
      <w:r>
        <w:rPr>
          <w:rStyle w:val="Teksttreci"/>
        </w:rPr>
        <w:t xml:space="preserve"> 2 </w:t>
      </w:r>
      <w:r w:rsidR="00C34635">
        <w:rPr>
          <w:rStyle w:val="Teksttreci"/>
        </w:rPr>
        <w:t>konwencji</w:t>
      </w:r>
      <w:r>
        <w:rPr>
          <w:rStyle w:val="Teksttreci"/>
        </w:rPr>
        <w:t>).</w:t>
      </w:r>
    </w:p>
    <w:p w14:paraId="220A28DD" w14:textId="670DE316" w:rsidR="00EB4EBF" w:rsidRDefault="00816F2F">
      <w:pPr>
        <w:pStyle w:val="Nagwek20"/>
        <w:keepNext/>
        <w:keepLines/>
        <w:jc w:val="both"/>
      </w:pPr>
      <w:bookmarkStart w:id="5" w:name="bookmark12"/>
      <w:r w:rsidRPr="008438F3">
        <w:rPr>
          <w:rStyle w:val="Nagwek2"/>
          <w:b/>
          <w:bCs/>
        </w:rPr>
        <w:t xml:space="preserve">Rozdział III - </w:t>
      </w:r>
      <w:r w:rsidR="00F128B3" w:rsidRPr="008438F3">
        <w:rPr>
          <w:rStyle w:val="Nagwek2"/>
          <w:b/>
          <w:bCs/>
        </w:rPr>
        <w:t xml:space="preserve">Orzeczenia </w:t>
      </w:r>
      <w:r w:rsidRPr="008438F3">
        <w:rPr>
          <w:rStyle w:val="Nagwek2"/>
          <w:b/>
          <w:bCs/>
        </w:rPr>
        <w:t>zaoczne</w:t>
      </w:r>
      <w:bookmarkEnd w:id="5"/>
    </w:p>
    <w:p w14:paraId="7ACE5F27" w14:textId="1A9484DA" w:rsidR="00EB4EBF" w:rsidRDefault="00816F2F">
      <w:pPr>
        <w:pStyle w:val="Teksttreci0"/>
        <w:numPr>
          <w:ilvl w:val="0"/>
          <w:numId w:val="4"/>
        </w:numPr>
        <w:tabs>
          <w:tab w:val="left" w:pos="1104"/>
        </w:tabs>
        <w:ind w:left="700"/>
        <w:jc w:val="both"/>
      </w:pPr>
      <w:r>
        <w:rPr>
          <w:rStyle w:val="Teksttreci"/>
        </w:rPr>
        <w:t xml:space="preserve">Rozdział III uzupełnia Europejską konwencję o ekstradycji w odniesieniu do </w:t>
      </w:r>
      <w:r w:rsidR="00F128B3">
        <w:rPr>
          <w:rStyle w:val="Teksttreci"/>
        </w:rPr>
        <w:t xml:space="preserve">orzeczeń </w:t>
      </w:r>
      <w:r>
        <w:rPr>
          <w:rStyle w:val="Teksttreci"/>
        </w:rPr>
        <w:t xml:space="preserve">zaocznych, tj. </w:t>
      </w:r>
      <w:r w:rsidR="00F128B3">
        <w:rPr>
          <w:rStyle w:val="Teksttreci"/>
        </w:rPr>
        <w:t xml:space="preserve">orzeczeń </w:t>
      </w:r>
      <w:r>
        <w:rPr>
          <w:rStyle w:val="Teksttreci"/>
        </w:rPr>
        <w:t>wydanych po rozprawie, na której osoba skazana nie była osobiście obecna.</w:t>
      </w:r>
    </w:p>
    <w:p w14:paraId="5A255633" w14:textId="1D947E5C" w:rsidR="00EB4EBF" w:rsidRPr="008438F3" w:rsidRDefault="00816F2F">
      <w:pPr>
        <w:pStyle w:val="Teksttreci0"/>
        <w:ind w:left="700"/>
        <w:jc w:val="both"/>
      </w:pPr>
      <w:r>
        <w:rPr>
          <w:rStyle w:val="Teksttreci"/>
        </w:rPr>
        <w:t xml:space="preserve">(por. definicja z art. </w:t>
      </w:r>
      <w:r w:rsidRPr="008438F3">
        <w:rPr>
          <w:rStyle w:val="Teksttreci"/>
        </w:rPr>
        <w:t>21</w:t>
      </w:r>
      <w:r w:rsidR="00F128B3" w:rsidRPr="008438F3">
        <w:rPr>
          <w:rStyle w:val="Teksttreci"/>
        </w:rPr>
        <w:t xml:space="preserve"> ust. </w:t>
      </w:r>
      <w:r w:rsidRPr="008438F3">
        <w:rPr>
          <w:rStyle w:val="Teksttreci"/>
        </w:rPr>
        <w:t>2 Europejskiej konwencji o międzynarodowej ważności wyroków karnych). Wyrażenie „</w:t>
      </w:r>
      <w:r w:rsidR="00E25647" w:rsidRPr="00334FC6">
        <w:rPr>
          <w:rStyle w:val="Teksttreci"/>
        </w:rPr>
        <w:t>orzeczenia</w:t>
      </w:r>
      <w:r w:rsidRPr="008438F3">
        <w:rPr>
          <w:rStyle w:val="Teksttreci"/>
        </w:rPr>
        <w:t xml:space="preserve"> zaoczne” oznacza </w:t>
      </w:r>
      <w:r w:rsidR="00E25647" w:rsidRPr="008438F3">
        <w:rPr>
          <w:rStyle w:val="Teksttreci"/>
        </w:rPr>
        <w:t>orzeczenia w znaczeniu ścisłym</w:t>
      </w:r>
      <w:r w:rsidR="00F35AA1" w:rsidRPr="008438F3">
        <w:rPr>
          <w:rStyle w:val="Teksttreci"/>
        </w:rPr>
        <w:t xml:space="preserve"> </w:t>
      </w:r>
      <w:r w:rsidRPr="008438F3">
        <w:rPr>
          <w:rStyle w:val="Teksttreci"/>
        </w:rPr>
        <w:t xml:space="preserve">i nie obejmuje np. </w:t>
      </w:r>
      <w:proofErr w:type="spellStart"/>
      <w:r w:rsidRPr="008438F3">
        <w:rPr>
          <w:rStyle w:val="Teksttreci"/>
          <w:i/>
          <w:iCs/>
        </w:rPr>
        <w:t>ordonnances</w:t>
      </w:r>
      <w:proofErr w:type="spellEnd"/>
      <w:r w:rsidRPr="008438F3">
        <w:rPr>
          <w:rStyle w:val="Teksttreci"/>
          <w:i/>
          <w:iCs/>
        </w:rPr>
        <w:t xml:space="preserve"> </w:t>
      </w:r>
      <w:proofErr w:type="spellStart"/>
      <w:r w:rsidRPr="008438F3">
        <w:rPr>
          <w:rStyle w:val="Teksttreci"/>
          <w:i/>
          <w:iCs/>
        </w:rPr>
        <w:t>p</w:t>
      </w:r>
      <w:r w:rsidR="00E25647" w:rsidRPr="008438F3">
        <w:rPr>
          <w:rStyle w:val="Teksttreci"/>
          <w:i/>
          <w:iCs/>
        </w:rPr>
        <w:t>é</w:t>
      </w:r>
      <w:r w:rsidRPr="008438F3">
        <w:rPr>
          <w:rStyle w:val="Teksttreci"/>
          <w:i/>
          <w:iCs/>
        </w:rPr>
        <w:t>nales</w:t>
      </w:r>
      <w:proofErr w:type="spellEnd"/>
      <w:r w:rsidRPr="008438F3">
        <w:rPr>
          <w:rStyle w:val="Teksttreci"/>
        </w:rPr>
        <w:t>.</w:t>
      </w:r>
    </w:p>
    <w:p w14:paraId="6568C641" w14:textId="5D5C21FA" w:rsidR="00EB4EBF" w:rsidRDefault="00A05DA1">
      <w:pPr>
        <w:pStyle w:val="Teksttreci0"/>
        <w:numPr>
          <w:ilvl w:val="0"/>
          <w:numId w:val="4"/>
        </w:numPr>
        <w:tabs>
          <w:tab w:val="left" w:pos="1104"/>
        </w:tabs>
        <w:ind w:left="700"/>
        <w:jc w:val="both"/>
      </w:pPr>
      <w:r w:rsidRPr="008438F3">
        <w:rPr>
          <w:rStyle w:val="Teksttreci"/>
        </w:rPr>
        <w:t xml:space="preserve">Podkomitet </w:t>
      </w:r>
      <w:r w:rsidR="00816F2F" w:rsidRPr="008438F3">
        <w:rPr>
          <w:rStyle w:val="Teksttreci"/>
        </w:rPr>
        <w:t xml:space="preserve">rozważył najpierw, czy tekst </w:t>
      </w:r>
      <w:r w:rsidR="009B1B7A">
        <w:rPr>
          <w:rStyle w:val="Teksttreci"/>
        </w:rPr>
        <w:t>protoko</w:t>
      </w:r>
      <w:r w:rsidR="00816F2F" w:rsidRPr="008438F3">
        <w:rPr>
          <w:rStyle w:val="Teksttreci"/>
        </w:rPr>
        <w:t xml:space="preserve">łu nie mógłby się opierać na </w:t>
      </w:r>
      <w:r w:rsidR="00876BD7">
        <w:rPr>
          <w:rStyle w:val="Teksttreci"/>
        </w:rPr>
        <w:t>art.</w:t>
      </w:r>
      <w:r w:rsidR="00816F2F" w:rsidRPr="008438F3">
        <w:rPr>
          <w:rStyle w:val="Teksttreci"/>
        </w:rPr>
        <w:t xml:space="preserve"> 21 i </w:t>
      </w:r>
      <w:r w:rsidR="003C026B" w:rsidRPr="008438F3">
        <w:rPr>
          <w:rStyle w:val="Teksttreci"/>
        </w:rPr>
        <w:t xml:space="preserve">n. </w:t>
      </w:r>
      <w:r w:rsidR="00816F2F" w:rsidRPr="008438F3">
        <w:rPr>
          <w:rStyle w:val="Teksttreci"/>
        </w:rPr>
        <w:t xml:space="preserve">Europejskiej konwencji o międzynarodowej ważności wyroków karnych, ponieważ traktowanie niektórych </w:t>
      </w:r>
      <w:r w:rsidR="003C026B" w:rsidRPr="008438F3">
        <w:rPr>
          <w:rStyle w:val="Teksttreci"/>
        </w:rPr>
        <w:t xml:space="preserve">orzeczeń </w:t>
      </w:r>
      <w:r w:rsidR="00816F2F" w:rsidRPr="008438F3">
        <w:rPr>
          <w:rStyle w:val="Teksttreci"/>
        </w:rPr>
        <w:t>zaocznych jako spornych dla celów tej konwencji, a nie dla celów konwencji o ekstradycji, mogłoby być nielogiczne. Uznano</w:t>
      </w:r>
      <w:r w:rsidR="00816F2F">
        <w:rPr>
          <w:rStyle w:val="Teksttreci"/>
        </w:rPr>
        <w:t xml:space="preserve"> jednak, że nie można przenieść mechanizmów tej konwencji na inny kontekst: konwencja ta dotyczy w szczególności wykonania orzeczenia w państwie wezwanym, a nie wzywającym, a specjalna procedura powiadomienia, po której następuje sprzeciw, nie byłaby w rzeczywistości właściwa, ponieważ osoba, której dotyczy wniosek, musiałaby, </w:t>
      </w:r>
      <w:r w:rsidR="00816F2F">
        <w:rPr>
          <w:rStyle w:val="Teksttreci"/>
          <w:i/>
          <w:iCs/>
        </w:rPr>
        <w:t xml:space="preserve">ex </w:t>
      </w:r>
      <w:proofErr w:type="spellStart"/>
      <w:r w:rsidR="00816F2F">
        <w:rPr>
          <w:rStyle w:val="Teksttreci"/>
          <w:i/>
          <w:iCs/>
        </w:rPr>
        <w:t>hypothesi</w:t>
      </w:r>
      <w:proofErr w:type="spellEnd"/>
      <w:r w:rsidR="00816F2F">
        <w:rPr>
          <w:rStyle w:val="Teksttreci"/>
        </w:rPr>
        <w:t xml:space="preserve">, wnieść sprzeciw w państwie, w którym </w:t>
      </w:r>
      <w:r w:rsidR="005E5C3B">
        <w:rPr>
          <w:rStyle w:val="Teksttreci"/>
        </w:rPr>
        <w:t xml:space="preserve">była </w:t>
      </w:r>
      <w:r w:rsidR="00816F2F">
        <w:rPr>
          <w:rStyle w:val="Teksttreci"/>
        </w:rPr>
        <w:t>nieobecna.</w:t>
      </w:r>
    </w:p>
    <w:p w14:paraId="7F8AA2BF" w14:textId="032B54F7" w:rsidR="00EB4EBF" w:rsidRDefault="00816F2F">
      <w:pPr>
        <w:pStyle w:val="Teksttreci0"/>
        <w:numPr>
          <w:ilvl w:val="0"/>
          <w:numId w:val="4"/>
        </w:numPr>
        <w:tabs>
          <w:tab w:val="left" w:pos="1099"/>
        </w:tabs>
        <w:ind w:left="700"/>
        <w:jc w:val="both"/>
      </w:pPr>
      <w:r>
        <w:rPr>
          <w:rStyle w:val="Teksttreci"/>
        </w:rPr>
        <w:t xml:space="preserve">Z tych powodów </w:t>
      </w:r>
      <w:r w:rsidR="00A05DA1">
        <w:rPr>
          <w:rStyle w:val="Teksttreci"/>
        </w:rPr>
        <w:t xml:space="preserve">podkomitet </w:t>
      </w:r>
      <w:r>
        <w:rPr>
          <w:rStyle w:val="Teksttreci"/>
        </w:rPr>
        <w:t xml:space="preserve">postanowił przewidzieć procedurę właściwą dla </w:t>
      </w:r>
      <w:r w:rsidR="00C53EC8">
        <w:rPr>
          <w:rStyle w:val="Teksttreci"/>
        </w:rPr>
        <w:t xml:space="preserve">konwencji </w:t>
      </w:r>
      <w:r>
        <w:rPr>
          <w:rStyle w:val="Teksttreci"/>
        </w:rPr>
        <w:t xml:space="preserve">o ekstradycji. Ustęp 1 rozdziału III pozwala Stronie wezwanej na odmowę ekstradycji, jeżeli postępowanie prowadzące do wydania </w:t>
      </w:r>
      <w:r w:rsidR="003C026B">
        <w:rPr>
          <w:rStyle w:val="Teksttreci"/>
        </w:rPr>
        <w:t xml:space="preserve">orzeczenia </w:t>
      </w:r>
      <w:r>
        <w:rPr>
          <w:rStyle w:val="Teksttreci"/>
        </w:rPr>
        <w:t xml:space="preserve">nie spełniało prawa do obrony </w:t>
      </w:r>
      <w:r w:rsidR="007152E9">
        <w:rPr>
          <w:rStyle w:val="Teksttreci"/>
        </w:rPr>
        <w:t>przysługującego</w:t>
      </w:r>
      <w:r>
        <w:rPr>
          <w:rStyle w:val="Teksttreci"/>
        </w:rPr>
        <w:t xml:space="preserve"> każdemu oskarżonemu o popełnienie przestępstwa. Wyjątkiem od tej zasady jest sytuacja, </w:t>
      </w:r>
      <w:r w:rsidRPr="008E4585">
        <w:rPr>
          <w:rStyle w:val="Teksttreci"/>
        </w:rPr>
        <w:t xml:space="preserve">gdy Strona wzywająca </w:t>
      </w:r>
      <w:r w:rsidR="008E4585" w:rsidRPr="008E4585">
        <w:rPr>
          <w:rStyle w:val="Teksttreci"/>
        </w:rPr>
        <w:t>zagwarantuje w sposób uznany za wystarczający, że sprawa osoby, o której wydanie wnosi, będzie ponownie rozpoznana z zagwarantowaniem praw do obrony</w:t>
      </w:r>
      <w:r>
        <w:rPr>
          <w:rStyle w:val="Teksttreci"/>
        </w:rPr>
        <w:t>: w takim przypadku ekstradycja zostaje udzielona.</w:t>
      </w:r>
    </w:p>
    <w:p w14:paraId="04927240" w14:textId="7527DA3B" w:rsidR="00EB4EBF" w:rsidRDefault="00816F2F">
      <w:pPr>
        <w:pStyle w:val="Teksttreci0"/>
        <w:numPr>
          <w:ilvl w:val="0"/>
          <w:numId w:val="4"/>
        </w:numPr>
        <w:tabs>
          <w:tab w:val="left" w:pos="1114"/>
        </w:tabs>
        <w:spacing w:after="240"/>
        <w:ind w:left="720"/>
        <w:jc w:val="both"/>
      </w:pPr>
      <w:r>
        <w:rPr>
          <w:rStyle w:val="Teksttreci"/>
        </w:rPr>
        <w:t xml:space="preserve">Źródłem tej zmiany jest zastrzeżenie Niderlandów do </w:t>
      </w:r>
      <w:r w:rsidR="002A256D">
        <w:rPr>
          <w:rStyle w:val="Teksttreci"/>
        </w:rPr>
        <w:t>konwencj</w:t>
      </w:r>
      <w:r w:rsidR="006C3D7E">
        <w:rPr>
          <w:rStyle w:val="Teksttreci"/>
        </w:rPr>
        <w:t>i</w:t>
      </w:r>
      <w:r>
        <w:rPr>
          <w:rStyle w:val="Teksttreci"/>
        </w:rPr>
        <w:t xml:space="preserve"> o ekstradycji, zgodnie z którym ekstradycja nie zostałaby udzielona, gdyby osobie, której dotyczy wniosek, nie umożliwiono korzystania z praw określonych w </w:t>
      </w:r>
      <w:r w:rsidR="00334FC6">
        <w:rPr>
          <w:rStyle w:val="Teksttreci"/>
        </w:rPr>
        <w:t>art.</w:t>
      </w:r>
      <w:r>
        <w:rPr>
          <w:rStyle w:val="Teksttreci"/>
        </w:rPr>
        <w:t xml:space="preserve"> 6 ust. 3 lit. c </w:t>
      </w:r>
      <w:r w:rsidR="002A256D">
        <w:rPr>
          <w:rStyle w:val="Teksttreci"/>
        </w:rPr>
        <w:t>konwencji</w:t>
      </w:r>
      <w:r>
        <w:rPr>
          <w:rStyle w:val="Teksttreci"/>
        </w:rPr>
        <w:t xml:space="preserve"> o ochronie praw człowieka. </w:t>
      </w:r>
      <w:r w:rsidR="00A05DA1">
        <w:rPr>
          <w:rStyle w:val="Teksttreci"/>
        </w:rPr>
        <w:t xml:space="preserve">Podkomitet </w:t>
      </w:r>
      <w:r>
        <w:rPr>
          <w:rStyle w:val="Teksttreci"/>
        </w:rPr>
        <w:t>był jednak zdania, że ewentualne zwolnienie z obowiązku ekstradycji powinno mieć zastosowanie w przypadku naruszenia któregokolwiek z powszechnie uznanych praw do obrony, w szczególności tych określonych w cał</w:t>
      </w:r>
      <w:r w:rsidR="003C026B">
        <w:rPr>
          <w:rStyle w:val="Teksttreci"/>
        </w:rPr>
        <w:t xml:space="preserve">ym </w:t>
      </w:r>
      <w:r w:rsidR="00334FC6">
        <w:rPr>
          <w:rStyle w:val="Teksttreci"/>
        </w:rPr>
        <w:t>art.</w:t>
      </w:r>
      <w:r>
        <w:rPr>
          <w:rStyle w:val="Teksttreci"/>
        </w:rPr>
        <w:t xml:space="preserve"> 6</w:t>
      </w:r>
      <w:r w:rsidR="003C026B">
        <w:rPr>
          <w:rStyle w:val="Teksttreci"/>
        </w:rPr>
        <w:t xml:space="preserve"> ust</w:t>
      </w:r>
      <w:r>
        <w:rPr>
          <w:rStyle w:val="Teksttreci"/>
        </w:rPr>
        <w:t>.</w:t>
      </w:r>
      <w:r w:rsidR="003C026B">
        <w:rPr>
          <w:rStyle w:val="Teksttreci"/>
        </w:rPr>
        <w:t xml:space="preserve"> </w:t>
      </w:r>
      <w:r>
        <w:rPr>
          <w:rStyle w:val="Teksttreci"/>
        </w:rPr>
        <w:t xml:space="preserve">3 </w:t>
      </w:r>
      <w:r w:rsidR="002A256D">
        <w:rPr>
          <w:rStyle w:val="Teksttreci"/>
        </w:rPr>
        <w:t>konwencji</w:t>
      </w:r>
      <w:r>
        <w:rPr>
          <w:rStyle w:val="Teksttreci"/>
        </w:rPr>
        <w:t xml:space="preserve"> o ochronie praw człowieka, a nie tylko tych wymienionych w je</w:t>
      </w:r>
      <w:r w:rsidR="004B3051">
        <w:rPr>
          <w:rStyle w:val="Teksttreci"/>
        </w:rPr>
        <w:t>go literze</w:t>
      </w:r>
      <w:r>
        <w:rPr>
          <w:rStyle w:val="Teksttreci"/>
        </w:rPr>
        <w:t xml:space="preserve"> c. Ponadto zastrzeżenie Niderlandów odnosi się jedynie do ekstradycji w celu wykonania </w:t>
      </w:r>
      <w:r w:rsidR="007835C7">
        <w:rPr>
          <w:rStyle w:val="Teksttreci"/>
        </w:rPr>
        <w:t xml:space="preserve">orzeczenia </w:t>
      </w:r>
      <w:r>
        <w:rPr>
          <w:rStyle w:val="Teksttreci"/>
        </w:rPr>
        <w:t xml:space="preserve">zaocznego; należy </w:t>
      </w:r>
      <w:r>
        <w:rPr>
          <w:rStyle w:val="Teksttreci"/>
        </w:rPr>
        <w:lastRenderedPageBreak/>
        <w:t xml:space="preserve">sprecyzować, że jeżeli nie ma już obowiązku ekstradycji w tym celu, to pod pewnymi warunkami nadal będzie istniał obowiązek ekstradycji w celu umożliwienia państwu wzywającemu </w:t>
      </w:r>
      <w:r w:rsidR="00334FC6" w:rsidRPr="00A10D7B">
        <w:rPr>
          <w:rStyle w:val="Teksttreci"/>
        </w:rPr>
        <w:t>wszczęcie</w:t>
      </w:r>
      <w:r w:rsidRPr="00A10D7B">
        <w:rPr>
          <w:rStyle w:val="Teksttreci"/>
        </w:rPr>
        <w:t xml:space="preserve"> postępowania.</w:t>
      </w:r>
    </w:p>
    <w:p w14:paraId="0135B448" w14:textId="34623A4F" w:rsidR="00EB4EBF" w:rsidRDefault="00913ABE">
      <w:pPr>
        <w:pStyle w:val="Teksttreci0"/>
        <w:numPr>
          <w:ilvl w:val="0"/>
          <w:numId w:val="4"/>
        </w:numPr>
        <w:tabs>
          <w:tab w:val="left" w:pos="1124"/>
        </w:tabs>
        <w:spacing w:after="240"/>
        <w:ind w:left="720"/>
        <w:jc w:val="both"/>
      </w:pPr>
      <w:r>
        <w:rPr>
          <w:rStyle w:val="Teksttreci"/>
        </w:rPr>
        <w:t>Co się tyczy</w:t>
      </w:r>
      <w:r w:rsidR="00816F2F">
        <w:rPr>
          <w:rStyle w:val="Teksttreci"/>
        </w:rPr>
        <w:t xml:space="preserve"> odniesienia do „prawa do obrony </w:t>
      </w:r>
      <w:r w:rsidR="007152E9">
        <w:rPr>
          <w:rStyle w:val="Teksttreci"/>
        </w:rPr>
        <w:t xml:space="preserve">przysługującego </w:t>
      </w:r>
      <w:r w:rsidR="00816F2F">
        <w:rPr>
          <w:rStyle w:val="Teksttreci"/>
        </w:rPr>
        <w:t xml:space="preserve">każdemu oskarżonemu o popełnienie przestępstwa” należy zauważyć, że w dniu 21 maja 1975 r. Komitet Ministrów Rady Europy przyjął rezolucję (75) 11 w sprawie kryteriów regulujących postępowanie prowadzone pod nieobecność oskarżonego. Rezolucja ta zaleca rządom państw członkowskich stosowanie szeregu minimalnych zasad, gdy proces odbywa się pod nieobecność oskarżonego. Te minimalne zasady mają na celu zagwarantowanie praw oskarżonego określonych w Europejskiej konwencji o ochronie praw człowieka i podstawowych wolności i mogą służyć do określenia zakresu zwrotu „prawo do obrony” użytego w rozdziale III. Odniesienie do prawa do obrony </w:t>
      </w:r>
      <w:r w:rsidR="00A10D7B">
        <w:rPr>
          <w:rStyle w:val="Teksttreci"/>
        </w:rPr>
        <w:t>przysługującego</w:t>
      </w:r>
      <w:r w:rsidR="00B6200E">
        <w:rPr>
          <w:rStyle w:val="Teksttreci"/>
        </w:rPr>
        <w:t xml:space="preserve"> </w:t>
      </w:r>
      <w:r w:rsidR="00816F2F">
        <w:rPr>
          <w:rStyle w:val="Teksttreci"/>
        </w:rPr>
        <w:t xml:space="preserve">„każdemu oskarżonemu o popełnienie przestępstwa” zostało w istocie zaczerpnięte z </w:t>
      </w:r>
      <w:r w:rsidR="002A256D">
        <w:rPr>
          <w:rStyle w:val="Teksttreci"/>
        </w:rPr>
        <w:t>konwencji</w:t>
      </w:r>
      <w:r w:rsidR="00816F2F">
        <w:rPr>
          <w:rStyle w:val="Teksttreci"/>
        </w:rPr>
        <w:t xml:space="preserve"> o ochronie praw człowieka i ma obejmować w szczególności prawa w niej określone.</w:t>
      </w:r>
    </w:p>
    <w:p w14:paraId="0451D606" w14:textId="489AFB50" w:rsidR="00EB4EBF" w:rsidRPr="00C558C0" w:rsidRDefault="00B6200E">
      <w:pPr>
        <w:pStyle w:val="Teksttreci0"/>
        <w:numPr>
          <w:ilvl w:val="0"/>
          <w:numId w:val="4"/>
        </w:numPr>
        <w:tabs>
          <w:tab w:val="left" w:pos="1114"/>
        </w:tabs>
        <w:spacing w:after="240"/>
        <w:ind w:left="720"/>
        <w:jc w:val="both"/>
      </w:pPr>
      <w:r>
        <w:rPr>
          <w:rStyle w:val="Teksttreci"/>
        </w:rPr>
        <w:t>Poczyniono odwołanie</w:t>
      </w:r>
      <w:r w:rsidR="00816F2F">
        <w:rPr>
          <w:rStyle w:val="Teksttreci"/>
        </w:rPr>
        <w:t xml:space="preserve"> </w:t>
      </w:r>
      <w:r w:rsidR="00816F2F" w:rsidRPr="00C558C0">
        <w:rPr>
          <w:rStyle w:val="Teksttreci"/>
        </w:rPr>
        <w:t xml:space="preserve">do celu wniosku o ekstradycję, ponieważ </w:t>
      </w:r>
      <w:r w:rsidR="00876BD7">
        <w:rPr>
          <w:rStyle w:val="Teksttreci"/>
        </w:rPr>
        <w:t>art.</w:t>
      </w:r>
      <w:r w:rsidR="00816F2F" w:rsidRPr="00C558C0">
        <w:rPr>
          <w:rStyle w:val="Teksttreci"/>
        </w:rPr>
        <w:t xml:space="preserve"> 1 </w:t>
      </w:r>
      <w:r w:rsidRPr="00C558C0">
        <w:rPr>
          <w:rStyle w:val="Teksttreci"/>
        </w:rPr>
        <w:t>k</w:t>
      </w:r>
      <w:r w:rsidR="00816F2F" w:rsidRPr="00C558C0">
        <w:rPr>
          <w:rStyle w:val="Teksttreci"/>
        </w:rPr>
        <w:t>onwencji rozróżnia wnioski w celu wykonania orzeczenia i wnioski w celu podjęcia postępowania.</w:t>
      </w:r>
    </w:p>
    <w:p w14:paraId="528C4992" w14:textId="65DE141B" w:rsidR="00EB4EBF" w:rsidRDefault="00816F2F">
      <w:pPr>
        <w:pStyle w:val="Teksttreci0"/>
        <w:numPr>
          <w:ilvl w:val="0"/>
          <w:numId w:val="4"/>
        </w:numPr>
        <w:tabs>
          <w:tab w:val="left" w:pos="1119"/>
        </w:tabs>
        <w:spacing w:after="240"/>
        <w:ind w:left="720"/>
        <w:jc w:val="both"/>
      </w:pPr>
      <w:r w:rsidRPr="00C558C0">
        <w:rPr>
          <w:rStyle w:val="Teksttreci"/>
        </w:rPr>
        <w:t>Sformułowanie „je</w:t>
      </w:r>
      <w:r w:rsidR="00175C59" w:rsidRPr="00A10D7B">
        <w:rPr>
          <w:rStyle w:val="Teksttreci"/>
        </w:rPr>
        <w:t>żeli uzna</w:t>
      </w:r>
      <w:r w:rsidRPr="00C558C0">
        <w:rPr>
          <w:rStyle w:val="Teksttreci"/>
        </w:rPr>
        <w:t>” ma</w:t>
      </w:r>
      <w:r>
        <w:rPr>
          <w:rStyle w:val="Teksttreci"/>
        </w:rPr>
        <w:t xml:space="preserve"> podkreślić, że to do Strony wezwanej należy ocena, czy postępowanie prowadzące do wydania orzeczenia (a nie samo orzeczenie) czyniło zadość prawu do obrony. Jeśli Strona wezwana ma w tej kwestii wątpliwości, </w:t>
      </w:r>
      <w:r w:rsidR="006A2718">
        <w:rPr>
          <w:rStyle w:val="Teksttreci"/>
        </w:rPr>
        <w:t xml:space="preserve">Strona wzywająca </w:t>
      </w:r>
      <w:r>
        <w:rPr>
          <w:rStyle w:val="Teksttreci"/>
        </w:rPr>
        <w:t xml:space="preserve">musi spróbować je rozwiać, ale w </w:t>
      </w:r>
      <w:r w:rsidR="006A2718">
        <w:rPr>
          <w:rStyle w:val="Teksttreci"/>
        </w:rPr>
        <w:t xml:space="preserve">każdym </w:t>
      </w:r>
      <w:r>
        <w:rPr>
          <w:rStyle w:val="Teksttreci"/>
        </w:rPr>
        <w:t xml:space="preserve">razie </w:t>
      </w:r>
      <w:r w:rsidR="006A2718">
        <w:rPr>
          <w:rStyle w:val="Teksttreci"/>
        </w:rPr>
        <w:t xml:space="preserve">to </w:t>
      </w:r>
      <w:r>
        <w:rPr>
          <w:rStyle w:val="Teksttreci"/>
        </w:rPr>
        <w:t>na Stronie wezwanej spoczywa obowiązek powiedzenia, dlaczego uważa postępowanie za niezadowalające.</w:t>
      </w:r>
    </w:p>
    <w:p w14:paraId="6AEF3D83" w14:textId="41E77C6E" w:rsidR="00EB4EBF" w:rsidRDefault="00816F2F">
      <w:pPr>
        <w:pStyle w:val="Teksttreci0"/>
        <w:numPr>
          <w:ilvl w:val="0"/>
          <w:numId w:val="4"/>
        </w:numPr>
        <w:tabs>
          <w:tab w:val="left" w:pos="1114"/>
        </w:tabs>
        <w:spacing w:after="240"/>
        <w:ind w:left="720"/>
        <w:jc w:val="both"/>
      </w:pPr>
      <w:r>
        <w:rPr>
          <w:rStyle w:val="Teksttreci"/>
        </w:rPr>
        <w:t xml:space="preserve">Jeżeli Strona wezwana stwierdzi trudności w ekstradycji, aby umożliwić Stronie wzywającej wykonanie orzeczenia, konieczne będą nowe kontakty między państwami. Strona wezwana jest zobowiązana do ekstradycji, jeżeli otrzyma zapewnienie we wskazanym rodzaju; zapewnienie takie musi obejmować nie tylko dostępność środka </w:t>
      </w:r>
      <w:r w:rsidR="006A2718">
        <w:rPr>
          <w:rStyle w:val="Teksttreci"/>
        </w:rPr>
        <w:t xml:space="preserve">naprawczego </w:t>
      </w:r>
      <w:r>
        <w:rPr>
          <w:rStyle w:val="Teksttreci"/>
        </w:rPr>
        <w:t xml:space="preserve">w postaci </w:t>
      </w:r>
      <w:r w:rsidR="00C558C0">
        <w:rPr>
          <w:rStyle w:val="Teksttreci"/>
        </w:rPr>
        <w:t>ponownego rozpoznania sprawy</w:t>
      </w:r>
      <w:r>
        <w:rPr>
          <w:rStyle w:val="Teksttreci"/>
        </w:rPr>
        <w:t>, ale również skuteczność tego środka.</w:t>
      </w:r>
    </w:p>
    <w:p w14:paraId="7717B283" w14:textId="019007F4" w:rsidR="00EB4EBF" w:rsidRDefault="00816F2F">
      <w:pPr>
        <w:pStyle w:val="Teksttreci0"/>
        <w:spacing w:after="240"/>
        <w:ind w:left="720"/>
        <w:jc w:val="both"/>
      </w:pPr>
      <w:r>
        <w:rPr>
          <w:rStyle w:val="Teksttreci"/>
        </w:rPr>
        <w:t xml:space="preserve">Po </w:t>
      </w:r>
      <w:r w:rsidR="00A05DA1">
        <w:rPr>
          <w:rStyle w:val="Teksttreci"/>
        </w:rPr>
        <w:t xml:space="preserve">dokonaniu </w:t>
      </w:r>
      <w:r>
        <w:rPr>
          <w:rStyle w:val="Teksttreci"/>
        </w:rPr>
        <w:t>wydani</w:t>
      </w:r>
      <w:r w:rsidR="00A05DA1">
        <w:rPr>
          <w:rStyle w:val="Teksttreci"/>
        </w:rPr>
        <w:t>a</w:t>
      </w:r>
      <w:r>
        <w:rPr>
          <w:rStyle w:val="Teksttreci"/>
        </w:rPr>
        <w:t xml:space="preserve"> w </w:t>
      </w:r>
      <w:r w:rsidR="00A05DA1">
        <w:rPr>
          <w:rStyle w:val="Teksttreci"/>
        </w:rPr>
        <w:t xml:space="preserve">ramach </w:t>
      </w:r>
      <w:r>
        <w:rPr>
          <w:rStyle w:val="Teksttreci"/>
        </w:rPr>
        <w:t xml:space="preserve">zobowiązań Strony wezwanej do ekstradycji po otrzymaniu wystarczających zapewnień, dana osoba może oczywiście zaakceptować </w:t>
      </w:r>
      <w:r w:rsidR="006A2718">
        <w:rPr>
          <w:rStyle w:val="Teksttreci"/>
        </w:rPr>
        <w:t>orzeczenie</w:t>
      </w:r>
      <w:r>
        <w:rPr>
          <w:rStyle w:val="Teksttreci"/>
        </w:rPr>
        <w:t xml:space="preserve"> </w:t>
      </w:r>
      <w:r w:rsidR="006A2718">
        <w:rPr>
          <w:rStyle w:val="Teksttreci"/>
        </w:rPr>
        <w:t xml:space="preserve">wydane </w:t>
      </w:r>
      <w:r>
        <w:rPr>
          <w:rStyle w:val="Teksttreci"/>
        </w:rPr>
        <w:t xml:space="preserve">przeciwko niej pod jej nieobecność lub zażądać </w:t>
      </w:r>
      <w:r w:rsidR="001B380B">
        <w:rPr>
          <w:rStyle w:val="Teksttreci"/>
        </w:rPr>
        <w:t>ponownego rozpoznania sprawy</w:t>
      </w:r>
      <w:r>
        <w:rPr>
          <w:rStyle w:val="Teksttreci"/>
        </w:rPr>
        <w:t xml:space="preserve">. </w:t>
      </w:r>
      <w:r w:rsidR="00C558C0">
        <w:rPr>
          <w:rStyle w:val="Teksttreci"/>
        </w:rPr>
        <w:t>Jasno wynika to z</w:t>
      </w:r>
      <w:r>
        <w:rPr>
          <w:rStyle w:val="Teksttreci"/>
        </w:rPr>
        <w:t xml:space="preserve"> ostatni</w:t>
      </w:r>
      <w:r w:rsidR="00C558C0">
        <w:rPr>
          <w:rStyle w:val="Teksttreci"/>
        </w:rPr>
        <w:t>ego</w:t>
      </w:r>
      <w:r>
        <w:rPr>
          <w:rStyle w:val="Teksttreci"/>
        </w:rPr>
        <w:t xml:space="preserve"> zdani</w:t>
      </w:r>
      <w:r w:rsidR="00C558C0">
        <w:rPr>
          <w:rStyle w:val="Teksttreci"/>
        </w:rPr>
        <w:t>a</w:t>
      </w:r>
      <w:r>
        <w:rPr>
          <w:rStyle w:val="Teksttreci"/>
        </w:rPr>
        <w:t xml:space="preserve"> rozdziału III.</w:t>
      </w:r>
    </w:p>
    <w:p w14:paraId="63284965" w14:textId="641FADDA" w:rsidR="00EB4EBF" w:rsidRDefault="00816F2F">
      <w:pPr>
        <w:pStyle w:val="Teksttreci0"/>
        <w:spacing w:after="240"/>
        <w:ind w:left="720"/>
        <w:jc w:val="both"/>
      </w:pPr>
      <w:r>
        <w:rPr>
          <w:rStyle w:val="Teksttreci"/>
        </w:rPr>
        <w:t xml:space="preserve">Jeżeli prawo wewnętrzne Strony wzywającej nie zezwala na </w:t>
      </w:r>
      <w:r w:rsidR="00C558C0">
        <w:rPr>
          <w:rStyle w:val="Teksttreci"/>
        </w:rPr>
        <w:t>ponowne rozpoznanie sprawy</w:t>
      </w:r>
      <w:r>
        <w:rPr>
          <w:rStyle w:val="Teksttreci"/>
        </w:rPr>
        <w:t>, Strona wezwana nie ma obowiązku dokonania ekstradycji.</w:t>
      </w:r>
    </w:p>
    <w:p w14:paraId="1B9480A2" w14:textId="4418AD28" w:rsidR="00EB4EBF" w:rsidRDefault="00816F2F">
      <w:pPr>
        <w:pStyle w:val="Teksttreci0"/>
        <w:numPr>
          <w:ilvl w:val="0"/>
          <w:numId w:val="4"/>
        </w:numPr>
        <w:tabs>
          <w:tab w:val="left" w:pos="1114"/>
        </w:tabs>
        <w:spacing w:after="240"/>
        <w:ind w:left="720"/>
        <w:jc w:val="both"/>
      </w:pPr>
      <w:r>
        <w:rPr>
          <w:rStyle w:val="Teksttreci"/>
        </w:rPr>
        <w:t>Rozdział III przewiduje kolejny sposób wzmocnienia interesów prawnych osoby, która ma zostać poddana ekstradycji, stwierdzając w ust</w:t>
      </w:r>
      <w:r w:rsidR="00876BD7">
        <w:rPr>
          <w:rStyle w:val="Teksttreci"/>
        </w:rPr>
        <w:t>.</w:t>
      </w:r>
      <w:r>
        <w:rPr>
          <w:rStyle w:val="Teksttreci"/>
        </w:rPr>
        <w:t xml:space="preserve"> 2, że </w:t>
      </w:r>
      <w:r w:rsidR="00956CC1">
        <w:rPr>
          <w:rStyle w:val="Teksttreci"/>
        </w:rPr>
        <w:t xml:space="preserve">zawiadomienie o </w:t>
      </w:r>
      <w:r w:rsidR="00A05DA1">
        <w:rPr>
          <w:rStyle w:val="Teksttreci"/>
        </w:rPr>
        <w:t>orzeczeni</w:t>
      </w:r>
      <w:r w:rsidR="00956CC1">
        <w:rPr>
          <w:rStyle w:val="Teksttreci"/>
        </w:rPr>
        <w:t>u</w:t>
      </w:r>
      <w:r w:rsidR="00A05DA1">
        <w:rPr>
          <w:rStyle w:val="Teksttreci"/>
        </w:rPr>
        <w:t xml:space="preserve"> </w:t>
      </w:r>
      <w:r>
        <w:rPr>
          <w:rStyle w:val="Teksttreci"/>
        </w:rPr>
        <w:t>zaoczn</w:t>
      </w:r>
      <w:r w:rsidR="00956CC1">
        <w:rPr>
          <w:rStyle w:val="Teksttreci"/>
        </w:rPr>
        <w:t>ym</w:t>
      </w:r>
      <w:r>
        <w:rPr>
          <w:rStyle w:val="Teksttreci"/>
        </w:rPr>
        <w:t xml:space="preserve"> nie </w:t>
      </w:r>
      <w:r w:rsidR="00956CC1">
        <w:rPr>
          <w:rStyle w:val="Teksttreci"/>
        </w:rPr>
        <w:t>może być</w:t>
      </w:r>
      <w:r>
        <w:rPr>
          <w:rStyle w:val="Teksttreci"/>
        </w:rPr>
        <w:t xml:space="preserve"> traktowane przez państwo wzywające jako formalne </w:t>
      </w:r>
      <w:r w:rsidR="00956CC1">
        <w:rPr>
          <w:rStyle w:val="Teksttreci"/>
        </w:rPr>
        <w:t>doręczenie</w:t>
      </w:r>
      <w:r>
        <w:rPr>
          <w:rStyle w:val="Teksttreci"/>
        </w:rPr>
        <w:t xml:space="preserve">. Głównym celem tego </w:t>
      </w:r>
      <w:r w:rsidR="00956CC1">
        <w:rPr>
          <w:rStyle w:val="Teksttreci"/>
        </w:rPr>
        <w:t xml:space="preserve">postanowienia </w:t>
      </w:r>
      <w:r>
        <w:rPr>
          <w:rStyle w:val="Teksttreci"/>
        </w:rPr>
        <w:t xml:space="preserve">jest zapewnienie, </w:t>
      </w:r>
      <w:r w:rsidR="00A05DA1">
        <w:rPr>
          <w:rStyle w:val="Teksttreci"/>
        </w:rPr>
        <w:t xml:space="preserve">aby </w:t>
      </w:r>
      <w:r>
        <w:rPr>
          <w:rStyle w:val="Teksttreci"/>
        </w:rPr>
        <w:t xml:space="preserve">osoba, która ma </w:t>
      </w:r>
      <w:r w:rsidR="00A05DA1">
        <w:rPr>
          <w:rStyle w:val="Teksttreci"/>
        </w:rPr>
        <w:t>podlegać</w:t>
      </w:r>
      <w:r>
        <w:rPr>
          <w:rStyle w:val="Teksttreci"/>
        </w:rPr>
        <w:t xml:space="preserve"> ekstradycji, nie miała </w:t>
      </w:r>
      <w:r w:rsidR="003729A2">
        <w:rPr>
          <w:rStyle w:val="Teksttreci"/>
        </w:rPr>
        <w:t xml:space="preserve">tylko </w:t>
      </w:r>
      <w:r>
        <w:rPr>
          <w:rStyle w:val="Teksttreci"/>
        </w:rPr>
        <w:t>bardzo krótkiego czasu na wniesienie sprzeciwu, podczas gdy formalności związane z jej wydaniem mogą trwać kilka tygodni lub miesięcy.</w:t>
      </w:r>
    </w:p>
    <w:p w14:paraId="2B1791A2" w14:textId="310182D3" w:rsidR="00EB4EBF" w:rsidRDefault="00816F2F">
      <w:pPr>
        <w:pStyle w:val="Teksttreci0"/>
        <w:ind w:left="720"/>
        <w:jc w:val="both"/>
      </w:pPr>
      <w:r>
        <w:rPr>
          <w:rStyle w:val="Teksttreci"/>
        </w:rPr>
        <w:t xml:space="preserve">Ponadto w niektórych państwach sprzeciw wniesiony przez </w:t>
      </w:r>
      <w:r w:rsidRPr="00A10D7B">
        <w:rPr>
          <w:rStyle w:val="Teksttreci"/>
        </w:rPr>
        <w:t xml:space="preserve">osobę skazaną unieważnia </w:t>
      </w:r>
      <w:r w:rsidR="00A05DA1" w:rsidRPr="00A10D7B">
        <w:rPr>
          <w:rStyle w:val="Teksttreci"/>
        </w:rPr>
        <w:t xml:space="preserve">orzeczenie </w:t>
      </w:r>
      <w:r w:rsidRPr="00A10D7B">
        <w:rPr>
          <w:rStyle w:val="Teksttreci"/>
        </w:rPr>
        <w:t>zaoczn</w:t>
      </w:r>
      <w:r w:rsidR="00A05DA1" w:rsidRPr="00A10D7B">
        <w:rPr>
          <w:rStyle w:val="Teksttreci"/>
        </w:rPr>
        <w:t>e</w:t>
      </w:r>
      <w:r w:rsidRPr="00A10D7B">
        <w:rPr>
          <w:rStyle w:val="Teksttreci"/>
        </w:rPr>
        <w:t xml:space="preserve">, w związku z czym państwa te uwzględniają jedynie przedawnienie </w:t>
      </w:r>
      <w:r w:rsidR="008A670F" w:rsidRPr="00A10D7B">
        <w:rPr>
          <w:rStyle w:val="Teksttreci"/>
        </w:rPr>
        <w:t>ścigania</w:t>
      </w:r>
      <w:r w:rsidRPr="00A10D7B">
        <w:rPr>
          <w:rStyle w:val="Teksttreci"/>
        </w:rPr>
        <w:t xml:space="preserve">. Inni kierują się zasadą, że należy brać pod uwagę jedynie przedawnienie karalności. Ponieważ ogólnie prawdą jest, że przedawnienie następuje wcześniej w odniesieniu do postępowania niż w odniesieniu do </w:t>
      </w:r>
      <w:r w:rsidR="00A05DA1" w:rsidRPr="00A10D7B">
        <w:rPr>
          <w:rStyle w:val="Teksttreci"/>
        </w:rPr>
        <w:t>orzeczenia</w:t>
      </w:r>
      <w:r w:rsidRPr="00A10D7B">
        <w:rPr>
          <w:rStyle w:val="Teksttreci"/>
        </w:rPr>
        <w:t>, sprzeciw osoby skazanej (w przypadku</w:t>
      </w:r>
      <w:r>
        <w:rPr>
          <w:rStyle w:val="Teksttreci"/>
        </w:rPr>
        <w:t xml:space="preserve"> formalnego </w:t>
      </w:r>
      <w:r w:rsidR="004F0618">
        <w:rPr>
          <w:rStyle w:val="Teksttreci"/>
        </w:rPr>
        <w:t xml:space="preserve">doręczenia </w:t>
      </w:r>
      <w:r>
        <w:rPr>
          <w:rStyle w:val="Teksttreci"/>
        </w:rPr>
        <w:t>w państwie wezwanym) może uniemożliwić ekstradycję, jeżeli państwo wzywające i państwo wezwane nie przestrzegają tej samej zasady w kwestiach przedawnienia.</w:t>
      </w:r>
    </w:p>
    <w:p w14:paraId="423AB1F8" w14:textId="65E30035" w:rsidR="00EB4EBF" w:rsidRDefault="00816F2F">
      <w:pPr>
        <w:pStyle w:val="Teksttreci0"/>
        <w:ind w:left="720"/>
        <w:jc w:val="both"/>
      </w:pPr>
      <w:r>
        <w:rPr>
          <w:rStyle w:val="Teksttreci"/>
        </w:rPr>
        <w:t xml:space="preserve">Nie ulega wątpliwości, że </w:t>
      </w:r>
      <w:r w:rsidR="00475684">
        <w:rPr>
          <w:rStyle w:val="Teksttreci"/>
        </w:rPr>
        <w:t>postanowienie to</w:t>
      </w:r>
      <w:r>
        <w:rPr>
          <w:rStyle w:val="Teksttreci"/>
        </w:rPr>
        <w:t xml:space="preserve"> ma zastosowanie wyłącznie do powiadomienia dokonanego w następstwie wniosku o ekstradycję osoby wymienionej w </w:t>
      </w:r>
      <w:r w:rsidR="00A05DA1">
        <w:rPr>
          <w:rStyle w:val="Teksttreci"/>
        </w:rPr>
        <w:t xml:space="preserve">orzeczeniu </w:t>
      </w:r>
      <w:r>
        <w:rPr>
          <w:rStyle w:val="Teksttreci"/>
        </w:rPr>
        <w:t>zaocznym.</w:t>
      </w:r>
    </w:p>
    <w:p w14:paraId="60CA40D2" w14:textId="77777777" w:rsidR="00EB4EBF" w:rsidRPr="008E3BB6" w:rsidRDefault="00816F2F">
      <w:pPr>
        <w:pStyle w:val="Nagwek20"/>
        <w:keepNext/>
        <w:keepLines/>
        <w:jc w:val="both"/>
      </w:pPr>
      <w:bookmarkStart w:id="6" w:name="bookmark14"/>
      <w:r w:rsidRPr="008E3BB6">
        <w:rPr>
          <w:rStyle w:val="Nagwek2"/>
          <w:b/>
          <w:bCs/>
        </w:rPr>
        <w:lastRenderedPageBreak/>
        <w:t>Rozdział IV - Amnestia</w:t>
      </w:r>
      <w:bookmarkEnd w:id="6"/>
    </w:p>
    <w:p w14:paraId="4A25AE4D" w14:textId="14EC0DFC" w:rsidR="00EB4EBF" w:rsidRDefault="00816F2F">
      <w:pPr>
        <w:pStyle w:val="Teksttreci0"/>
        <w:numPr>
          <w:ilvl w:val="0"/>
          <w:numId w:val="4"/>
        </w:numPr>
        <w:tabs>
          <w:tab w:val="left" w:pos="1114"/>
        </w:tabs>
        <w:ind w:left="720"/>
        <w:jc w:val="both"/>
      </w:pPr>
      <w:r>
        <w:rPr>
          <w:rStyle w:val="Teksttreci"/>
        </w:rPr>
        <w:t xml:space="preserve">Rozdział IV dotyczy kwestii, czy amnestia udzielona w państwie wezwanym stanowi podstawę do odmowy ekstradycji. </w:t>
      </w:r>
      <w:r w:rsidR="002A256D">
        <w:rPr>
          <w:rStyle w:val="Teksttreci"/>
        </w:rPr>
        <w:t>konwencj</w:t>
      </w:r>
      <w:r>
        <w:rPr>
          <w:rStyle w:val="Teksttreci"/>
        </w:rPr>
        <w:t xml:space="preserve">a nie </w:t>
      </w:r>
      <w:r w:rsidR="00A05DA1">
        <w:rPr>
          <w:rStyle w:val="Teksttreci"/>
        </w:rPr>
        <w:t>reguluje</w:t>
      </w:r>
      <w:r>
        <w:rPr>
          <w:rStyle w:val="Teksttreci"/>
        </w:rPr>
        <w:t xml:space="preserve"> tej kwestii. Protokół oferuje obecnie rozwiązanie oparte na przykładach zawartych już w niektórych dwustronnych umowach o ekstradycji.</w:t>
      </w:r>
    </w:p>
    <w:p w14:paraId="229C9D09" w14:textId="77777777" w:rsidR="00EB4EBF" w:rsidRDefault="00816F2F">
      <w:pPr>
        <w:pStyle w:val="Teksttreci0"/>
        <w:numPr>
          <w:ilvl w:val="0"/>
          <w:numId w:val="4"/>
        </w:numPr>
        <w:tabs>
          <w:tab w:val="left" w:pos="1110"/>
        </w:tabs>
        <w:ind w:left="720"/>
        <w:jc w:val="both"/>
      </w:pPr>
      <w:r>
        <w:rPr>
          <w:rStyle w:val="Teksttreci"/>
        </w:rPr>
        <w:t>Rozdział IV nie dotyczy amnestii w Stronie wzywającej, ponieważ podkomitet uznał za mało prawdopodobne, aby państwo wystąpiło o ekstradycję za przestępstwo, w odniesieniu do którego wcześniej udzieliło amnestii.</w:t>
      </w:r>
    </w:p>
    <w:p w14:paraId="6D412CAC" w14:textId="15CDECDD" w:rsidR="00EB4EBF" w:rsidRDefault="00816F2F">
      <w:pPr>
        <w:pStyle w:val="Teksttreci0"/>
        <w:numPr>
          <w:ilvl w:val="0"/>
          <w:numId w:val="4"/>
        </w:numPr>
        <w:tabs>
          <w:tab w:val="left" w:pos="1119"/>
        </w:tabs>
        <w:ind w:left="720"/>
        <w:jc w:val="both"/>
      </w:pPr>
      <w:r>
        <w:rPr>
          <w:rStyle w:val="Teksttreci"/>
        </w:rPr>
        <w:t xml:space="preserve">Amnestia (odnosząca się bądź do ścigania karnego, bądź do wykonywania wyroków) na terytorium Strony wezwanej stanowi przeszkodę dla ekstradycji tylko wtedy, gdy państwo to posiada jurysdykcję nad przestępstwem równolegle z państwem wzywającym (np. </w:t>
      </w:r>
      <w:r w:rsidR="00BE038A">
        <w:rPr>
          <w:rStyle w:val="Teksttreci"/>
        </w:rPr>
        <w:t>ze względu na</w:t>
      </w:r>
      <w:r>
        <w:rPr>
          <w:rStyle w:val="Teksttreci"/>
        </w:rPr>
        <w:t xml:space="preserve"> </w:t>
      </w:r>
      <w:r w:rsidR="004063E2">
        <w:rPr>
          <w:rStyle w:val="Teksttreci"/>
        </w:rPr>
        <w:t>zasadę narodowości podmiotowej i przedmiotowej).</w:t>
      </w:r>
    </w:p>
    <w:p w14:paraId="785BAA7B" w14:textId="77777777" w:rsidR="00EB4EBF" w:rsidRDefault="00816F2F">
      <w:pPr>
        <w:pStyle w:val="Nagwek20"/>
        <w:keepNext/>
        <w:keepLines/>
        <w:jc w:val="both"/>
      </w:pPr>
      <w:bookmarkStart w:id="7" w:name="bookmark16"/>
      <w:r>
        <w:rPr>
          <w:rStyle w:val="Nagwek2"/>
          <w:b/>
          <w:bCs/>
        </w:rPr>
        <w:t>Rozdział V - Przekazywanie wniosków o ekstradycję</w:t>
      </w:r>
      <w:bookmarkEnd w:id="7"/>
    </w:p>
    <w:p w14:paraId="6FA83561" w14:textId="4E36A978" w:rsidR="00EB4EBF" w:rsidRDefault="00816F2F">
      <w:pPr>
        <w:pStyle w:val="Teksttreci0"/>
        <w:numPr>
          <w:ilvl w:val="0"/>
          <w:numId w:val="4"/>
        </w:numPr>
        <w:tabs>
          <w:tab w:val="left" w:pos="1114"/>
        </w:tabs>
        <w:ind w:left="720"/>
        <w:jc w:val="both"/>
      </w:pPr>
      <w:r>
        <w:rPr>
          <w:rStyle w:val="Teksttreci"/>
        </w:rPr>
        <w:t>Zgodnie z art. 12</w:t>
      </w:r>
      <w:r w:rsidR="00BE038A">
        <w:rPr>
          <w:rStyle w:val="Teksttreci"/>
        </w:rPr>
        <w:t xml:space="preserve"> ust</w:t>
      </w:r>
      <w:r>
        <w:rPr>
          <w:rStyle w:val="Teksttreci"/>
        </w:rPr>
        <w:t>.</w:t>
      </w:r>
      <w:r w:rsidR="008E3BB6">
        <w:rPr>
          <w:rStyle w:val="Teksttreci"/>
        </w:rPr>
        <w:t> </w:t>
      </w:r>
      <w:r>
        <w:rPr>
          <w:rStyle w:val="Teksttreci"/>
        </w:rPr>
        <w:t xml:space="preserve">1 </w:t>
      </w:r>
      <w:r w:rsidR="0055558C">
        <w:rPr>
          <w:rStyle w:val="Teksttreci"/>
        </w:rPr>
        <w:t>k</w:t>
      </w:r>
      <w:r>
        <w:rPr>
          <w:rStyle w:val="Teksttreci"/>
        </w:rPr>
        <w:t xml:space="preserve">onwencji wnioski o ekstradycję przekazuje się drogą dyplomatyczną. Doświadczenie niektórych państw pokazało, że kanał dyplomatyczny może powodować opóźnienia, dlatego podkomitet postanowił zastąpić sposób komunikacji przewidziany przez konwencję sposobem szybszym. Podkomitet zauważył również, że w przypadku niektórych państw mogą wystąpić trudności w złożeniu wniosku o ekstradycję w minimalnym terminie osiemnastu dni przewidzianym w art. 16 </w:t>
      </w:r>
      <w:r w:rsidR="0055558C">
        <w:rPr>
          <w:rStyle w:val="Teksttreci"/>
        </w:rPr>
        <w:t>k</w:t>
      </w:r>
      <w:r>
        <w:rPr>
          <w:rStyle w:val="Teksttreci"/>
        </w:rPr>
        <w:t>onwencji, w sytuacji gdy został złożony wniosek o tymczasowe aresztowanie.</w:t>
      </w:r>
    </w:p>
    <w:p w14:paraId="2314BE74" w14:textId="77777777" w:rsidR="00EB4EBF" w:rsidRDefault="00816F2F">
      <w:pPr>
        <w:pStyle w:val="Teksttreci0"/>
        <w:numPr>
          <w:ilvl w:val="0"/>
          <w:numId w:val="4"/>
        </w:numPr>
        <w:tabs>
          <w:tab w:val="left" w:pos="1119"/>
        </w:tabs>
        <w:ind w:left="720"/>
        <w:jc w:val="both"/>
      </w:pPr>
      <w:r>
        <w:rPr>
          <w:rStyle w:val="Teksttreci"/>
        </w:rPr>
        <w:t>Rozdział V przewiduje, że wnioski o ekstradycję są przekazywane między zainteresowanymi ministerstwami sprawiedliwości, nie wykluczając jednak korzystania z kanałów dyplomatycznych i umożliwiając dwóm lub więcej umawiającym się stronom korzystanie z innych, specjalnie uzgodnionych kanałów.</w:t>
      </w:r>
    </w:p>
    <w:p w14:paraId="6DDB377D" w14:textId="5859EE76" w:rsidR="00EB4EBF" w:rsidRDefault="00816F2F">
      <w:pPr>
        <w:pStyle w:val="Teksttreci0"/>
        <w:ind w:left="720"/>
        <w:jc w:val="both"/>
      </w:pPr>
      <w:r>
        <w:rPr>
          <w:rStyle w:val="Teksttreci"/>
        </w:rPr>
        <w:t>Ten sposób komunikacji został przyjęty w świetle podobnych postanowień art. 15</w:t>
      </w:r>
      <w:r w:rsidR="00BE038A">
        <w:rPr>
          <w:rStyle w:val="Teksttreci"/>
        </w:rPr>
        <w:t xml:space="preserve"> ust</w:t>
      </w:r>
      <w:r>
        <w:rPr>
          <w:rStyle w:val="Teksttreci"/>
        </w:rPr>
        <w:t>.1 Europejskiej konwencji o pomocy prawnej w sprawach karnych.</w:t>
      </w:r>
    </w:p>
    <w:p w14:paraId="0DEC9DF7" w14:textId="13CEE25A" w:rsidR="00EB4EBF" w:rsidRDefault="00816F2F">
      <w:pPr>
        <w:pStyle w:val="Teksttreci0"/>
        <w:ind w:left="720"/>
        <w:jc w:val="both"/>
      </w:pPr>
      <w:r>
        <w:rPr>
          <w:rStyle w:val="Teksttreci"/>
        </w:rPr>
        <w:t xml:space="preserve">W tych państwach, w których nie ma Ministerstwa Sprawiedliwości, termin ten oznacza </w:t>
      </w:r>
      <w:r w:rsidR="00BE038A">
        <w:rPr>
          <w:rStyle w:val="Teksttreci"/>
        </w:rPr>
        <w:t xml:space="preserve">jednostkę </w:t>
      </w:r>
      <w:r>
        <w:rPr>
          <w:rStyle w:val="Teksttreci"/>
        </w:rPr>
        <w:t>rząd</w:t>
      </w:r>
      <w:r w:rsidR="00BE038A">
        <w:rPr>
          <w:rStyle w:val="Teksttreci"/>
        </w:rPr>
        <w:t>ową</w:t>
      </w:r>
      <w:r>
        <w:rPr>
          <w:rStyle w:val="Teksttreci"/>
        </w:rPr>
        <w:t>, pod jakąkolwiek nazwą, któr</w:t>
      </w:r>
      <w:r w:rsidR="00BE038A">
        <w:rPr>
          <w:rStyle w:val="Teksttreci"/>
        </w:rPr>
        <w:t>a</w:t>
      </w:r>
      <w:r>
        <w:rPr>
          <w:rStyle w:val="Teksttreci"/>
        </w:rPr>
        <w:t xml:space="preserve"> jest odpowiedzialn</w:t>
      </w:r>
      <w:r w:rsidR="00BE038A">
        <w:rPr>
          <w:rStyle w:val="Teksttreci"/>
        </w:rPr>
        <w:t>a</w:t>
      </w:r>
      <w:r>
        <w:rPr>
          <w:rStyle w:val="Teksttreci"/>
        </w:rPr>
        <w:t xml:space="preserve"> za administrowanie wymiarem sprawiedliwości w sprawach karnych.</w:t>
      </w:r>
    </w:p>
    <w:p w14:paraId="4974C168" w14:textId="77777777" w:rsidR="00EB4EBF" w:rsidRDefault="00816F2F">
      <w:pPr>
        <w:pStyle w:val="Nagwek20"/>
        <w:keepNext/>
        <w:keepLines/>
        <w:jc w:val="both"/>
      </w:pPr>
      <w:bookmarkStart w:id="8" w:name="bookmark18"/>
      <w:r>
        <w:rPr>
          <w:rStyle w:val="Nagwek2"/>
          <w:b/>
          <w:bCs/>
        </w:rPr>
        <w:t>Rozdział VI - Klauzule końcowe</w:t>
      </w:r>
      <w:bookmarkEnd w:id="8"/>
    </w:p>
    <w:p w14:paraId="1F2C80DC" w14:textId="5BB564F0" w:rsidR="00EB4EBF" w:rsidRDefault="00816F2F">
      <w:pPr>
        <w:pStyle w:val="Teksttreci0"/>
        <w:numPr>
          <w:ilvl w:val="0"/>
          <w:numId w:val="4"/>
        </w:numPr>
        <w:tabs>
          <w:tab w:val="left" w:pos="1114"/>
        </w:tabs>
        <w:ind w:left="720"/>
        <w:jc w:val="both"/>
      </w:pPr>
      <w:r>
        <w:rPr>
          <w:rStyle w:val="Teksttreci"/>
        </w:rPr>
        <w:t>Postanowienia zawarte w rozdziale VI oparte są na wzorcowych klauzulach końcowych umów i konwencji, które zostały zatwierdzone przez Komitet Ministrów Rady Europy na 113</w:t>
      </w:r>
      <w:r w:rsidR="00BE038A">
        <w:rPr>
          <w:rStyle w:val="Teksttreci"/>
        </w:rPr>
        <w:t>.</w:t>
      </w:r>
      <w:r>
        <w:rPr>
          <w:rStyle w:val="Teksttreci"/>
        </w:rPr>
        <w:t xml:space="preserve"> </w:t>
      </w:r>
      <w:r w:rsidR="00BE038A">
        <w:rPr>
          <w:rStyle w:val="Teksttreci"/>
        </w:rPr>
        <w:t>P</w:t>
      </w:r>
      <w:r>
        <w:rPr>
          <w:rStyle w:val="Teksttreci"/>
        </w:rPr>
        <w:t>osiedzeniu ich zastępców. Większość z tych artykułów nie wymaga szczególnych komentarzy, ale poniższe punkty wymagają pewnego wyjaśnienia.</w:t>
      </w:r>
    </w:p>
    <w:p w14:paraId="095835BE" w14:textId="3EE13C76" w:rsidR="00EB4EBF" w:rsidRDefault="00816F2F">
      <w:pPr>
        <w:pStyle w:val="Teksttreci0"/>
        <w:numPr>
          <w:ilvl w:val="0"/>
          <w:numId w:val="4"/>
        </w:numPr>
        <w:tabs>
          <w:tab w:val="left" w:pos="1119"/>
        </w:tabs>
        <w:spacing w:after="240"/>
        <w:ind w:left="720"/>
        <w:jc w:val="both"/>
      </w:pPr>
      <w:r>
        <w:rPr>
          <w:rStyle w:val="Teksttreci"/>
        </w:rPr>
        <w:t xml:space="preserve">W odniesieniu do </w:t>
      </w:r>
      <w:r w:rsidR="008E3BB6">
        <w:rPr>
          <w:rStyle w:val="Teksttreci"/>
        </w:rPr>
        <w:t>art.</w:t>
      </w:r>
      <w:r>
        <w:rPr>
          <w:rStyle w:val="Teksttreci"/>
        </w:rPr>
        <w:t xml:space="preserve"> 6</w:t>
      </w:r>
      <w:r w:rsidR="00BE038A">
        <w:rPr>
          <w:rStyle w:val="Teksttreci"/>
        </w:rPr>
        <w:t xml:space="preserve"> ust</w:t>
      </w:r>
      <w:r w:rsidR="008E3BB6">
        <w:rPr>
          <w:rStyle w:val="Teksttreci"/>
        </w:rPr>
        <w:t>.</w:t>
      </w:r>
      <w:r w:rsidR="00B86811">
        <w:rPr>
          <w:rStyle w:val="Teksttreci"/>
        </w:rPr>
        <w:t xml:space="preserve"> </w:t>
      </w:r>
      <w:r>
        <w:rPr>
          <w:rStyle w:val="Teksttreci"/>
        </w:rPr>
        <w:t xml:space="preserve">4 należy zauważyć, że państwa członkowskie Rady Europy, które podpisały </w:t>
      </w:r>
      <w:r w:rsidR="002A256D">
        <w:rPr>
          <w:rStyle w:val="Teksttreci"/>
        </w:rPr>
        <w:t>konwencj</w:t>
      </w:r>
      <w:r w:rsidR="00BE038A">
        <w:rPr>
          <w:rStyle w:val="Teksttreci"/>
        </w:rPr>
        <w:t>ę</w:t>
      </w:r>
      <w:r>
        <w:rPr>
          <w:rStyle w:val="Teksttreci"/>
        </w:rPr>
        <w:t xml:space="preserve"> o ekstradycji, </w:t>
      </w:r>
      <w:r w:rsidR="00BE038A">
        <w:rPr>
          <w:rStyle w:val="Teksttreci"/>
        </w:rPr>
        <w:t xml:space="preserve">ale jej nie ratyfikowały, </w:t>
      </w:r>
      <w:r>
        <w:rPr>
          <w:rStyle w:val="Teksttreci"/>
        </w:rPr>
        <w:t xml:space="preserve">mogą podpisać Protokół przed ratyfikacją </w:t>
      </w:r>
      <w:r w:rsidR="0055558C">
        <w:rPr>
          <w:rStyle w:val="Teksttreci"/>
        </w:rPr>
        <w:t>k</w:t>
      </w:r>
      <w:r>
        <w:rPr>
          <w:rStyle w:val="Teksttreci"/>
        </w:rPr>
        <w:t>onwencji. Jednakże ust</w:t>
      </w:r>
      <w:r w:rsidR="00876BD7">
        <w:rPr>
          <w:rStyle w:val="Teksttreci"/>
        </w:rPr>
        <w:t>.</w:t>
      </w:r>
      <w:r>
        <w:rPr>
          <w:rStyle w:val="Teksttreci"/>
        </w:rPr>
        <w:t xml:space="preserve"> 4 tego artykułu wyraźnie wskazuje, że Protokół może być ratyfikowany, przyjęty lub zatwierdzony jedynie przez państwo członkowskie, które ratyfikowało konwencję. Państwo członkowskie ratyfikujące konwencję </w:t>
      </w:r>
      <w:r w:rsidR="00CF3844">
        <w:rPr>
          <w:rStyle w:val="Teksttreci"/>
        </w:rPr>
        <w:t xml:space="preserve">w przyszłości </w:t>
      </w:r>
      <w:r>
        <w:rPr>
          <w:rStyle w:val="Teksttreci"/>
        </w:rPr>
        <w:t xml:space="preserve">nie byłoby zobowiązane </w:t>
      </w:r>
      <w:r w:rsidR="00CF3844">
        <w:rPr>
          <w:rStyle w:val="Teksttreci"/>
        </w:rPr>
        <w:t>by stać</w:t>
      </w:r>
      <w:r>
        <w:rPr>
          <w:rStyle w:val="Teksttreci"/>
        </w:rPr>
        <w:t xml:space="preserve"> się umawiającą się stroną </w:t>
      </w:r>
      <w:r w:rsidR="009B1B7A">
        <w:rPr>
          <w:rStyle w:val="Teksttreci"/>
        </w:rPr>
        <w:t>protoko</w:t>
      </w:r>
      <w:r>
        <w:rPr>
          <w:rStyle w:val="Teksttreci"/>
        </w:rPr>
        <w:t>łu.</w:t>
      </w:r>
    </w:p>
    <w:p w14:paraId="181267E2" w14:textId="61D95262" w:rsidR="00EB4EBF" w:rsidRDefault="00816F2F">
      <w:pPr>
        <w:pStyle w:val="Teksttreci0"/>
        <w:numPr>
          <w:ilvl w:val="0"/>
          <w:numId w:val="4"/>
        </w:numPr>
        <w:tabs>
          <w:tab w:val="left" w:pos="1110"/>
        </w:tabs>
        <w:spacing w:after="240"/>
        <w:ind w:left="720"/>
        <w:jc w:val="both"/>
      </w:pPr>
      <w:r>
        <w:rPr>
          <w:rStyle w:val="Teksttreci"/>
        </w:rPr>
        <w:t xml:space="preserve">Do </w:t>
      </w:r>
      <w:r w:rsidR="009B1B7A">
        <w:rPr>
          <w:rStyle w:val="Teksttreci"/>
        </w:rPr>
        <w:t>protoko</w:t>
      </w:r>
      <w:r>
        <w:rPr>
          <w:rStyle w:val="Teksttreci"/>
        </w:rPr>
        <w:t xml:space="preserve">łu może przystąpić państwo niebędące członkiem, tylko jeśli przystąpiło do </w:t>
      </w:r>
      <w:r w:rsidR="002A256D">
        <w:rPr>
          <w:rStyle w:val="Teksttreci"/>
        </w:rPr>
        <w:t>konwencji</w:t>
      </w:r>
      <w:r>
        <w:rPr>
          <w:rStyle w:val="Teksttreci"/>
        </w:rPr>
        <w:t xml:space="preserve"> o ekstradycji (</w:t>
      </w:r>
      <w:r w:rsidR="00876BD7">
        <w:rPr>
          <w:rStyle w:val="Teksttreci"/>
        </w:rPr>
        <w:t>art.</w:t>
      </w:r>
      <w:r>
        <w:rPr>
          <w:rStyle w:val="Teksttreci"/>
        </w:rPr>
        <w:t xml:space="preserve"> 7).</w:t>
      </w:r>
    </w:p>
    <w:p w14:paraId="152802E0" w14:textId="0EF2ADA7" w:rsidR="00EB4EBF" w:rsidRDefault="00816F2F">
      <w:pPr>
        <w:pStyle w:val="Teksttreci0"/>
        <w:spacing w:after="240"/>
        <w:ind w:left="720"/>
        <w:jc w:val="both"/>
      </w:pPr>
      <w:r>
        <w:rPr>
          <w:rStyle w:val="Teksttreci"/>
        </w:rPr>
        <w:t xml:space="preserve">Przystąpienie do </w:t>
      </w:r>
      <w:r w:rsidR="0055558C">
        <w:rPr>
          <w:rStyle w:val="Teksttreci"/>
        </w:rPr>
        <w:t>k</w:t>
      </w:r>
      <w:r>
        <w:rPr>
          <w:rStyle w:val="Teksttreci"/>
        </w:rPr>
        <w:t xml:space="preserve">onwencji przez państwa niebędące członkami Rady Europy było i jest uwarunkowane zaproszeniem Komitetu Ministrów, natomiast przystąpienie do </w:t>
      </w:r>
      <w:r w:rsidR="009B1B7A">
        <w:rPr>
          <w:rStyle w:val="Teksttreci"/>
        </w:rPr>
        <w:t>protoko</w:t>
      </w:r>
      <w:r>
        <w:rPr>
          <w:rStyle w:val="Teksttreci"/>
        </w:rPr>
        <w:t xml:space="preserve">łu nie </w:t>
      </w:r>
      <w:r>
        <w:rPr>
          <w:rStyle w:val="Teksttreci"/>
        </w:rPr>
        <w:lastRenderedPageBreak/>
        <w:t xml:space="preserve">wymaga takiego zaproszenia. Państwo niebędące członkiem, które w dowolnym momencie przystąpiło do </w:t>
      </w:r>
      <w:r w:rsidR="0055558C">
        <w:rPr>
          <w:rStyle w:val="Teksttreci"/>
        </w:rPr>
        <w:t>k</w:t>
      </w:r>
      <w:r>
        <w:rPr>
          <w:rStyle w:val="Teksttreci"/>
        </w:rPr>
        <w:t xml:space="preserve">onwencji, ma zatem automatyczne prawo (ale nie obowiązek) przystąpienia do </w:t>
      </w:r>
      <w:r w:rsidR="009B1B7A">
        <w:rPr>
          <w:rStyle w:val="Teksttreci"/>
        </w:rPr>
        <w:t>protoko</w:t>
      </w:r>
      <w:r>
        <w:rPr>
          <w:rStyle w:val="Teksttreci"/>
        </w:rPr>
        <w:t xml:space="preserve">łu; jedynym ograniczeniem jest to, że takie przystąpienie może nastąpić dopiero po wejściu w życie </w:t>
      </w:r>
      <w:r w:rsidR="009B1B7A">
        <w:rPr>
          <w:rStyle w:val="Teksttreci"/>
        </w:rPr>
        <w:t>protoko</w:t>
      </w:r>
      <w:r>
        <w:rPr>
          <w:rStyle w:val="Teksttreci"/>
        </w:rPr>
        <w:t>łu, co zgodnie z art. 6</w:t>
      </w:r>
      <w:r w:rsidR="00BE038A">
        <w:rPr>
          <w:rStyle w:val="Teksttreci"/>
        </w:rPr>
        <w:t xml:space="preserve"> ust</w:t>
      </w:r>
      <w:r>
        <w:rPr>
          <w:rStyle w:val="Teksttreci"/>
        </w:rPr>
        <w:t>.2 jest uzależnione od ratyfikacji, przyjęcia lub zatwierdzenia przez trzy państwa członkowskie.</w:t>
      </w:r>
    </w:p>
    <w:p w14:paraId="3B030093" w14:textId="0A7CEA34" w:rsidR="00EB4EBF" w:rsidRDefault="00816F2F">
      <w:pPr>
        <w:pStyle w:val="Teksttreci0"/>
        <w:numPr>
          <w:ilvl w:val="0"/>
          <w:numId w:val="4"/>
        </w:numPr>
        <w:tabs>
          <w:tab w:val="left" w:pos="1114"/>
        </w:tabs>
        <w:spacing w:after="240"/>
        <w:ind w:left="720"/>
        <w:jc w:val="both"/>
      </w:pPr>
      <w:r>
        <w:rPr>
          <w:rStyle w:val="Teksttreci"/>
        </w:rPr>
        <w:t xml:space="preserve">W odniesieniu do zastrzeżeń, </w:t>
      </w:r>
      <w:r w:rsidR="00BE038A">
        <w:rPr>
          <w:rStyle w:val="Teksttreci"/>
        </w:rPr>
        <w:t>art</w:t>
      </w:r>
      <w:r>
        <w:rPr>
          <w:rStyle w:val="Teksttreci"/>
        </w:rPr>
        <w:t>. 9</w:t>
      </w:r>
      <w:r w:rsidR="00BE038A">
        <w:rPr>
          <w:rStyle w:val="Teksttreci"/>
        </w:rPr>
        <w:t xml:space="preserve"> ust</w:t>
      </w:r>
      <w:r>
        <w:rPr>
          <w:rStyle w:val="Teksttreci"/>
        </w:rPr>
        <w:t xml:space="preserve">.1 ustanawia zasadę, że w przypadku braku odmiennego oświadczenia, istniejące zastrzeżenia do </w:t>
      </w:r>
      <w:r w:rsidR="002A256D">
        <w:rPr>
          <w:rStyle w:val="Teksttreci"/>
        </w:rPr>
        <w:t>konwencji</w:t>
      </w:r>
      <w:r>
        <w:rPr>
          <w:rStyle w:val="Teksttreci"/>
        </w:rPr>
        <w:t xml:space="preserve"> o ekstradycji mają zastosowanie również do </w:t>
      </w:r>
      <w:r w:rsidR="009B1B7A">
        <w:rPr>
          <w:rStyle w:val="Teksttreci"/>
        </w:rPr>
        <w:t>protoko</w:t>
      </w:r>
      <w:r>
        <w:rPr>
          <w:rStyle w:val="Teksttreci"/>
        </w:rPr>
        <w:t>łu.</w:t>
      </w:r>
    </w:p>
    <w:p w14:paraId="7D39DFE4" w14:textId="1939AF27" w:rsidR="00EB4EBF" w:rsidRDefault="00816F2F">
      <w:pPr>
        <w:pStyle w:val="Teksttreci0"/>
        <w:numPr>
          <w:ilvl w:val="0"/>
          <w:numId w:val="4"/>
        </w:numPr>
        <w:tabs>
          <w:tab w:val="left" w:pos="1124"/>
        </w:tabs>
        <w:spacing w:after="240"/>
        <w:ind w:left="720"/>
        <w:jc w:val="both"/>
      </w:pPr>
      <w:r>
        <w:rPr>
          <w:rStyle w:val="Teksttreci"/>
        </w:rPr>
        <w:t>Artykuł 9</w:t>
      </w:r>
      <w:r w:rsidR="00BE038A">
        <w:rPr>
          <w:rStyle w:val="Teksttreci"/>
        </w:rPr>
        <w:t xml:space="preserve"> ust</w:t>
      </w:r>
      <w:r>
        <w:rPr>
          <w:rStyle w:val="Teksttreci"/>
        </w:rPr>
        <w:t>.</w:t>
      </w:r>
      <w:r w:rsidR="00BE038A">
        <w:rPr>
          <w:rStyle w:val="Teksttreci"/>
        </w:rPr>
        <w:t xml:space="preserve"> </w:t>
      </w:r>
      <w:r>
        <w:rPr>
          <w:rStyle w:val="Teksttreci"/>
        </w:rPr>
        <w:t xml:space="preserve">2 odnosi się do możliwości </w:t>
      </w:r>
      <w:r w:rsidR="00713C78">
        <w:rPr>
          <w:rStyle w:val="Teksttreci"/>
        </w:rPr>
        <w:t xml:space="preserve">nieprzyjęcia </w:t>
      </w:r>
      <w:r>
        <w:rPr>
          <w:rStyle w:val="Teksttreci"/>
        </w:rPr>
        <w:t xml:space="preserve">przez Umawiające się Strony jednego lub więcej z czterech rozdziałów oraz ograniczenia </w:t>
      </w:r>
      <w:r w:rsidR="00713C78">
        <w:rPr>
          <w:rStyle w:val="Teksttreci"/>
        </w:rPr>
        <w:t>nieprzyjęcia</w:t>
      </w:r>
      <w:r w:rsidR="00056EAD">
        <w:rPr>
          <w:rStyle w:val="Teksttreci"/>
        </w:rPr>
        <w:t xml:space="preserve"> </w:t>
      </w:r>
      <w:r>
        <w:rPr>
          <w:rStyle w:val="Teksttreci"/>
        </w:rPr>
        <w:t xml:space="preserve">rozdziału II do niektórych przestępstw lub niektórych kategorii przestępstw. Umawiające się Państwa mają dużą swobodę w określaniu kategorii przestępstw, w odniesieniu do których chcą przyjąć </w:t>
      </w:r>
      <w:r w:rsidR="00713C78">
        <w:rPr>
          <w:rStyle w:val="Teksttreci"/>
        </w:rPr>
        <w:t xml:space="preserve">postanowienia </w:t>
      </w:r>
      <w:r>
        <w:rPr>
          <w:rStyle w:val="Teksttreci"/>
        </w:rPr>
        <w:t>rozdziału II, na przykład poprzez odniesienie do czynów stanowiących przestępstwo lub poprzez odniesienie do przepisów podatkowych</w:t>
      </w:r>
      <w:r w:rsidR="00BE038A">
        <w:rPr>
          <w:rStyle w:val="Teksttreci"/>
        </w:rPr>
        <w:t xml:space="preserve"> będących przedmiotem naruszenia</w:t>
      </w:r>
      <w:r>
        <w:rPr>
          <w:rStyle w:val="Teksttreci"/>
        </w:rPr>
        <w:t xml:space="preserve">. W odniesieniu do rozdziału III mogą one ograniczyć swój brak </w:t>
      </w:r>
      <w:r w:rsidR="00713C78">
        <w:rPr>
          <w:rStyle w:val="Teksttreci"/>
        </w:rPr>
        <w:t xml:space="preserve">przyjęcia </w:t>
      </w:r>
      <w:r>
        <w:rPr>
          <w:rStyle w:val="Teksttreci"/>
        </w:rPr>
        <w:t>do ust</w:t>
      </w:r>
      <w:r w:rsidR="00876BD7">
        <w:rPr>
          <w:rStyle w:val="Teksttreci"/>
        </w:rPr>
        <w:t>.</w:t>
      </w:r>
      <w:r>
        <w:rPr>
          <w:rStyle w:val="Teksttreci"/>
        </w:rPr>
        <w:t xml:space="preserve"> 2.</w:t>
      </w:r>
    </w:p>
    <w:p w14:paraId="304F1B86" w14:textId="72630B65" w:rsidR="00EB4EBF" w:rsidRDefault="00816F2F">
      <w:pPr>
        <w:pStyle w:val="Teksttreci0"/>
        <w:spacing w:after="240"/>
        <w:ind w:left="720"/>
        <w:jc w:val="both"/>
      </w:pPr>
      <w:r>
        <w:rPr>
          <w:rStyle w:val="Teksttreci"/>
        </w:rPr>
        <w:t xml:space="preserve">Postanowienia te zostały dodane w celu umożliwienia państwom, które w chwili obecnej nie mogą </w:t>
      </w:r>
      <w:r w:rsidR="00713C78">
        <w:rPr>
          <w:rStyle w:val="Teksttreci"/>
        </w:rPr>
        <w:t xml:space="preserve">przyjąć </w:t>
      </w:r>
      <w:r>
        <w:rPr>
          <w:rStyle w:val="Teksttreci"/>
        </w:rPr>
        <w:t xml:space="preserve">wszystkich rozdziałów, stanie się mimo to stronami </w:t>
      </w:r>
      <w:r w:rsidR="009B1B7A">
        <w:rPr>
          <w:rStyle w:val="Teksttreci"/>
        </w:rPr>
        <w:t>protoko</w:t>
      </w:r>
      <w:r>
        <w:rPr>
          <w:rStyle w:val="Teksttreci"/>
        </w:rPr>
        <w:t xml:space="preserve">łu. Mogą one wycofać wszelkie zastrzeżenia zgłoszone na podstawie </w:t>
      </w:r>
      <w:r w:rsidR="00056EAD">
        <w:rPr>
          <w:rStyle w:val="Teksttreci"/>
        </w:rPr>
        <w:t>art.</w:t>
      </w:r>
      <w:r w:rsidR="00BE038A">
        <w:rPr>
          <w:rStyle w:val="Teksttreci"/>
        </w:rPr>
        <w:t xml:space="preserve"> </w:t>
      </w:r>
      <w:r>
        <w:rPr>
          <w:rStyle w:val="Teksttreci"/>
        </w:rPr>
        <w:t>9</w:t>
      </w:r>
      <w:r w:rsidR="00BE038A">
        <w:rPr>
          <w:rStyle w:val="Teksttreci"/>
        </w:rPr>
        <w:t xml:space="preserve"> ust</w:t>
      </w:r>
      <w:r>
        <w:rPr>
          <w:rStyle w:val="Teksttreci"/>
        </w:rPr>
        <w:t>.</w:t>
      </w:r>
      <w:r w:rsidR="00BE038A">
        <w:rPr>
          <w:rStyle w:val="Teksttreci"/>
        </w:rPr>
        <w:t xml:space="preserve"> </w:t>
      </w:r>
      <w:r>
        <w:rPr>
          <w:rStyle w:val="Teksttreci"/>
        </w:rPr>
        <w:t>2 (</w:t>
      </w:r>
      <w:r w:rsidR="00056EAD">
        <w:rPr>
          <w:rStyle w:val="Teksttreci"/>
        </w:rPr>
        <w:t>art.</w:t>
      </w:r>
      <w:r w:rsidR="00BE038A">
        <w:rPr>
          <w:rStyle w:val="Teksttreci"/>
        </w:rPr>
        <w:t xml:space="preserve"> </w:t>
      </w:r>
      <w:r>
        <w:rPr>
          <w:rStyle w:val="Teksttreci"/>
        </w:rPr>
        <w:t xml:space="preserve">9 </w:t>
      </w:r>
      <w:r w:rsidR="00BE038A">
        <w:rPr>
          <w:rStyle w:val="Teksttreci"/>
        </w:rPr>
        <w:t>ust</w:t>
      </w:r>
      <w:r w:rsidR="00056EAD">
        <w:rPr>
          <w:rStyle w:val="Teksttreci"/>
        </w:rPr>
        <w:t>.</w:t>
      </w:r>
      <w:r>
        <w:rPr>
          <w:rStyle w:val="Teksttreci"/>
        </w:rPr>
        <w:t>3).</w:t>
      </w:r>
    </w:p>
    <w:sectPr w:rsidR="00EB4EBF">
      <w:headerReference w:type="even" r:id="rId9"/>
      <w:headerReference w:type="default" r:id="rId10"/>
      <w:footerReference w:type="even" r:id="rId11"/>
      <w:footerReference w:type="default" r:id="rId12"/>
      <w:headerReference w:type="first" r:id="rId13"/>
      <w:footerReference w:type="first" r:id="rId14"/>
      <w:pgSz w:w="11900" w:h="16840"/>
      <w:pgMar w:top="1351" w:right="1389" w:bottom="1867" w:left="1425"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D001" w14:textId="77777777" w:rsidR="0003700F" w:rsidRDefault="0003700F">
      <w:r>
        <w:separator/>
      </w:r>
    </w:p>
  </w:endnote>
  <w:endnote w:type="continuationSeparator" w:id="0">
    <w:p w14:paraId="1142BBC5" w14:textId="77777777" w:rsidR="0003700F" w:rsidRDefault="0003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AAD7" w14:textId="77777777" w:rsidR="00637195" w:rsidRDefault="0063719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B6A0" w14:textId="753188FB" w:rsidR="00EB4EBF" w:rsidRDefault="00EB4EBF">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CDC9" w14:textId="77777777" w:rsidR="00EB4EBF" w:rsidRDefault="00EB4EB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B0794" w14:textId="77777777" w:rsidR="0003700F" w:rsidRDefault="0003700F"/>
  </w:footnote>
  <w:footnote w:type="continuationSeparator" w:id="0">
    <w:p w14:paraId="7ABF2AAB" w14:textId="77777777" w:rsidR="0003700F" w:rsidRDefault="0003700F"/>
  </w:footnote>
  <w:footnote w:id="1">
    <w:p w14:paraId="7B453C4F" w14:textId="15A9860D" w:rsidR="00C06887" w:rsidRPr="00247705" w:rsidRDefault="00C06887">
      <w:pPr>
        <w:pStyle w:val="Tekstprzypisudolnego"/>
        <w:rPr>
          <w:rFonts w:ascii="Arial" w:hAnsi="Arial" w:cs="Arial"/>
          <w:sz w:val="16"/>
          <w:szCs w:val="16"/>
          <w:lang w:val="en-US"/>
        </w:rPr>
      </w:pPr>
      <w:r w:rsidRPr="00247705">
        <w:rPr>
          <w:rFonts w:ascii="Arial" w:hAnsi="Arial" w:cs="Arial"/>
          <w:sz w:val="16"/>
          <w:szCs w:val="16"/>
          <w:vertAlign w:val="superscript"/>
          <w:lang w:val="en-US"/>
        </w:rPr>
        <w:t>(</w:t>
      </w:r>
      <w:r w:rsidRPr="00247705">
        <w:rPr>
          <w:rStyle w:val="Odwoanieprzypisudolnego"/>
          <w:rFonts w:ascii="Arial" w:hAnsi="Arial" w:cs="Arial"/>
          <w:sz w:val="16"/>
          <w:szCs w:val="16"/>
        </w:rPr>
        <w:footnoteRef/>
      </w:r>
      <w:r w:rsidRPr="00247705">
        <w:rPr>
          <w:rFonts w:ascii="Arial" w:hAnsi="Arial" w:cs="Arial"/>
          <w:sz w:val="16"/>
          <w:szCs w:val="16"/>
          <w:vertAlign w:val="superscript"/>
          <w:lang w:val="en-US"/>
        </w:rPr>
        <w:t>)</w:t>
      </w:r>
      <w:r w:rsidRPr="00247705">
        <w:rPr>
          <w:rFonts w:ascii="Arial" w:hAnsi="Arial" w:cs="Arial"/>
          <w:sz w:val="16"/>
          <w:szCs w:val="16"/>
          <w:lang w:val="en-US"/>
        </w:rPr>
        <w:t xml:space="preserve"> </w:t>
      </w:r>
      <w:proofErr w:type="spellStart"/>
      <w:r w:rsidRPr="00247705">
        <w:rPr>
          <w:rFonts w:ascii="Arial" w:hAnsi="Arial" w:cs="Arial"/>
          <w:sz w:val="16"/>
          <w:szCs w:val="16"/>
          <w:lang w:val="en-US"/>
        </w:rPr>
        <w:t>Europejska</w:t>
      </w:r>
      <w:proofErr w:type="spellEnd"/>
      <w:r w:rsidRPr="00247705">
        <w:rPr>
          <w:rFonts w:ascii="Arial" w:hAnsi="Arial" w:cs="Arial"/>
          <w:sz w:val="16"/>
          <w:szCs w:val="16"/>
          <w:lang w:val="en-US"/>
        </w:rPr>
        <w:t xml:space="preserve"> </w:t>
      </w:r>
      <w:proofErr w:type="spellStart"/>
      <w:r w:rsidRPr="00247705">
        <w:rPr>
          <w:rFonts w:ascii="Arial" w:hAnsi="Arial" w:cs="Arial"/>
          <w:sz w:val="16"/>
          <w:szCs w:val="16"/>
          <w:lang w:val="en-US"/>
        </w:rPr>
        <w:t>Seria</w:t>
      </w:r>
      <w:proofErr w:type="spellEnd"/>
      <w:r w:rsidRPr="00247705">
        <w:rPr>
          <w:rFonts w:ascii="Arial" w:hAnsi="Arial" w:cs="Arial"/>
          <w:sz w:val="16"/>
          <w:szCs w:val="16"/>
          <w:lang w:val="en-US"/>
        </w:rPr>
        <w:t xml:space="preserve"> </w:t>
      </w:r>
      <w:proofErr w:type="spellStart"/>
      <w:r w:rsidRPr="00247705">
        <w:rPr>
          <w:rFonts w:ascii="Arial" w:hAnsi="Arial" w:cs="Arial"/>
          <w:sz w:val="16"/>
          <w:szCs w:val="16"/>
          <w:lang w:val="en-US"/>
        </w:rPr>
        <w:t>Traktatów</w:t>
      </w:r>
      <w:proofErr w:type="spellEnd"/>
      <w:r w:rsidRPr="00247705">
        <w:rPr>
          <w:rFonts w:ascii="Arial" w:hAnsi="Arial" w:cs="Arial"/>
          <w:sz w:val="16"/>
          <w:szCs w:val="16"/>
          <w:lang w:val="en-US"/>
        </w:rPr>
        <w:t xml:space="preserve"> Nr 86.</w:t>
      </w:r>
    </w:p>
  </w:footnote>
  <w:footnote w:id="2">
    <w:p w14:paraId="658D642A" w14:textId="04E01CAD" w:rsidR="00C06887" w:rsidRPr="00247705" w:rsidRDefault="00C06887">
      <w:pPr>
        <w:pStyle w:val="Tekstprzypisudolnego"/>
        <w:rPr>
          <w:rFonts w:ascii="Arial" w:hAnsi="Arial" w:cs="Arial"/>
          <w:sz w:val="16"/>
          <w:szCs w:val="16"/>
          <w:lang w:val="en-US"/>
        </w:rPr>
      </w:pPr>
      <w:r w:rsidRPr="00247705">
        <w:rPr>
          <w:rFonts w:ascii="Arial" w:hAnsi="Arial" w:cs="Arial"/>
          <w:sz w:val="16"/>
          <w:szCs w:val="16"/>
          <w:vertAlign w:val="superscript"/>
          <w:lang w:val="en-US"/>
        </w:rPr>
        <w:t>(</w:t>
      </w:r>
      <w:r w:rsidRPr="00247705">
        <w:rPr>
          <w:rStyle w:val="Odwoanieprzypisudolnego"/>
          <w:rFonts w:ascii="Arial" w:hAnsi="Arial" w:cs="Arial"/>
          <w:sz w:val="16"/>
          <w:szCs w:val="16"/>
        </w:rPr>
        <w:footnoteRef/>
      </w:r>
      <w:r w:rsidRPr="00247705">
        <w:rPr>
          <w:rFonts w:ascii="Arial" w:hAnsi="Arial" w:cs="Arial"/>
          <w:sz w:val="16"/>
          <w:szCs w:val="16"/>
          <w:vertAlign w:val="superscript"/>
          <w:lang w:val="en-US"/>
        </w:rPr>
        <w:t>)</w:t>
      </w:r>
      <w:r w:rsidRPr="00247705">
        <w:rPr>
          <w:rFonts w:ascii="Arial" w:hAnsi="Arial" w:cs="Arial"/>
          <w:sz w:val="16"/>
          <w:szCs w:val="16"/>
          <w:lang w:val="en-US"/>
        </w:rPr>
        <w:t xml:space="preserve">  por. </w:t>
      </w:r>
      <w:proofErr w:type="spellStart"/>
      <w:r w:rsidRPr="00247705">
        <w:rPr>
          <w:rFonts w:ascii="Arial" w:hAnsi="Arial" w:cs="Arial"/>
          <w:sz w:val="16"/>
          <w:szCs w:val="16"/>
          <w:lang w:val="en-US"/>
        </w:rPr>
        <w:t>publikacja</w:t>
      </w:r>
      <w:proofErr w:type="spellEnd"/>
      <w:r w:rsidRPr="00247705">
        <w:rPr>
          <w:rFonts w:ascii="Arial" w:hAnsi="Arial" w:cs="Arial"/>
          <w:sz w:val="16"/>
          <w:szCs w:val="16"/>
          <w:lang w:val="en-US"/>
        </w:rPr>
        <w:t xml:space="preserve"> Legal Aspects of Extradition among European States, Rada </w:t>
      </w:r>
      <w:proofErr w:type="spellStart"/>
      <w:r w:rsidRPr="00247705">
        <w:rPr>
          <w:rFonts w:ascii="Arial" w:hAnsi="Arial" w:cs="Arial"/>
          <w:sz w:val="16"/>
          <w:szCs w:val="16"/>
          <w:lang w:val="en-US"/>
        </w:rPr>
        <w:t>Europy</w:t>
      </w:r>
      <w:proofErr w:type="spellEnd"/>
      <w:r w:rsidRPr="00247705">
        <w:rPr>
          <w:rFonts w:ascii="Arial" w:hAnsi="Arial" w:cs="Arial"/>
          <w:sz w:val="16"/>
          <w:szCs w:val="16"/>
          <w:lang w:val="en-US"/>
        </w:rPr>
        <w:t>, Strasburg 1970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727F" w14:textId="77777777" w:rsidR="00637195" w:rsidRDefault="0063719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5D4C" w14:textId="77777777" w:rsidR="00EB4EBF" w:rsidRDefault="00816F2F">
    <w:pPr>
      <w:spacing w:line="1" w:lineRule="exact"/>
    </w:pPr>
    <w:r>
      <w:rPr>
        <w:noProof/>
      </w:rPr>
      <mc:AlternateContent>
        <mc:Choice Requires="wps">
          <w:drawing>
            <wp:anchor distT="0" distB="0" distL="0" distR="0" simplePos="0" relativeHeight="62914690" behindDoc="1" locked="0" layoutInCell="1" allowOverlap="1" wp14:anchorId="200EBDC6" wp14:editId="70931BEC">
              <wp:simplePos x="0" y="0"/>
              <wp:positionH relativeFrom="page">
                <wp:posOffset>1788795</wp:posOffset>
              </wp:positionH>
              <wp:positionV relativeFrom="page">
                <wp:posOffset>391795</wp:posOffset>
              </wp:positionV>
              <wp:extent cx="3989705" cy="125095"/>
              <wp:effectExtent l="0" t="0" r="0" b="0"/>
              <wp:wrapNone/>
              <wp:docPr id="2" name="Shape 2"/>
              <wp:cNvGraphicFramePr/>
              <a:graphic xmlns:a="http://schemas.openxmlformats.org/drawingml/2006/main">
                <a:graphicData uri="http://schemas.microsoft.com/office/word/2010/wordprocessingShape">
                  <wps:wsp>
                    <wps:cNvSpPr txBox="1"/>
                    <wps:spPr>
                      <a:xfrm>
                        <a:off x="0" y="0"/>
                        <a:ext cx="3989705" cy="125095"/>
                      </a:xfrm>
                      <a:prstGeom prst="rect">
                        <a:avLst/>
                      </a:prstGeom>
                      <a:noFill/>
                    </wps:spPr>
                    <wps:txbx>
                      <w:txbxContent>
                        <w:p w14:paraId="50819242" w14:textId="41ECCC31" w:rsidR="00EB4EBF" w:rsidRDefault="00A309A0">
                          <w:pPr>
                            <w:pStyle w:val="Nagweklubstopka20"/>
                            <w:rPr>
                              <w:sz w:val="22"/>
                              <w:szCs w:val="22"/>
                            </w:rPr>
                          </w:pPr>
                          <w:r>
                            <w:rPr>
                              <w:rStyle w:val="Nagweklubstopka2"/>
                              <w:rFonts w:ascii="Calibri" w:hAnsi="Calibri"/>
                              <w:sz w:val="22"/>
                              <w:szCs w:val="22"/>
                            </w:rPr>
                            <w:t>Raport</w:t>
                          </w:r>
                          <w:r w:rsidR="00816F2F">
                            <w:rPr>
                              <w:rStyle w:val="Nagweklubstopka2"/>
                              <w:rFonts w:ascii="Calibri" w:hAnsi="Calibri"/>
                              <w:sz w:val="22"/>
                              <w:szCs w:val="22"/>
                            </w:rPr>
                            <w:t xml:space="preserve"> wyjaśniając</w:t>
                          </w:r>
                          <w:r>
                            <w:rPr>
                              <w:rStyle w:val="Nagweklubstopka2"/>
                              <w:rFonts w:ascii="Calibri" w:hAnsi="Calibri"/>
                              <w:sz w:val="22"/>
                              <w:szCs w:val="22"/>
                            </w:rPr>
                            <w:t>y</w:t>
                          </w:r>
                          <w:r w:rsidR="00816F2F">
                            <w:rPr>
                              <w:rStyle w:val="Nagweklubstopka2"/>
                              <w:rFonts w:ascii="Calibri" w:hAnsi="Calibri"/>
                              <w:sz w:val="22"/>
                              <w:szCs w:val="22"/>
                            </w:rPr>
                            <w:t xml:space="preserve"> - ETS 98- Ekstradycja (Drugi protokół dodatkowy)</w:t>
                          </w:r>
                        </w:p>
                      </w:txbxContent>
                    </wps:txbx>
                    <wps:bodyPr wrap="none" lIns="0" tIns="0" rIns="0" bIns="0">
                      <a:spAutoFit/>
                    </wps:bodyPr>
                  </wps:wsp>
                </a:graphicData>
              </a:graphic>
            </wp:anchor>
          </w:drawing>
        </mc:Choice>
        <mc:Fallback>
          <w:pict>
            <v:shapetype w14:anchorId="200EBDC6" id="_x0000_t202" coordsize="21600,21600" o:spt="202" path="m,l,21600r21600,l21600,xe">
              <v:stroke joinstyle="miter"/>
              <v:path gradientshapeok="t" o:connecttype="rect"/>
            </v:shapetype>
            <v:shape id="Shape 2" o:spid="_x0000_s1026" type="#_x0000_t202" style="position:absolute;margin-left:140.85pt;margin-top:30.85pt;width:314.15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" filled="f" stroked="f">
              <v:textbox style="mso-fit-shape-to-text:t" inset="0,0,0,0">
                <w:txbxContent>
                  <w:p w14:paraId="50819242" w14:textId="41ECCC31" w:rsidR="00EB4EBF" w:rsidRDefault="00A309A0">
                    <w:pPr>
                      <w:pStyle w:val="Nagweklubstopka20"/>
                      <w:rPr>
                        <w:sz w:val="22"/>
                        <w:szCs w:val="22"/>
                      </w:rPr>
                    </w:pPr>
                    <w:r>
                      <w:rPr>
                        <w:rStyle w:val="Nagweklubstopka2"/>
                        <w:rFonts w:ascii="Calibri" w:hAnsi="Calibri"/>
                        <w:sz w:val="22"/>
                        <w:szCs w:val="22"/>
                      </w:rPr>
                      <w:t>Raport</w:t>
                    </w:r>
                    <w:r w:rsidR="00816F2F">
                      <w:rPr>
                        <w:rStyle w:val="Nagweklubstopka2"/>
                        <w:rFonts w:ascii="Calibri" w:hAnsi="Calibri"/>
                        <w:sz w:val="22"/>
                        <w:szCs w:val="22"/>
                      </w:rPr>
                      <w:t xml:space="preserve"> wyjaśniając</w:t>
                    </w:r>
                    <w:r>
                      <w:rPr>
                        <w:rStyle w:val="Nagweklubstopka2"/>
                        <w:rFonts w:ascii="Calibri" w:hAnsi="Calibri"/>
                        <w:sz w:val="22"/>
                        <w:szCs w:val="22"/>
                      </w:rPr>
                      <w:t>y</w:t>
                    </w:r>
                    <w:r w:rsidR="00816F2F">
                      <w:rPr>
                        <w:rStyle w:val="Nagweklubstopka2"/>
                        <w:rFonts w:ascii="Calibri" w:hAnsi="Calibri"/>
                        <w:sz w:val="22"/>
                        <w:szCs w:val="22"/>
                      </w:rPr>
                      <w:t xml:space="preserve"> - ETS 98- Ekstradycja (Drugi protokół dodatkowy)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841F" w14:textId="77777777" w:rsidR="00EB4EBF" w:rsidRDefault="00EB4EBF">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863"/>
    <w:multiLevelType w:val="multilevel"/>
    <w:tmpl w:val="8618F0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253A04"/>
    <w:multiLevelType w:val="multilevel"/>
    <w:tmpl w:val="E4DC6276"/>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0B24AE"/>
    <w:multiLevelType w:val="multilevel"/>
    <w:tmpl w:val="C414EA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0A440E"/>
    <w:multiLevelType w:val="multilevel"/>
    <w:tmpl w:val="0150C35C"/>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E578C9"/>
    <w:multiLevelType w:val="multilevel"/>
    <w:tmpl w:val="1C344CD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5979732">
    <w:abstractNumId w:val="3"/>
  </w:num>
  <w:num w:numId="2" w16cid:durableId="300157484">
    <w:abstractNumId w:val="0"/>
  </w:num>
  <w:num w:numId="3" w16cid:durableId="448472087">
    <w:abstractNumId w:val="2"/>
  </w:num>
  <w:num w:numId="4" w16cid:durableId="1872835592">
    <w:abstractNumId w:val="1"/>
  </w:num>
  <w:num w:numId="5" w16cid:durableId="142351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trackRevisions/>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B4EBF"/>
    <w:rsid w:val="0003700F"/>
    <w:rsid w:val="00056EAD"/>
    <w:rsid w:val="000A00E3"/>
    <w:rsid w:val="000C7B4B"/>
    <w:rsid w:val="000E12F2"/>
    <w:rsid w:val="001141D2"/>
    <w:rsid w:val="0011579C"/>
    <w:rsid w:val="0013755D"/>
    <w:rsid w:val="00175C59"/>
    <w:rsid w:val="001B380B"/>
    <w:rsid w:val="002413B4"/>
    <w:rsid w:val="00247705"/>
    <w:rsid w:val="00274520"/>
    <w:rsid w:val="002A256D"/>
    <w:rsid w:val="00303C3C"/>
    <w:rsid w:val="003163F4"/>
    <w:rsid w:val="00334FC6"/>
    <w:rsid w:val="003729A2"/>
    <w:rsid w:val="003969D8"/>
    <w:rsid w:val="003A17A7"/>
    <w:rsid w:val="003C026B"/>
    <w:rsid w:val="004063E2"/>
    <w:rsid w:val="004405B2"/>
    <w:rsid w:val="00475684"/>
    <w:rsid w:val="00485935"/>
    <w:rsid w:val="004A1FED"/>
    <w:rsid w:val="004B3051"/>
    <w:rsid w:val="004F0618"/>
    <w:rsid w:val="004F2249"/>
    <w:rsid w:val="0055558C"/>
    <w:rsid w:val="005E5C3B"/>
    <w:rsid w:val="005F07C8"/>
    <w:rsid w:val="006068B0"/>
    <w:rsid w:val="00637195"/>
    <w:rsid w:val="00655174"/>
    <w:rsid w:val="006A2718"/>
    <w:rsid w:val="006A7382"/>
    <w:rsid w:val="006C24E6"/>
    <w:rsid w:val="006C3D7E"/>
    <w:rsid w:val="006C7CE4"/>
    <w:rsid w:val="00713C78"/>
    <w:rsid w:val="007152E9"/>
    <w:rsid w:val="007835C7"/>
    <w:rsid w:val="007F1B8D"/>
    <w:rsid w:val="007F2934"/>
    <w:rsid w:val="00816F2F"/>
    <w:rsid w:val="008334A1"/>
    <w:rsid w:val="008438F3"/>
    <w:rsid w:val="0086407D"/>
    <w:rsid w:val="00876BD7"/>
    <w:rsid w:val="00897905"/>
    <w:rsid w:val="008A670F"/>
    <w:rsid w:val="008E2C3E"/>
    <w:rsid w:val="008E3BB6"/>
    <w:rsid w:val="008E4585"/>
    <w:rsid w:val="00913ABE"/>
    <w:rsid w:val="00956CC1"/>
    <w:rsid w:val="0099388C"/>
    <w:rsid w:val="00995D28"/>
    <w:rsid w:val="009A2106"/>
    <w:rsid w:val="009B1B7A"/>
    <w:rsid w:val="009C6861"/>
    <w:rsid w:val="009F1F2A"/>
    <w:rsid w:val="00A05DA1"/>
    <w:rsid w:val="00A10D7B"/>
    <w:rsid w:val="00A24886"/>
    <w:rsid w:val="00A309A0"/>
    <w:rsid w:val="00A676CD"/>
    <w:rsid w:val="00AD049F"/>
    <w:rsid w:val="00AD5D05"/>
    <w:rsid w:val="00AD7A52"/>
    <w:rsid w:val="00B6200E"/>
    <w:rsid w:val="00B86811"/>
    <w:rsid w:val="00BC2AA6"/>
    <w:rsid w:val="00BE038A"/>
    <w:rsid w:val="00C06887"/>
    <w:rsid w:val="00C34635"/>
    <w:rsid w:val="00C53EC8"/>
    <w:rsid w:val="00C558C0"/>
    <w:rsid w:val="00CA145F"/>
    <w:rsid w:val="00CC29CE"/>
    <w:rsid w:val="00CF3844"/>
    <w:rsid w:val="00D1314C"/>
    <w:rsid w:val="00D46A52"/>
    <w:rsid w:val="00D5521E"/>
    <w:rsid w:val="00D753E7"/>
    <w:rsid w:val="00D771CE"/>
    <w:rsid w:val="00DB21F8"/>
    <w:rsid w:val="00E25647"/>
    <w:rsid w:val="00E357E4"/>
    <w:rsid w:val="00EB4EBF"/>
    <w:rsid w:val="00F128B3"/>
    <w:rsid w:val="00F35AA1"/>
    <w:rsid w:val="00F463FE"/>
    <w:rsid w:val="00F61A7F"/>
    <w:rsid w:val="00F91DC8"/>
    <w:rsid w:val="00FC16C9"/>
    <w:rsid w:val="00FE04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044B0"/>
  <w15:docId w15:val="{714D07B3-0917-4E9E-B6B7-6FC91AF3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pl-PL"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obrazu">
    <w:name w:val="Podpis obrazu_"/>
    <w:basedOn w:val="Domylnaczcionkaakapitu"/>
    <w:link w:val="Podpisobrazu0"/>
    <w:rPr>
      <w:rFonts w:ascii="Arial" w:eastAsia="Arial" w:hAnsi="Arial" w:cs="Arial"/>
      <w:b/>
      <w:bCs/>
      <w:i w:val="0"/>
      <w:iCs w:val="0"/>
      <w:smallCaps w:val="0"/>
      <w:strike w:val="0"/>
      <w:sz w:val="15"/>
      <w:szCs w:val="15"/>
      <w:u w:val="none"/>
    </w:rPr>
  </w:style>
  <w:style w:type="character" w:customStyle="1" w:styleId="Nagwek1">
    <w:name w:val="Nagłówek #1_"/>
    <w:basedOn w:val="Domylnaczcionkaakapitu"/>
    <w:link w:val="Nagwek10"/>
    <w:rPr>
      <w:rFonts w:ascii="Arial" w:eastAsia="Arial" w:hAnsi="Arial" w:cs="Arial"/>
      <w:b/>
      <w:bCs/>
      <w:i w:val="0"/>
      <w:iCs w:val="0"/>
      <w:smallCaps w:val="0"/>
      <w:strike w:val="0"/>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rPr>
  </w:style>
  <w:style w:type="character" w:customStyle="1" w:styleId="Nagwek2">
    <w:name w:val="Nagłówek #2_"/>
    <w:basedOn w:val="Domylnaczcionkaakapitu"/>
    <w:link w:val="Nagwek20"/>
    <w:rPr>
      <w:rFonts w:ascii="Arial" w:eastAsia="Arial" w:hAnsi="Arial" w:cs="Arial"/>
      <w:b/>
      <w:bCs/>
      <w:i w:val="0"/>
      <w:iCs w:val="0"/>
      <w:smallCaps w:val="0"/>
      <w:strike w:val="0"/>
      <w:sz w:val="20"/>
      <w:szCs w:val="20"/>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Podpisobrazu0">
    <w:name w:val="Podpis obrazu"/>
    <w:basedOn w:val="Normalny"/>
    <w:link w:val="Podpisobrazu"/>
    <w:pPr>
      <w:spacing w:after="50"/>
      <w:ind w:right="120"/>
    </w:pPr>
    <w:rPr>
      <w:rFonts w:ascii="Arial" w:eastAsia="Arial" w:hAnsi="Arial" w:cs="Arial"/>
      <w:b/>
      <w:bCs/>
      <w:sz w:val="15"/>
      <w:szCs w:val="15"/>
    </w:rPr>
  </w:style>
  <w:style w:type="paragraph" w:customStyle="1" w:styleId="Nagwek10">
    <w:name w:val="Nagłówek #1"/>
    <w:basedOn w:val="Normalny"/>
    <w:link w:val="Nagwek1"/>
    <w:pPr>
      <w:spacing w:after="130"/>
      <w:outlineLvl w:val="0"/>
    </w:pPr>
    <w:rPr>
      <w:rFonts w:ascii="Arial" w:eastAsia="Arial" w:hAnsi="Arial" w:cs="Arial"/>
      <w:b/>
      <w:bCs/>
    </w:rPr>
  </w:style>
  <w:style w:type="paragraph" w:customStyle="1" w:styleId="Teksttreci0">
    <w:name w:val="Tekst treści"/>
    <w:basedOn w:val="Normalny"/>
    <w:link w:val="Teksttreci"/>
    <w:pPr>
      <w:spacing w:after="260"/>
    </w:pPr>
    <w:rPr>
      <w:rFonts w:ascii="Arial" w:eastAsia="Arial" w:hAnsi="Arial" w:cs="Arial"/>
      <w:sz w:val="20"/>
      <w:szCs w:val="20"/>
    </w:rPr>
  </w:style>
  <w:style w:type="paragraph" w:customStyle="1" w:styleId="Nagwek20">
    <w:name w:val="Nagłówek #2"/>
    <w:basedOn w:val="Normalny"/>
    <w:link w:val="Nagwek2"/>
    <w:pPr>
      <w:spacing w:after="260"/>
      <w:ind w:firstLine="280"/>
      <w:outlineLvl w:val="1"/>
    </w:pPr>
    <w:rPr>
      <w:rFonts w:ascii="Arial" w:eastAsia="Arial" w:hAnsi="Arial" w:cs="Arial"/>
      <w:b/>
      <w:bCs/>
      <w:sz w:val="20"/>
      <w:szCs w:val="20"/>
    </w:rPr>
  </w:style>
  <w:style w:type="paragraph" w:customStyle="1" w:styleId="Teksttreci20">
    <w:name w:val="Tekst treści (2)"/>
    <w:basedOn w:val="Normalny"/>
    <w:link w:val="Teksttreci2"/>
    <w:pPr>
      <w:spacing w:after="260"/>
      <w:ind w:left="720" w:hanging="60"/>
    </w:pPr>
    <w:rPr>
      <w:rFonts w:ascii="Arial" w:eastAsia="Arial" w:hAnsi="Arial" w:cs="Arial"/>
      <w:sz w:val="18"/>
      <w:szCs w:val="18"/>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styleId="Poprawka">
    <w:name w:val="Revision"/>
    <w:hidden/>
    <w:uiPriority w:val="99"/>
    <w:semiHidden/>
    <w:rsid w:val="00D5521E"/>
    <w:pPr>
      <w:widowControl/>
    </w:pPr>
    <w:rPr>
      <w:color w:val="000000"/>
    </w:rPr>
  </w:style>
  <w:style w:type="character" w:styleId="Odwoaniedokomentarza">
    <w:name w:val="annotation reference"/>
    <w:basedOn w:val="Domylnaczcionkaakapitu"/>
    <w:uiPriority w:val="99"/>
    <w:semiHidden/>
    <w:unhideWhenUsed/>
    <w:rsid w:val="003C026B"/>
    <w:rPr>
      <w:sz w:val="16"/>
      <w:szCs w:val="16"/>
    </w:rPr>
  </w:style>
  <w:style w:type="paragraph" w:styleId="Tekstkomentarza">
    <w:name w:val="annotation text"/>
    <w:basedOn w:val="Normalny"/>
    <w:link w:val="TekstkomentarzaZnak"/>
    <w:uiPriority w:val="99"/>
    <w:unhideWhenUsed/>
    <w:rsid w:val="003C026B"/>
    <w:rPr>
      <w:sz w:val="20"/>
      <w:szCs w:val="20"/>
    </w:rPr>
  </w:style>
  <w:style w:type="character" w:customStyle="1" w:styleId="TekstkomentarzaZnak">
    <w:name w:val="Tekst komentarza Znak"/>
    <w:basedOn w:val="Domylnaczcionkaakapitu"/>
    <w:link w:val="Tekstkomentarza"/>
    <w:uiPriority w:val="99"/>
    <w:rsid w:val="003C026B"/>
    <w:rPr>
      <w:color w:val="000000"/>
      <w:sz w:val="20"/>
      <w:szCs w:val="20"/>
    </w:rPr>
  </w:style>
  <w:style w:type="paragraph" w:styleId="Tematkomentarza">
    <w:name w:val="annotation subject"/>
    <w:basedOn w:val="Tekstkomentarza"/>
    <w:next w:val="Tekstkomentarza"/>
    <w:link w:val="TematkomentarzaZnak"/>
    <w:uiPriority w:val="99"/>
    <w:semiHidden/>
    <w:unhideWhenUsed/>
    <w:rsid w:val="003C026B"/>
    <w:rPr>
      <w:b/>
      <w:bCs/>
    </w:rPr>
  </w:style>
  <w:style w:type="character" w:customStyle="1" w:styleId="TematkomentarzaZnak">
    <w:name w:val="Temat komentarza Znak"/>
    <w:basedOn w:val="TekstkomentarzaZnak"/>
    <w:link w:val="Tematkomentarza"/>
    <w:uiPriority w:val="99"/>
    <w:semiHidden/>
    <w:rsid w:val="003C026B"/>
    <w:rPr>
      <w:b/>
      <w:bCs/>
      <w:color w:val="000000"/>
      <w:sz w:val="20"/>
      <w:szCs w:val="20"/>
    </w:rPr>
  </w:style>
  <w:style w:type="character" w:styleId="Hipercze">
    <w:name w:val="Hyperlink"/>
    <w:basedOn w:val="Domylnaczcionkaakapitu"/>
    <w:uiPriority w:val="99"/>
    <w:unhideWhenUsed/>
    <w:rsid w:val="003C026B"/>
    <w:rPr>
      <w:color w:val="0563C1" w:themeColor="hyperlink"/>
      <w:u w:val="single"/>
    </w:rPr>
  </w:style>
  <w:style w:type="character" w:styleId="Nierozpoznanawzmianka">
    <w:name w:val="Unresolved Mention"/>
    <w:basedOn w:val="Domylnaczcionkaakapitu"/>
    <w:uiPriority w:val="99"/>
    <w:semiHidden/>
    <w:unhideWhenUsed/>
    <w:rsid w:val="003C026B"/>
    <w:rPr>
      <w:color w:val="605E5C"/>
      <w:shd w:val="clear" w:color="auto" w:fill="E1DFDD"/>
    </w:rPr>
  </w:style>
  <w:style w:type="paragraph" w:styleId="Tekstprzypisudolnego">
    <w:name w:val="footnote text"/>
    <w:basedOn w:val="Normalny"/>
    <w:link w:val="TekstprzypisudolnegoZnak"/>
    <w:uiPriority w:val="99"/>
    <w:semiHidden/>
    <w:unhideWhenUsed/>
    <w:rsid w:val="00C06887"/>
    <w:rPr>
      <w:sz w:val="20"/>
      <w:szCs w:val="20"/>
    </w:rPr>
  </w:style>
  <w:style w:type="character" w:customStyle="1" w:styleId="TekstprzypisudolnegoZnak">
    <w:name w:val="Tekst przypisu dolnego Znak"/>
    <w:basedOn w:val="Domylnaczcionkaakapitu"/>
    <w:link w:val="Tekstprzypisudolnego"/>
    <w:uiPriority w:val="99"/>
    <w:semiHidden/>
    <w:rsid w:val="00C06887"/>
    <w:rPr>
      <w:color w:val="000000"/>
      <w:sz w:val="20"/>
      <w:szCs w:val="20"/>
    </w:rPr>
  </w:style>
  <w:style w:type="character" w:styleId="Odwoanieprzypisudolnego">
    <w:name w:val="footnote reference"/>
    <w:basedOn w:val="Domylnaczcionkaakapitu"/>
    <w:uiPriority w:val="99"/>
    <w:semiHidden/>
    <w:unhideWhenUsed/>
    <w:rsid w:val="00C06887"/>
    <w:rPr>
      <w:vertAlign w:val="superscript"/>
    </w:rPr>
  </w:style>
  <w:style w:type="paragraph" w:styleId="Tekstdymka">
    <w:name w:val="Balloon Text"/>
    <w:basedOn w:val="Normalny"/>
    <w:link w:val="TekstdymkaZnak"/>
    <w:uiPriority w:val="99"/>
    <w:semiHidden/>
    <w:unhideWhenUsed/>
    <w:rsid w:val="004F2249"/>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2249"/>
    <w:rPr>
      <w:rFonts w:ascii="Segoe UI" w:hAnsi="Segoe UI" w:cs="Segoe UI"/>
      <w:color w:val="000000"/>
      <w:sz w:val="18"/>
      <w:szCs w:val="18"/>
    </w:rPr>
  </w:style>
  <w:style w:type="paragraph" w:styleId="Nagwek">
    <w:name w:val="header"/>
    <w:basedOn w:val="Normalny"/>
    <w:link w:val="NagwekZnak"/>
    <w:uiPriority w:val="99"/>
    <w:unhideWhenUsed/>
    <w:rsid w:val="00A309A0"/>
    <w:pPr>
      <w:tabs>
        <w:tab w:val="center" w:pos="4536"/>
        <w:tab w:val="right" w:pos="9072"/>
      </w:tabs>
    </w:pPr>
  </w:style>
  <w:style w:type="character" w:customStyle="1" w:styleId="NagwekZnak">
    <w:name w:val="Nagłówek Znak"/>
    <w:basedOn w:val="Domylnaczcionkaakapitu"/>
    <w:link w:val="Nagwek"/>
    <w:uiPriority w:val="99"/>
    <w:rsid w:val="00A309A0"/>
    <w:rPr>
      <w:color w:val="000000"/>
    </w:rPr>
  </w:style>
  <w:style w:type="paragraph" w:styleId="Stopka">
    <w:name w:val="footer"/>
    <w:basedOn w:val="Normalny"/>
    <w:link w:val="StopkaZnak"/>
    <w:uiPriority w:val="99"/>
    <w:unhideWhenUsed/>
    <w:rsid w:val="00A309A0"/>
    <w:pPr>
      <w:tabs>
        <w:tab w:val="center" w:pos="4536"/>
        <w:tab w:val="right" w:pos="9072"/>
      </w:tabs>
    </w:pPr>
  </w:style>
  <w:style w:type="character" w:customStyle="1" w:styleId="StopkaZnak">
    <w:name w:val="Stopka Znak"/>
    <w:basedOn w:val="Domylnaczcionkaakapitu"/>
    <w:link w:val="Stopka"/>
    <w:uiPriority w:val="99"/>
    <w:rsid w:val="00A309A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9369A-4489-4CD4-861A-0AF960939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3106</Words>
  <Characters>18638</Characters>
  <Application>Microsoft Office Word</Application>
  <DocSecurity>4</DocSecurity>
  <Lines>155</Lines>
  <Paragraphs>43</Paragraphs>
  <ScaleCrop>false</ScaleCrop>
  <HeadingPairs>
    <vt:vector size="2" baseType="variant">
      <vt:variant>
        <vt:lpstr>Tytuł</vt:lpstr>
      </vt:variant>
      <vt:variant>
        <vt:i4>1</vt:i4>
      </vt:variant>
    </vt:vector>
  </HeadingPairs>
  <TitlesOfParts>
    <vt:vector size="1" baseType="lpstr">
      <vt:lpstr>CETS 098 - Explanatory Report to the Second Additional Protocol to the European Convention on Extradition</vt:lpstr>
    </vt:vector>
  </TitlesOfParts>
  <Company/>
  <LinksUpToDate>false</LinksUpToDate>
  <CharactersWithSpaces>21701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CETS 098 - Explanatory Report to the Second Additional Protocol to the European Convention on Extradition</dc:title>
  <dc:subject/>
  <dc:creator>Conseil de l'Europe</dc:creator>
  <cp:keywords/>
  <cp:lastModifiedBy>Skoczelas Małgorzata  (DWMPC)</cp:lastModifiedBy>
  <cp:revision>2</cp:revision>
  <cp:lastPrinted>2023-02-15T12:00:00Z</cp:lastPrinted>
  <dcterms:created xsi:type="dcterms:W3CDTF">2023-03-07T08:28:00Z</dcterms:created>
  <dcterms:modified xsi:type="dcterms:W3CDTF">2023-03-07T08:28:00Z</dcterms:modified>
</cp:coreProperties>
</file>