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39" w:rsidRPr="00841757" w:rsidRDefault="00C65D39" w:rsidP="008417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757">
        <w:rPr>
          <w:rFonts w:ascii="Times New Roman" w:hAnsi="Times New Roman"/>
          <w:b/>
          <w:sz w:val="24"/>
          <w:szCs w:val="24"/>
        </w:rPr>
        <w:t xml:space="preserve">OPIS ISTOTNYCH ZAGADNIEŃ </w:t>
      </w:r>
      <w:bookmarkStart w:id="0" w:name="_GoBack"/>
      <w:bookmarkEnd w:id="0"/>
    </w:p>
    <w:p w:rsidR="00C65D39" w:rsidRPr="00841757" w:rsidRDefault="00C65D39" w:rsidP="008417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757">
        <w:rPr>
          <w:rFonts w:ascii="Times New Roman" w:hAnsi="Times New Roman"/>
          <w:b/>
          <w:sz w:val="24"/>
          <w:szCs w:val="24"/>
        </w:rPr>
        <w:t>DO ZADANIA Z ZAKRESU PRAWA CYWILNEGO</w:t>
      </w:r>
    </w:p>
    <w:p w:rsidR="00C65D39" w:rsidRPr="00841757" w:rsidRDefault="00C65D39" w:rsidP="008417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757">
        <w:rPr>
          <w:rFonts w:ascii="Times New Roman" w:hAnsi="Times New Roman"/>
          <w:b/>
          <w:sz w:val="24"/>
          <w:szCs w:val="24"/>
        </w:rPr>
        <w:t xml:space="preserve">(TRZECIA </w:t>
      </w:r>
      <w:r>
        <w:rPr>
          <w:rFonts w:ascii="Times New Roman" w:hAnsi="Times New Roman"/>
          <w:b/>
          <w:sz w:val="24"/>
          <w:szCs w:val="24"/>
        </w:rPr>
        <w:t xml:space="preserve">CZĘŚĆ EGZAMINU ADWOKACKIEGO – </w:t>
      </w:r>
      <w:r w:rsidRPr="008417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21 MARCA 2013</w:t>
      </w:r>
      <w:r w:rsidRPr="008417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</w:t>
      </w:r>
      <w:r w:rsidRPr="00841757">
        <w:rPr>
          <w:rFonts w:ascii="Times New Roman" w:hAnsi="Times New Roman"/>
          <w:b/>
          <w:sz w:val="24"/>
          <w:szCs w:val="24"/>
        </w:rPr>
        <w:t>.)</w:t>
      </w:r>
    </w:p>
    <w:p w:rsidR="00C65D39" w:rsidRPr="00841757" w:rsidRDefault="00C65D39" w:rsidP="0084175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65D39" w:rsidRDefault="00C65D39" w:rsidP="00C8195A">
      <w:pPr>
        <w:numPr>
          <w:ilvl w:val="0"/>
          <w:numId w:val="1"/>
        </w:numPr>
        <w:tabs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W ocenie zespołu przygotowującego zadania egzaminacyjne, prawidłowe rozwiązanie</w:t>
      </w:r>
      <w:r>
        <w:rPr>
          <w:rFonts w:ascii="Times New Roman" w:hAnsi="Times New Roman"/>
          <w:sz w:val="24"/>
          <w:szCs w:val="24"/>
        </w:rPr>
        <w:br/>
        <w:t xml:space="preserve">       </w:t>
      </w:r>
      <w:r w:rsidRPr="00841757">
        <w:rPr>
          <w:rFonts w:ascii="Times New Roman" w:hAnsi="Times New Roman"/>
          <w:sz w:val="24"/>
          <w:szCs w:val="24"/>
        </w:rPr>
        <w:t>zadania z zakresu prawa cywilnego powinno polegać na przygotowaniu apelacji.</w:t>
      </w:r>
    </w:p>
    <w:p w:rsidR="00C65D39" w:rsidRPr="00841757" w:rsidRDefault="00C65D39" w:rsidP="00C8195A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65D39" w:rsidRDefault="00C65D39" w:rsidP="00C8195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II.</w:t>
      </w:r>
      <w:r w:rsidRPr="00841757">
        <w:rPr>
          <w:rFonts w:ascii="Times New Roman" w:hAnsi="Times New Roman"/>
          <w:sz w:val="24"/>
          <w:szCs w:val="24"/>
        </w:rPr>
        <w:tab/>
        <w:t>W ocenie zespołu</w:t>
      </w:r>
      <w:r>
        <w:rPr>
          <w:rFonts w:ascii="Times New Roman" w:hAnsi="Times New Roman"/>
          <w:sz w:val="24"/>
          <w:szCs w:val="24"/>
        </w:rPr>
        <w:t>,</w:t>
      </w:r>
      <w:r w:rsidRPr="00841757">
        <w:rPr>
          <w:rFonts w:ascii="Times New Roman" w:hAnsi="Times New Roman"/>
          <w:sz w:val="24"/>
          <w:szCs w:val="24"/>
        </w:rPr>
        <w:t xml:space="preserve"> ewentualna odpowiedzialność kierownika budowy wobec powódki nie wyłącza odpowiedzialności pozwanego wobec niej.</w:t>
      </w:r>
    </w:p>
    <w:p w:rsidR="00C65D39" w:rsidRPr="00841757" w:rsidRDefault="00C65D39" w:rsidP="00C8195A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C8195A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III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Istotne zagadnienia, występujące w zadaniu, to między innymi:</w:t>
      </w:r>
    </w:p>
    <w:p w:rsidR="00C65D39" w:rsidRPr="00841757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czy pozwany zgłaszał powódce zastrzeżenia do projektu architektonicznego, a jeżeli</w:t>
      </w:r>
      <w:r>
        <w:rPr>
          <w:rFonts w:ascii="Times New Roman" w:hAnsi="Times New Roman"/>
          <w:sz w:val="24"/>
          <w:szCs w:val="24"/>
        </w:rPr>
        <w:br/>
      </w:r>
      <w:r w:rsidRPr="00841757">
        <w:rPr>
          <w:rFonts w:ascii="Times New Roman" w:hAnsi="Times New Roman"/>
          <w:sz w:val="24"/>
          <w:szCs w:val="24"/>
        </w:rPr>
        <w:t>tak, to kiedy i w jakiej formie i jakie ewentualnie dowody potwierdzają tę okoliczność,</w:t>
      </w:r>
    </w:p>
    <w:p w:rsidR="00C65D39" w:rsidRPr="00841757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kto (powódka czy pozwany) dokonał zakupu drewna przeznaczonego do wykonania</w:t>
      </w:r>
      <w:r>
        <w:rPr>
          <w:rFonts w:ascii="Times New Roman" w:hAnsi="Times New Roman"/>
          <w:sz w:val="24"/>
          <w:szCs w:val="24"/>
        </w:rPr>
        <w:br/>
      </w:r>
      <w:r w:rsidRPr="00841757">
        <w:rPr>
          <w:rFonts w:ascii="Times New Roman" w:hAnsi="Times New Roman"/>
          <w:sz w:val="24"/>
          <w:szCs w:val="24"/>
        </w:rPr>
        <w:t>więźby dachowej, o złych przekrojach,</w:t>
      </w:r>
    </w:p>
    <w:p w:rsidR="00C65D39" w:rsidRPr="00841757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czy pozwany zgłaszał powódce, że drewno przeznaczone do wykonania więźby</w:t>
      </w:r>
      <w:r>
        <w:rPr>
          <w:rFonts w:ascii="Times New Roman" w:hAnsi="Times New Roman"/>
          <w:sz w:val="24"/>
          <w:szCs w:val="24"/>
        </w:rPr>
        <w:br/>
      </w:r>
      <w:r w:rsidRPr="00841757">
        <w:rPr>
          <w:rFonts w:ascii="Times New Roman" w:hAnsi="Times New Roman"/>
          <w:sz w:val="24"/>
          <w:szCs w:val="24"/>
        </w:rPr>
        <w:t>dachowej ma mniejsze przekroje, niż wynika to z projektu, a jeżeli tak, to kiedy dokonał takiego zgłoszenia, w jakiej formie i jakie znaczenie prawne ma to zgłoszenie,</w:t>
      </w:r>
    </w:p>
    <w:p w:rsidR="00C65D39" w:rsidRPr="00841757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czy wpis kiero</w:t>
      </w:r>
      <w:r>
        <w:rPr>
          <w:rFonts w:ascii="Times New Roman" w:hAnsi="Times New Roman"/>
          <w:sz w:val="24"/>
          <w:szCs w:val="24"/>
        </w:rPr>
        <w:t>wnika budowy w dzienniku budowy z dnia 26 sierpnia 2010r.</w:t>
      </w:r>
      <w:r>
        <w:rPr>
          <w:rFonts w:ascii="Times New Roman" w:hAnsi="Times New Roman"/>
          <w:sz w:val="24"/>
          <w:szCs w:val="24"/>
        </w:rPr>
        <w:br/>
        <w:t xml:space="preserve">świadczy </w:t>
      </w:r>
      <w:r w:rsidRPr="00841757">
        <w:rPr>
          <w:rFonts w:ascii="Times New Roman" w:hAnsi="Times New Roman"/>
          <w:sz w:val="24"/>
          <w:szCs w:val="24"/>
        </w:rPr>
        <w:t>o akceptacji przez kierownika budowy wadliwie wykonanej konstrukcji dachu,</w:t>
      </w:r>
    </w:p>
    <w:p w:rsidR="00C65D39" w:rsidRPr="00841757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czy ewentualne zgłoszenie przez pozwanego</w:t>
      </w:r>
      <w:r>
        <w:rPr>
          <w:rFonts w:ascii="Times New Roman" w:hAnsi="Times New Roman"/>
          <w:sz w:val="24"/>
          <w:szCs w:val="24"/>
        </w:rPr>
        <w:t>,</w:t>
      </w:r>
      <w:r w:rsidRPr="00841757">
        <w:rPr>
          <w:rFonts w:ascii="Times New Roman" w:hAnsi="Times New Roman"/>
          <w:sz w:val="24"/>
          <w:szCs w:val="24"/>
        </w:rPr>
        <w:t xml:space="preserve"> po wykonaniu dac</w:t>
      </w:r>
      <w:r>
        <w:rPr>
          <w:rFonts w:ascii="Times New Roman" w:hAnsi="Times New Roman"/>
          <w:sz w:val="24"/>
          <w:szCs w:val="24"/>
        </w:rPr>
        <w:t xml:space="preserve">hu, </w:t>
      </w:r>
      <w:r w:rsidRPr="00841757">
        <w:rPr>
          <w:rFonts w:ascii="Times New Roman" w:hAnsi="Times New Roman"/>
          <w:sz w:val="24"/>
          <w:szCs w:val="24"/>
        </w:rPr>
        <w:t>wadliwości drewna przeznaczonego do</w:t>
      </w:r>
      <w:r>
        <w:rPr>
          <w:rFonts w:ascii="Times New Roman" w:hAnsi="Times New Roman"/>
          <w:sz w:val="24"/>
          <w:szCs w:val="24"/>
        </w:rPr>
        <w:t xml:space="preserve"> wykonania więźby dachowej </w:t>
      </w:r>
      <w:r w:rsidRPr="00841757">
        <w:rPr>
          <w:rFonts w:ascii="Times New Roman" w:hAnsi="Times New Roman"/>
          <w:sz w:val="24"/>
          <w:szCs w:val="24"/>
        </w:rPr>
        <w:t xml:space="preserve">stanowi wykonanie obowiązku </w:t>
      </w:r>
      <w:r>
        <w:rPr>
          <w:rFonts w:ascii="Times New Roman" w:hAnsi="Times New Roman"/>
          <w:sz w:val="24"/>
          <w:szCs w:val="24"/>
        </w:rPr>
        <w:t>z art. 634 w zw. z art. 656 k.c.</w:t>
      </w:r>
      <w:r w:rsidRPr="00841757">
        <w:rPr>
          <w:rFonts w:ascii="Times New Roman" w:hAnsi="Times New Roman"/>
          <w:sz w:val="24"/>
          <w:szCs w:val="24"/>
        </w:rPr>
        <w:t>,</w:t>
      </w:r>
    </w:p>
    <w:p w:rsidR="00C65D39" w:rsidRDefault="00C65D39" w:rsidP="00C8195A">
      <w:pPr>
        <w:spacing w:after="0" w:line="360" w:lineRule="auto"/>
        <w:ind w:left="705" w:hanging="34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 xml:space="preserve">czy przyjęcie przez sąd pierwszej instancji terminu początkowego naliczania </w:t>
      </w:r>
      <w:r>
        <w:rPr>
          <w:rFonts w:ascii="Times New Roman" w:hAnsi="Times New Roman"/>
          <w:sz w:val="24"/>
          <w:szCs w:val="24"/>
        </w:rPr>
        <w:t xml:space="preserve">odsetek na </w:t>
      </w:r>
      <w:r w:rsidRPr="00841757">
        <w:rPr>
          <w:rFonts w:ascii="Times New Roman" w:hAnsi="Times New Roman"/>
          <w:sz w:val="24"/>
          <w:szCs w:val="24"/>
        </w:rPr>
        <w:t>dzień wniesienia p</w:t>
      </w:r>
      <w:r>
        <w:rPr>
          <w:rFonts w:ascii="Times New Roman" w:hAnsi="Times New Roman"/>
          <w:sz w:val="24"/>
          <w:szCs w:val="24"/>
        </w:rPr>
        <w:t>owództwa, jest zgodne z art. 455 w zw. z art. 481 § 1 i 2 k.c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C8195A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5D39" w:rsidRDefault="00C65D39" w:rsidP="00C8195A">
      <w:pPr>
        <w:tabs>
          <w:tab w:val="left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  <w:r>
        <w:rPr>
          <w:rFonts w:ascii="Times New Roman" w:hAnsi="Times New Roman"/>
          <w:sz w:val="24"/>
          <w:szCs w:val="24"/>
        </w:rPr>
        <w:tab/>
      </w:r>
      <w:r w:rsidRPr="00841757">
        <w:rPr>
          <w:rFonts w:ascii="Times New Roman" w:hAnsi="Times New Roman"/>
          <w:sz w:val="24"/>
          <w:szCs w:val="24"/>
        </w:rPr>
        <w:t>Powyższe wątpliwości skłaniają do następujących rozważań: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84175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 1.</w:t>
      </w:r>
      <w:r w:rsidRPr="00841757">
        <w:rPr>
          <w:rFonts w:ascii="Times New Roman" w:hAnsi="Times New Roman"/>
          <w:sz w:val="24"/>
          <w:szCs w:val="24"/>
        </w:rPr>
        <w:t xml:space="preserve"> Sąd pierwszej </w:t>
      </w:r>
      <w:r>
        <w:rPr>
          <w:rFonts w:ascii="Times New Roman" w:hAnsi="Times New Roman"/>
          <w:sz w:val="24"/>
          <w:szCs w:val="24"/>
        </w:rPr>
        <w:t xml:space="preserve">instancji dokonał ustalenia, że: </w:t>
      </w:r>
      <w:r w:rsidRPr="00D67F2B">
        <w:rPr>
          <w:rFonts w:ascii="Times New Roman" w:hAnsi="Times New Roman"/>
          <w:i/>
          <w:sz w:val="24"/>
          <w:szCs w:val="24"/>
        </w:rPr>
        <w:t>„Pozwany w czasie wykonywania umowy zgłaszał telefonicznie kierownikowi budowy zastrzeżenia do projektu architektonicznego a kierownik odpowiadała, że jeżeli powódka wniesie zmiany do projektu, to pozwany powinien wykonać pracę zgodnie z jej wolą”</w:t>
      </w:r>
      <w:r>
        <w:rPr>
          <w:rFonts w:ascii="Times New Roman" w:hAnsi="Times New Roman"/>
          <w:sz w:val="24"/>
          <w:szCs w:val="24"/>
        </w:rPr>
        <w:t>.</w:t>
      </w:r>
      <w:r w:rsidRPr="00841757">
        <w:rPr>
          <w:rFonts w:ascii="Times New Roman" w:hAnsi="Times New Roman"/>
          <w:sz w:val="24"/>
          <w:szCs w:val="24"/>
        </w:rPr>
        <w:t xml:space="preserve"> Ustalenie to jest podstawą wywodu, że w ten sposób pozwany wyk</w:t>
      </w:r>
      <w:r>
        <w:rPr>
          <w:rFonts w:ascii="Times New Roman" w:hAnsi="Times New Roman"/>
          <w:sz w:val="24"/>
          <w:szCs w:val="24"/>
        </w:rPr>
        <w:t>onał „ciążący na nim obowiązek”</w:t>
      </w:r>
      <w:r w:rsidRPr="00841757">
        <w:rPr>
          <w:rFonts w:ascii="Times New Roman" w:hAnsi="Times New Roman"/>
          <w:sz w:val="24"/>
          <w:szCs w:val="24"/>
        </w:rPr>
        <w:t xml:space="preserve">, w związku z czym nie może </w:t>
      </w:r>
      <w:r w:rsidRPr="00841757">
        <w:rPr>
          <w:rFonts w:ascii="Times New Roman" w:hAnsi="Times New Roman"/>
          <w:sz w:val="24"/>
          <w:szCs w:val="24"/>
        </w:rPr>
        <w:lastRenderedPageBreak/>
        <w:t>odpowiadać za wady konstrukcyjne dachu. Jako dowody, na podstawie których sąd pierwszej instancji dokonał tego ustalenia, wskazuje zeznania pozwanego</w:t>
      </w:r>
      <w:r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Tymczasem pozwany zeznał: </w:t>
      </w:r>
      <w:r w:rsidRPr="00D67F2B">
        <w:rPr>
          <w:rFonts w:ascii="Times New Roman" w:hAnsi="Times New Roman"/>
          <w:i/>
          <w:sz w:val="24"/>
          <w:szCs w:val="24"/>
        </w:rPr>
        <w:t>„Miałem zastrzeżenia do projektu architektoniczno-budowlanego, ale kierownikowi budowy ich nie zgłaszałem.”.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Sąd pierwszej instancji dokonał zatem ustaleń faktycznych sprzecznych z zebranym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41757">
        <w:rPr>
          <w:rFonts w:ascii="Times New Roman" w:hAnsi="Times New Roman"/>
          <w:sz w:val="24"/>
          <w:szCs w:val="24"/>
        </w:rPr>
        <w:t>w sprawie materiałem dowodowym, co może stanowić obrazę przepisu art. 233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k.p.c.</w:t>
      </w:r>
      <w:r w:rsidRPr="00841757">
        <w:rPr>
          <w:rFonts w:ascii="Times New Roman" w:hAnsi="Times New Roman"/>
          <w:sz w:val="24"/>
          <w:szCs w:val="24"/>
        </w:rPr>
        <w:t xml:space="preserve"> przez dowolną, a nie swobodną ocenę zeznań  pozwanego oraz dokonanie na podstawie tych zeznań ustaleń sprzecznych z faktami wynikającymi wprost z tych zeznań.</w:t>
      </w:r>
    </w:p>
    <w:p w:rsidR="00C65D39" w:rsidRDefault="00C65D39" w:rsidP="0084175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84175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 2.</w:t>
      </w:r>
      <w:r w:rsidRPr="00841757">
        <w:rPr>
          <w:rFonts w:ascii="Times New Roman" w:hAnsi="Times New Roman"/>
          <w:sz w:val="24"/>
          <w:szCs w:val="24"/>
        </w:rPr>
        <w:t xml:space="preserve">  Sąd pierwszej instancji pominął w swoich rozważaniach </w:t>
      </w:r>
      <w:r>
        <w:rPr>
          <w:rFonts w:ascii="Times New Roman" w:hAnsi="Times New Roman"/>
          <w:sz w:val="24"/>
          <w:szCs w:val="24"/>
        </w:rPr>
        <w:t xml:space="preserve">wnioski zawarte w </w:t>
      </w:r>
      <w:r w:rsidRPr="00841757">
        <w:rPr>
          <w:rFonts w:ascii="Times New Roman" w:hAnsi="Times New Roman"/>
          <w:sz w:val="24"/>
          <w:szCs w:val="24"/>
        </w:rPr>
        <w:t>ustne</w:t>
      </w:r>
      <w:r>
        <w:rPr>
          <w:rFonts w:ascii="Times New Roman" w:hAnsi="Times New Roman"/>
          <w:sz w:val="24"/>
          <w:szCs w:val="24"/>
        </w:rPr>
        <w:t>j</w:t>
      </w:r>
      <w:r w:rsidRPr="00841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opinii </w:t>
      </w:r>
      <w:r w:rsidRPr="00841757">
        <w:rPr>
          <w:rFonts w:ascii="Times New Roman" w:hAnsi="Times New Roman"/>
          <w:sz w:val="24"/>
          <w:szCs w:val="24"/>
        </w:rPr>
        <w:t xml:space="preserve">biegłego </w:t>
      </w:r>
      <w:r>
        <w:rPr>
          <w:rFonts w:ascii="Times New Roman" w:hAnsi="Times New Roman"/>
          <w:sz w:val="24"/>
          <w:szCs w:val="24"/>
        </w:rPr>
        <w:t>złożonej na rozprawie</w:t>
      </w:r>
      <w:r w:rsidRPr="008417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dniu </w:t>
      </w:r>
      <w:r w:rsidRPr="00841757">
        <w:rPr>
          <w:rFonts w:ascii="Times New Roman" w:hAnsi="Times New Roman"/>
          <w:sz w:val="24"/>
          <w:szCs w:val="24"/>
        </w:rPr>
        <w:t>25 lutego 2013</w:t>
      </w:r>
      <w:r>
        <w:rPr>
          <w:rFonts w:ascii="Times New Roman" w:hAnsi="Times New Roman"/>
          <w:sz w:val="24"/>
          <w:szCs w:val="24"/>
        </w:rPr>
        <w:t xml:space="preserve">r., że </w:t>
      </w:r>
      <w:r w:rsidRPr="00D67F2B">
        <w:rPr>
          <w:rFonts w:ascii="Times New Roman" w:hAnsi="Times New Roman"/>
          <w:i/>
          <w:sz w:val="24"/>
          <w:szCs w:val="24"/>
        </w:rPr>
        <w:t>„pozwany jako wykonawca zastosował zbyt małe przekroje konstrukcyjne elementów dachowych pod pokrycie”</w:t>
      </w:r>
      <w:r>
        <w:rPr>
          <w:rFonts w:ascii="Times New Roman" w:hAnsi="Times New Roman"/>
          <w:sz w:val="24"/>
          <w:szCs w:val="24"/>
        </w:rPr>
        <w:t xml:space="preserve">                 i </w:t>
      </w:r>
      <w:r w:rsidRPr="00D67F2B">
        <w:rPr>
          <w:rFonts w:ascii="Times New Roman" w:hAnsi="Times New Roman"/>
          <w:i/>
          <w:sz w:val="24"/>
          <w:szCs w:val="24"/>
        </w:rPr>
        <w:t>„wymiary drewna, zwłaszcza ich przekroje, które zastosował pozwany przy wykonywaniu dachu nie odpowiadały projektowi i pozwany z pewnością o tym wiedział, bo dysponował projektem”</w:t>
      </w:r>
      <w:r w:rsidRPr="00841757">
        <w:rPr>
          <w:rFonts w:ascii="Times New Roman" w:hAnsi="Times New Roman"/>
          <w:sz w:val="24"/>
          <w:szCs w:val="24"/>
        </w:rPr>
        <w:t>. Z konsekwentnych i logicznych zeznań świadka Adama S</w:t>
      </w:r>
      <w:r>
        <w:rPr>
          <w:rFonts w:ascii="Times New Roman" w:hAnsi="Times New Roman"/>
          <w:sz w:val="24"/>
          <w:szCs w:val="24"/>
        </w:rPr>
        <w:t xml:space="preserve">mitha złożonych na rozprawie w dniu 24 maja 2012r. </w:t>
      </w:r>
      <w:r w:rsidRPr="00841757">
        <w:rPr>
          <w:rFonts w:ascii="Times New Roman" w:hAnsi="Times New Roman"/>
          <w:sz w:val="24"/>
          <w:szCs w:val="24"/>
        </w:rPr>
        <w:t xml:space="preserve">wynika, iż drewno przeznaczone na wykonanie dachu zamówił i kupił pozwany, bowiem powódka nie mogła się tym zająć, gdyż była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41757">
        <w:rPr>
          <w:rFonts w:ascii="Times New Roman" w:hAnsi="Times New Roman"/>
          <w:sz w:val="24"/>
          <w:szCs w:val="24"/>
        </w:rPr>
        <w:t xml:space="preserve">w zaawansowanej ciąży a świadek Adam Smith nie znał języka polskiego, nie mógł więc się tym zająć. Takiej treści zeznanie złożyła też powódka na rozprawie </w:t>
      </w:r>
      <w:r>
        <w:rPr>
          <w:rFonts w:ascii="Times New Roman" w:hAnsi="Times New Roman"/>
          <w:sz w:val="24"/>
          <w:szCs w:val="24"/>
        </w:rPr>
        <w:t xml:space="preserve">w dniu </w:t>
      </w:r>
      <w:r w:rsidRPr="00841757">
        <w:rPr>
          <w:rFonts w:ascii="Times New Roman" w:hAnsi="Times New Roman"/>
          <w:sz w:val="24"/>
          <w:szCs w:val="24"/>
        </w:rPr>
        <w:t>25 lutego 2013</w:t>
      </w:r>
      <w:r>
        <w:rPr>
          <w:rFonts w:ascii="Times New Roman" w:hAnsi="Times New Roman"/>
          <w:sz w:val="24"/>
          <w:szCs w:val="24"/>
        </w:rPr>
        <w:t xml:space="preserve">r. 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Skoro pozwany zakupił elementy do konstrukcji dachu niezgodne z projektem i je zamontował, ponosi odpowiedzialność z tytułu użycia materiałów niezgodnych z projektem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41757">
        <w:rPr>
          <w:rFonts w:ascii="Times New Roman" w:hAnsi="Times New Roman"/>
          <w:sz w:val="24"/>
          <w:szCs w:val="24"/>
        </w:rPr>
        <w:t xml:space="preserve"> i w konsekwencji za niewłaściwe wykonanie dachu.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Sąd pierwszej instancji zobowiązany był dokonać oceny wskazanych dowodów, która prowadzi do powyższego wniosku, a zaniechanie takiej oceny tych dowodów stanowi obrazę przepisu art. 233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k.p.c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Wskazane wydają się też rozważania na te</w:t>
      </w:r>
      <w:r>
        <w:rPr>
          <w:rFonts w:ascii="Times New Roman" w:hAnsi="Times New Roman"/>
          <w:sz w:val="24"/>
          <w:szCs w:val="24"/>
        </w:rPr>
        <w:t>mat obrazy przepisu art. 245 k.p.c</w:t>
      </w:r>
      <w:r w:rsidRPr="00841757">
        <w:rPr>
          <w:rFonts w:ascii="Times New Roman" w:hAnsi="Times New Roman"/>
          <w:sz w:val="24"/>
          <w:szCs w:val="24"/>
        </w:rPr>
        <w:t>. Sąd nie dał wiary zeznaniom powódki i jej męża - Adama Smitha, że materiał na budowę, oprócz materiału wykorzystanego na budowę fundamentów, wybierał i kupował pozwany, gdyż jest</w:t>
      </w:r>
      <w:r>
        <w:rPr>
          <w:rFonts w:ascii="Times New Roman" w:hAnsi="Times New Roman"/>
          <w:sz w:val="24"/>
          <w:szCs w:val="24"/>
        </w:rPr>
        <w:t xml:space="preserve"> to sprzeczne z § </w:t>
      </w:r>
      <w:r w:rsidRPr="00841757">
        <w:rPr>
          <w:rFonts w:ascii="Times New Roman" w:hAnsi="Times New Roman"/>
          <w:sz w:val="24"/>
          <w:szCs w:val="24"/>
        </w:rPr>
        <w:t>3 umowy stron, podczas gdy umowa stron, w świetle przepisu art. 245</w:t>
      </w:r>
      <w:r>
        <w:rPr>
          <w:rFonts w:ascii="Times New Roman" w:hAnsi="Times New Roman"/>
          <w:sz w:val="24"/>
          <w:szCs w:val="24"/>
        </w:rPr>
        <w:t xml:space="preserve"> k.p.c.</w:t>
      </w:r>
      <w:r w:rsidRPr="00841757">
        <w:rPr>
          <w:rFonts w:ascii="Times New Roman" w:hAnsi="Times New Roman"/>
          <w:sz w:val="24"/>
          <w:szCs w:val="24"/>
        </w:rPr>
        <w:t xml:space="preserve">, stanowi dowód </w:t>
      </w:r>
      <w:r>
        <w:rPr>
          <w:rFonts w:ascii="Times New Roman" w:hAnsi="Times New Roman"/>
          <w:sz w:val="24"/>
          <w:szCs w:val="24"/>
        </w:rPr>
        <w:t xml:space="preserve">jedynie </w:t>
      </w:r>
      <w:r w:rsidRPr="00841757">
        <w:rPr>
          <w:rFonts w:ascii="Times New Roman" w:hAnsi="Times New Roman"/>
          <w:sz w:val="24"/>
          <w:szCs w:val="24"/>
        </w:rPr>
        <w:t>na okoliczność, że strony złożyły oświadczenie zawarte w tej umowie.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841757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5C00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W uzasadnieniu zaskarżonego wyroku sąd pierwszej instancji d</w:t>
      </w:r>
      <w:r>
        <w:rPr>
          <w:rFonts w:ascii="Times New Roman" w:hAnsi="Times New Roman"/>
          <w:sz w:val="24"/>
          <w:szCs w:val="24"/>
        </w:rPr>
        <w:t xml:space="preserve">wukrotnie wywodzi, że pozwany: </w:t>
      </w:r>
      <w:r w:rsidRPr="00D67F2B">
        <w:rPr>
          <w:rFonts w:ascii="Times New Roman" w:hAnsi="Times New Roman"/>
          <w:i/>
          <w:sz w:val="24"/>
          <w:szCs w:val="24"/>
        </w:rPr>
        <w:t>„Wykonując dach pozwany zauważył, że drewno, z którego została wykonana więźba dachowa ma mni</w:t>
      </w:r>
      <w:r>
        <w:rPr>
          <w:rFonts w:ascii="Times New Roman" w:hAnsi="Times New Roman"/>
          <w:i/>
          <w:sz w:val="24"/>
          <w:szCs w:val="24"/>
        </w:rPr>
        <w:t>ejsze przekroje niż wynikało to</w:t>
      </w:r>
      <w:r w:rsidRPr="00D67F2B">
        <w:rPr>
          <w:rFonts w:ascii="Times New Roman" w:hAnsi="Times New Roman"/>
          <w:i/>
          <w:sz w:val="24"/>
          <w:szCs w:val="24"/>
        </w:rPr>
        <w:t xml:space="preserve"> z projektu, zgłosił ustnie </w:t>
      </w:r>
      <w:r w:rsidRPr="00D67F2B">
        <w:rPr>
          <w:rFonts w:ascii="Times New Roman" w:hAnsi="Times New Roman"/>
          <w:i/>
          <w:sz w:val="24"/>
          <w:szCs w:val="24"/>
        </w:rPr>
        <w:lastRenderedPageBreak/>
        <w:t>kierownikowi budowy, że trzeba dołożyć płatwie i słupy, co zostało przez nią zaakceptowane.”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Jest to ustalenie sprzeczne z zeznaniem pozwanego złożonym </w:t>
      </w:r>
      <w:r>
        <w:rPr>
          <w:rFonts w:ascii="Times New Roman" w:hAnsi="Times New Roman"/>
          <w:sz w:val="24"/>
          <w:szCs w:val="24"/>
        </w:rPr>
        <w:t xml:space="preserve">dnia </w:t>
      </w:r>
      <w:r w:rsidRPr="00841757">
        <w:rPr>
          <w:rFonts w:ascii="Times New Roman" w:hAnsi="Times New Roman"/>
          <w:sz w:val="24"/>
          <w:szCs w:val="24"/>
        </w:rPr>
        <w:t>25 lutego 2013</w:t>
      </w:r>
      <w:r>
        <w:rPr>
          <w:rFonts w:ascii="Times New Roman" w:hAnsi="Times New Roman"/>
          <w:sz w:val="24"/>
          <w:szCs w:val="24"/>
        </w:rPr>
        <w:t>r.</w:t>
      </w:r>
      <w:r w:rsidRPr="00841757">
        <w:rPr>
          <w:rFonts w:ascii="Times New Roman" w:hAnsi="Times New Roman"/>
          <w:sz w:val="24"/>
          <w:szCs w:val="24"/>
        </w:rPr>
        <w:t xml:space="preserve">: </w:t>
      </w:r>
      <w:r w:rsidRPr="00D67F2B">
        <w:rPr>
          <w:rFonts w:ascii="Times New Roman" w:hAnsi="Times New Roman"/>
          <w:i/>
          <w:sz w:val="24"/>
          <w:szCs w:val="24"/>
        </w:rPr>
        <w:t>„Wiedziałem, że to drewno, które montowałem jako konstrukcję dachu ma mniejsze przekroje od tych, które wynikały z projektu, a mimo to zastosowałem je.</w:t>
      </w:r>
      <w:r>
        <w:rPr>
          <w:rFonts w:ascii="Times New Roman" w:hAnsi="Times New Roman"/>
          <w:sz w:val="24"/>
          <w:szCs w:val="24"/>
        </w:rPr>
        <w:t>”</w:t>
      </w:r>
      <w:r w:rsidRPr="00841757">
        <w:rPr>
          <w:rFonts w:ascii="Times New Roman" w:hAnsi="Times New Roman"/>
          <w:sz w:val="24"/>
          <w:szCs w:val="24"/>
        </w:rPr>
        <w:t xml:space="preserve">. Dopiero po zamontowaniu konstrukcji dachu: </w:t>
      </w:r>
      <w:r>
        <w:rPr>
          <w:rFonts w:ascii="Times New Roman" w:hAnsi="Times New Roman"/>
          <w:i/>
          <w:sz w:val="24"/>
          <w:szCs w:val="24"/>
        </w:rPr>
        <w:t>„</w:t>
      </w:r>
      <w:r w:rsidRPr="00D67F2B">
        <w:rPr>
          <w:rFonts w:ascii="Times New Roman" w:hAnsi="Times New Roman"/>
          <w:i/>
          <w:sz w:val="24"/>
          <w:szCs w:val="24"/>
        </w:rPr>
        <w:t>Dlatego, że drewno to miało mniejsze przekroje - zastosowałem po uzgodnieniu z powódką płatwie wzmacniające, bo inaczej dach by uległ zawaleniu."</w:t>
      </w:r>
      <w:r w:rsidRPr="00841757">
        <w:rPr>
          <w:rFonts w:ascii="Times New Roman" w:hAnsi="Times New Roman"/>
          <w:sz w:val="24"/>
          <w:szCs w:val="24"/>
        </w:rPr>
        <w:t>. Wynika z tego, że pozwany ustalił zastosowanie płatwi wzmacniających dopiero po wadliwym wykonaniu dachu i to z powódką, a nie - jak ustalił sąd I instancji - z kierownikiem budowy. Takie sprzeczne z zebranym materiałem dowodowym i zasadami logiki ustalenia, stanowić mogą obrazę art. 233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k.p.c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W konsekwencji sąd pierwszej instancji wyprowadził nieprawidłową ocenę, że pozwany </w:t>
      </w:r>
      <w:r w:rsidRPr="00D67F2B">
        <w:rPr>
          <w:rFonts w:ascii="Times New Roman" w:hAnsi="Times New Roman"/>
          <w:i/>
          <w:sz w:val="24"/>
          <w:szCs w:val="24"/>
        </w:rPr>
        <w:t>„wykonał ciążący na nim obowiązek”</w:t>
      </w:r>
      <w:r w:rsidRPr="00841757">
        <w:rPr>
          <w:rFonts w:ascii="Times New Roman" w:hAnsi="Times New Roman"/>
          <w:sz w:val="24"/>
          <w:szCs w:val="24"/>
        </w:rPr>
        <w:t xml:space="preserve"> (art. 647 k.c</w:t>
      </w:r>
      <w:r>
        <w:rPr>
          <w:rFonts w:ascii="Times New Roman" w:hAnsi="Times New Roman"/>
          <w:sz w:val="24"/>
          <w:szCs w:val="24"/>
        </w:rPr>
        <w:t>.</w:t>
      </w:r>
      <w:r w:rsidRPr="00841757">
        <w:rPr>
          <w:rFonts w:ascii="Times New Roman" w:hAnsi="Times New Roman"/>
          <w:sz w:val="24"/>
          <w:szCs w:val="24"/>
        </w:rPr>
        <w:t>).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555C0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 4.</w:t>
      </w:r>
      <w:r>
        <w:rPr>
          <w:rFonts w:ascii="Times New Roman" w:hAnsi="Times New Roman"/>
          <w:sz w:val="24"/>
          <w:szCs w:val="24"/>
        </w:rPr>
        <w:t xml:space="preserve"> S</w:t>
      </w:r>
      <w:r w:rsidRPr="00841757">
        <w:rPr>
          <w:rFonts w:ascii="Times New Roman" w:hAnsi="Times New Roman"/>
          <w:sz w:val="24"/>
          <w:szCs w:val="24"/>
        </w:rPr>
        <w:t xml:space="preserve">ąd </w:t>
      </w:r>
      <w:r>
        <w:rPr>
          <w:rFonts w:ascii="Times New Roman" w:hAnsi="Times New Roman"/>
          <w:sz w:val="24"/>
          <w:szCs w:val="24"/>
        </w:rPr>
        <w:t xml:space="preserve">pierwszej instancji wywodzi, że: </w:t>
      </w:r>
      <w:r w:rsidRPr="00D67F2B">
        <w:rPr>
          <w:rFonts w:ascii="Times New Roman" w:hAnsi="Times New Roman"/>
          <w:i/>
          <w:sz w:val="24"/>
          <w:szCs w:val="24"/>
        </w:rPr>
        <w:t>„..wpis kierownika budowy z dnia                26 sierpnia 2010r. świadczy o akceptacji kierownika budowy wadliwie wykonanej konstrukcji dachu. W tych okolicznościach nie można uznać, że pozwany ponosi odpowiedzialność za niewłaściwe wykonanie dachu.”</w:t>
      </w:r>
      <w:r w:rsidRPr="00841757">
        <w:rPr>
          <w:rFonts w:ascii="Times New Roman" w:hAnsi="Times New Roman"/>
          <w:sz w:val="24"/>
          <w:szCs w:val="24"/>
        </w:rPr>
        <w:t>. Tymczasem jedyny wpis w dzienniku bu</w:t>
      </w:r>
      <w:r>
        <w:rPr>
          <w:rFonts w:ascii="Times New Roman" w:hAnsi="Times New Roman"/>
          <w:sz w:val="24"/>
          <w:szCs w:val="24"/>
        </w:rPr>
        <w:t xml:space="preserve">dowy z tego dnia ma brzmienie: </w:t>
      </w:r>
      <w:r w:rsidRPr="00D67F2B">
        <w:rPr>
          <w:rFonts w:ascii="Times New Roman" w:hAnsi="Times New Roman"/>
          <w:i/>
          <w:sz w:val="24"/>
          <w:szCs w:val="24"/>
        </w:rPr>
        <w:t>„Po dokonaniu oględzin wykonanego dachu stwierdzono, iż konstrukcja dachu uległa odkształceniom i wymaga wykonania naprawy oraz przełożenia dachówki. Pomimo powiadomienia p. Kwiecińskiego w dniu 18 sierpnia 2010r. o wadach i wezwania do wykonania wymienionych poprawek, wykonawca do dnia dzisiejszego nie zgłosił się, a tym samym nie przystąpił do wykonania naprawy źle wykonanego dachu.”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Takiego wpisu w dzienniku budowy nie da się, w świetle zasad logiki i doświadczenia życiowego zinterpretować w sposób, w jaki to uczynił sąd pierwszej instancji. </w:t>
      </w:r>
      <w:r>
        <w:rPr>
          <w:rFonts w:ascii="Times New Roman" w:hAnsi="Times New Roman"/>
          <w:sz w:val="24"/>
          <w:szCs w:val="24"/>
        </w:rPr>
        <w:t>Tym samym dokonał tego z obrazą</w:t>
      </w:r>
      <w:r w:rsidRPr="00841757">
        <w:rPr>
          <w:rFonts w:ascii="Times New Roman" w:hAnsi="Times New Roman"/>
          <w:sz w:val="24"/>
          <w:szCs w:val="24"/>
        </w:rPr>
        <w:t xml:space="preserve"> art. 233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1 k.p.c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84175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555C0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 5</w:t>
      </w:r>
      <w:r>
        <w:rPr>
          <w:rFonts w:ascii="Times New Roman" w:hAnsi="Times New Roman"/>
          <w:b/>
          <w:sz w:val="24"/>
          <w:szCs w:val="24"/>
        </w:rPr>
        <w:t>.</w:t>
      </w:r>
      <w:r w:rsidRPr="00841757">
        <w:rPr>
          <w:rFonts w:ascii="Times New Roman" w:hAnsi="Times New Roman"/>
          <w:sz w:val="24"/>
          <w:szCs w:val="24"/>
        </w:rPr>
        <w:t xml:space="preserve">  Nawet przyjmując, że drewno na konstrukcję dachu dostarczyła</w:t>
      </w:r>
      <w:r>
        <w:rPr>
          <w:rFonts w:ascii="Times New Roman" w:hAnsi="Times New Roman"/>
          <w:sz w:val="24"/>
          <w:szCs w:val="24"/>
        </w:rPr>
        <w:t>by</w:t>
      </w:r>
      <w:r w:rsidRPr="00841757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owódka, stosownie do art. 634 k.c. z zw. z art. 656 k.c.,</w:t>
      </w:r>
      <w:r w:rsidRPr="00841757">
        <w:rPr>
          <w:rFonts w:ascii="Times New Roman" w:hAnsi="Times New Roman"/>
          <w:sz w:val="24"/>
          <w:szCs w:val="24"/>
        </w:rPr>
        <w:t xml:space="preserve"> pozwany, wiedząc, że jest to materiał wadliwy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841757">
        <w:rPr>
          <w:rFonts w:ascii="Times New Roman" w:hAnsi="Times New Roman"/>
          <w:sz w:val="24"/>
          <w:szCs w:val="24"/>
        </w:rPr>
        <w:t xml:space="preserve">(a przyznał, że był tego świadomy) powinien powiadomić o tym fakcie powódkę i wstrzymać się z wykonaniem dachu do momentu uzyskania zgody na zastosowanie niewłaściwego materiału, a nie wykonać dach z takiego materiału i </w:t>
      </w:r>
      <w:r w:rsidRPr="002A3963">
        <w:rPr>
          <w:rFonts w:ascii="Times New Roman" w:hAnsi="Times New Roman"/>
          <w:i/>
          <w:sz w:val="24"/>
          <w:szCs w:val="24"/>
        </w:rPr>
        <w:t>post factum</w:t>
      </w:r>
      <w:r w:rsidRPr="00841757">
        <w:rPr>
          <w:rFonts w:ascii="Times New Roman" w:hAnsi="Times New Roman"/>
          <w:sz w:val="24"/>
          <w:szCs w:val="24"/>
        </w:rPr>
        <w:t xml:space="preserve"> ustalać naprawienie wadliwego dachu przez założenie płatw</w:t>
      </w:r>
      <w:r>
        <w:rPr>
          <w:rFonts w:ascii="Times New Roman" w:hAnsi="Times New Roman"/>
          <w:sz w:val="24"/>
          <w:szCs w:val="24"/>
        </w:rPr>
        <w:t>i</w:t>
      </w:r>
      <w:r w:rsidRPr="00841757">
        <w:rPr>
          <w:rFonts w:ascii="Times New Roman" w:hAnsi="Times New Roman"/>
          <w:sz w:val="24"/>
          <w:szCs w:val="24"/>
        </w:rPr>
        <w:t xml:space="preserve">. 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lastRenderedPageBreak/>
        <w:t>Takie działanie pozwanego nie stanowi wykonania ciążącego na nim obowiązku, a odmienna ocena dokonana przez sąd pierwszej instancji może być oceniana jako</w:t>
      </w:r>
      <w:r>
        <w:rPr>
          <w:rFonts w:ascii="Times New Roman" w:hAnsi="Times New Roman"/>
          <w:sz w:val="24"/>
          <w:szCs w:val="24"/>
        </w:rPr>
        <w:t xml:space="preserve"> naruszenie przepisu art. 634 k.c. z zw. z art. 656 k.c.</w:t>
      </w:r>
      <w:r w:rsidRPr="00841757">
        <w:rPr>
          <w:rFonts w:ascii="Times New Roman" w:hAnsi="Times New Roman"/>
          <w:sz w:val="24"/>
          <w:szCs w:val="24"/>
        </w:rPr>
        <w:t xml:space="preserve"> przez błędną ich wykładnię</w:t>
      </w:r>
      <w:r>
        <w:rPr>
          <w:rFonts w:ascii="Times New Roman" w:hAnsi="Times New Roman"/>
          <w:sz w:val="24"/>
          <w:szCs w:val="24"/>
        </w:rPr>
        <w:t xml:space="preserve"> i zastosowanie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Wprawdzie sąd pierwszej instancji nie przywołuje tych przepisów, ale uznać można, że odwołu</w:t>
      </w:r>
      <w:r>
        <w:rPr>
          <w:rFonts w:ascii="Times New Roman" w:hAnsi="Times New Roman"/>
          <w:sz w:val="24"/>
          <w:szCs w:val="24"/>
        </w:rPr>
        <w:t xml:space="preserve">je się do nich w stwierdzeniu: </w:t>
      </w:r>
      <w:r w:rsidRPr="00D67F2B">
        <w:rPr>
          <w:rFonts w:ascii="Times New Roman" w:hAnsi="Times New Roman"/>
          <w:i/>
          <w:sz w:val="24"/>
          <w:szCs w:val="24"/>
        </w:rPr>
        <w:t>„Skoro pozwany jako wykonawca zgłosił kierownikowi budowy zastrzeżenia co do powyższych kwestii, a zatem uznać należy, że wykonał on ciążący na nim obowiązek.”</w:t>
      </w:r>
      <w:r w:rsidRPr="00841757">
        <w:rPr>
          <w:rFonts w:ascii="Times New Roman" w:hAnsi="Times New Roman"/>
          <w:sz w:val="24"/>
          <w:szCs w:val="24"/>
        </w:rPr>
        <w:t>.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2A39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55C00">
        <w:rPr>
          <w:rFonts w:ascii="Times New Roman" w:hAnsi="Times New Roman"/>
          <w:b/>
          <w:sz w:val="24"/>
          <w:szCs w:val="24"/>
        </w:rPr>
        <w:t>Ad. 6</w:t>
      </w:r>
      <w:r>
        <w:rPr>
          <w:rFonts w:ascii="Times New Roman" w:hAnsi="Times New Roman"/>
          <w:sz w:val="24"/>
          <w:szCs w:val="24"/>
        </w:rPr>
        <w:t>.</w:t>
      </w:r>
      <w:r w:rsidRPr="00841757">
        <w:rPr>
          <w:rFonts w:ascii="Times New Roman" w:hAnsi="Times New Roman"/>
          <w:sz w:val="24"/>
          <w:szCs w:val="24"/>
        </w:rPr>
        <w:t xml:space="preserve"> Pismem z dnia 7 stycznia 2011r., doręczonym pozwanemu </w:t>
      </w:r>
      <w:r>
        <w:rPr>
          <w:rFonts w:ascii="Times New Roman" w:hAnsi="Times New Roman"/>
          <w:sz w:val="24"/>
          <w:szCs w:val="24"/>
        </w:rPr>
        <w:t xml:space="preserve">dnia </w:t>
      </w:r>
      <w:r w:rsidRPr="00841757">
        <w:rPr>
          <w:rFonts w:ascii="Times New Roman" w:hAnsi="Times New Roman"/>
          <w:sz w:val="24"/>
          <w:szCs w:val="24"/>
        </w:rPr>
        <w:t>10 stycznia 2011r., powódka wezwała pozwa</w:t>
      </w:r>
      <w:r>
        <w:rPr>
          <w:rFonts w:ascii="Times New Roman" w:hAnsi="Times New Roman"/>
          <w:sz w:val="24"/>
          <w:szCs w:val="24"/>
        </w:rPr>
        <w:t xml:space="preserve">nego do zapłaty kwoty 150.000 </w:t>
      </w:r>
      <w:r w:rsidRPr="00841757">
        <w:rPr>
          <w:rFonts w:ascii="Times New Roman" w:hAnsi="Times New Roman"/>
          <w:sz w:val="24"/>
          <w:szCs w:val="24"/>
        </w:rPr>
        <w:t>zł tytułem zwrotu kosztów usunięcia wad budynku. Pismo to zostało dołączone do pozwu.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1757">
        <w:rPr>
          <w:rFonts w:ascii="Times New Roman" w:hAnsi="Times New Roman"/>
          <w:sz w:val="24"/>
          <w:szCs w:val="24"/>
        </w:rPr>
        <w:t>Zasadnym zdaje się postawienie zarzutu</w:t>
      </w:r>
      <w:r>
        <w:rPr>
          <w:rFonts w:ascii="Times New Roman" w:hAnsi="Times New Roman"/>
          <w:sz w:val="24"/>
          <w:szCs w:val="24"/>
        </w:rPr>
        <w:t xml:space="preserve"> naruszenia przepisu art. 455 k.c. </w:t>
      </w:r>
      <w:r w:rsidRPr="00841757">
        <w:rPr>
          <w:rFonts w:ascii="Times New Roman" w:hAnsi="Times New Roman"/>
          <w:sz w:val="24"/>
          <w:szCs w:val="24"/>
        </w:rPr>
        <w:t>w zw. z</w:t>
      </w:r>
      <w:r>
        <w:rPr>
          <w:rFonts w:ascii="Times New Roman" w:hAnsi="Times New Roman"/>
          <w:sz w:val="24"/>
          <w:szCs w:val="24"/>
        </w:rPr>
        <w:t xml:space="preserve"> art. 481 § 1 i 2 k.c.</w:t>
      </w: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Skoro pismem z </w:t>
      </w:r>
      <w:r>
        <w:rPr>
          <w:rFonts w:ascii="Times New Roman" w:hAnsi="Times New Roman"/>
          <w:sz w:val="24"/>
          <w:szCs w:val="24"/>
        </w:rPr>
        <w:t xml:space="preserve">dnia </w:t>
      </w:r>
      <w:r w:rsidRPr="00841757">
        <w:rPr>
          <w:rFonts w:ascii="Times New Roman" w:hAnsi="Times New Roman"/>
          <w:sz w:val="24"/>
          <w:szCs w:val="24"/>
        </w:rPr>
        <w:t xml:space="preserve">7 stycznia 2011r., doręczonym </w:t>
      </w:r>
      <w:r>
        <w:rPr>
          <w:rFonts w:ascii="Times New Roman" w:hAnsi="Times New Roman"/>
          <w:sz w:val="24"/>
          <w:szCs w:val="24"/>
        </w:rPr>
        <w:t xml:space="preserve">w dniu </w:t>
      </w:r>
      <w:r w:rsidRPr="00841757">
        <w:rPr>
          <w:rFonts w:ascii="Times New Roman" w:hAnsi="Times New Roman"/>
          <w:sz w:val="24"/>
          <w:szCs w:val="24"/>
        </w:rPr>
        <w:t xml:space="preserve">10 stycznia 2011r., pozwany był wezwany do zapłaty do dnia 17 stycznia 2011r., na podstawie wyżej wskazanych przepisów, odsetki należy liczyć od dnia 18 stycznia 2011r., a nie od dnia wniesienia powództwa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41757">
        <w:rPr>
          <w:rFonts w:ascii="Times New Roman" w:hAnsi="Times New Roman"/>
          <w:sz w:val="24"/>
          <w:szCs w:val="24"/>
        </w:rPr>
        <w:t>(14 września 2011r.), jak uczynił to sąd pierwszej instancji.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IV. Powódka powinna zaskarżyć wyrok w części oddalającej powó</w:t>
      </w:r>
      <w:r>
        <w:rPr>
          <w:rFonts w:ascii="Times New Roman" w:hAnsi="Times New Roman"/>
          <w:sz w:val="24"/>
          <w:szCs w:val="24"/>
        </w:rPr>
        <w:t xml:space="preserve">dztwo o zapłatę kwoty 83.000 </w:t>
      </w:r>
      <w:r w:rsidRPr="00841757">
        <w:rPr>
          <w:rFonts w:ascii="Times New Roman" w:hAnsi="Times New Roman"/>
          <w:sz w:val="24"/>
          <w:szCs w:val="24"/>
        </w:rPr>
        <w:t xml:space="preserve">zł z odsetkami, oraz w części ustalającej termin początkowy płatności odsetek, jak również w części rozstrzygającej o kosztach procesu za pierwszą instancję. 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65D39" w:rsidRPr="00841757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>V. W ocenie zespołu</w:t>
      </w:r>
      <w:r>
        <w:rPr>
          <w:rFonts w:ascii="Times New Roman" w:hAnsi="Times New Roman"/>
          <w:sz w:val="24"/>
          <w:szCs w:val="24"/>
        </w:rPr>
        <w:t>,</w:t>
      </w:r>
      <w:r w:rsidRPr="00841757">
        <w:rPr>
          <w:rFonts w:ascii="Times New Roman" w:hAnsi="Times New Roman"/>
          <w:sz w:val="24"/>
          <w:szCs w:val="24"/>
        </w:rPr>
        <w:t xml:space="preserve"> apelacja powinna zawierać wniosek o zmianę zaskarżonego wyroku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41757">
        <w:rPr>
          <w:rFonts w:ascii="Times New Roman" w:hAnsi="Times New Roman"/>
          <w:sz w:val="24"/>
          <w:szCs w:val="24"/>
        </w:rPr>
        <w:t>w ten sposób, by ostatecznie na rzecz powódki od pozwanego zos</w:t>
      </w:r>
      <w:r>
        <w:rPr>
          <w:rFonts w:ascii="Times New Roman" w:hAnsi="Times New Roman"/>
          <w:sz w:val="24"/>
          <w:szCs w:val="24"/>
        </w:rPr>
        <w:t>tała zasądzona kwota  128.300</w:t>
      </w:r>
      <w:r w:rsidRPr="00841757">
        <w:rPr>
          <w:rFonts w:ascii="Times New Roman" w:hAnsi="Times New Roman"/>
          <w:sz w:val="24"/>
          <w:szCs w:val="24"/>
        </w:rPr>
        <w:t xml:space="preserve"> zł z odsetkami, natomiast początkowa data płatności odsetek powinna być ustalona na dzień </w:t>
      </w:r>
      <w:r>
        <w:rPr>
          <w:rFonts w:ascii="Times New Roman" w:hAnsi="Times New Roman"/>
          <w:sz w:val="24"/>
          <w:szCs w:val="24"/>
        </w:rPr>
        <w:t>18</w:t>
      </w:r>
      <w:r w:rsidRPr="00841757">
        <w:rPr>
          <w:rFonts w:ascii="Times New Roman" w:hAnsi="Times New Roman"/>
          <w:sz w:val="24"/>
          <w:szCs w:val="24"/>
        </w:rPr>
        <w:t xml:space="preserve"> stycznia 2011 r. (</w:t>
      </w:r>
      <w:r>
        <w:rPr>
          <w:rFonts w:ascii="Times New Roman" w:hAnsi="Times New Roman"/>
          <w:sz w:val="24"/>
          <w:szCs w:val="24"/>
        </w:rPr>
        <w:t xml:space="preserve">7 dni od daty </w:t>
      </w:r>
      <w:r w:rsidRPr="00841757">
        <w:rPr>
          <w:rFonts w:ascii="Times New Roman" w:hAnsi="Times New Roman"/>
          <w:sz w:val="24"/>
          <w:szCs w:val="24"/>
        </w:rPr>
        <w:t>doręczenia pozwanemu wezwania do zapłaty</w:t>
      </w:r>
      <w:r>
        <w:rPr>
          <w:rFonts w:ascii="Times New Roman" w:hAnsi="Times New Roman"/>
          <w:sz w:val="24"/>
          <w:szCs w:val="24"/>
        </w:rPr>
        <w:t xml:space="preserve"> – zgodnie z treścią tego wezwania</w:t>
      </w:r>
      <w:r w:rsidRPr="00841757">
        <w:rPr>
          <w:rFonts w:ascii="Times New Roman" w:hAnsi="Times New Roman"/>
          <w:sz w:val="24"/>
          <w:szCs w:val="24"/>
        </w:rPr>
        <w:t xml:space="preserve">) oraz kwota kosztów procesu poniesiona przez powódkę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41757">
        <w:rPr>
          <w:rFonts w:ascii="Times New Roman" w:hAnsi="Times New Roman"/>
          <w:sz w:val="24"/>
          <w:szCs w:val="24"/>
        </w:rPr>
        <w:t>w postępowaniu przed sądem pierwszej instancji uzasadniona wynikiem postępowania. Powinna również zostać zasądzona od pozwanego na rzecz powódki należność tytułem zwrotu kosztów postępowania przed sądem apelacyjnym (łącznie z kosztami zastępstwa adwokackiego).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41757">
        <w:rPr>
          <w:rFonts w:ascii="Times New Roman" w:hAnsi="Times New Roman"/>
          <w:sz w:val="24"/>
          <w:szCs w:val="24"/>
        </w:rPr>
        <w:t xml:space="preserve">W uzasadnieniu apelacji należy zawrzeć uzasadnienie żądania kosztów zastępstwa adwokackiego w podwójnej wysokości, w postępowaniu przed sądem pierwszej instancji, podnosząc nakład pracy adwokata, charakter sprawy i wkład adwokata w przyczynienie się do jej wyjaśnienia i rozstrzygnięcia. </w:t>
      </w:r>
    </w:p>
    <w:p w:rsidR="00C65D39" w:rsidRDefault="00C65D39" w:rsidP="0084175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65D39" w:rsidSect="00C8195A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88C" w:rsidRDefault="0058788C" w:rsidP="00237119">
      <w:pPr>
        <w:spacing w:after="0" w:line="240" w:lineRule="auto"/>
      </w:pPr>
      <w:r>
        <w:separator/>
      </w:r>
    </w:p>
  </w:endnote>
  <w:endnote w:type="continuationSeparator" w:id="0">
    <w:p w:rsidR="0058788C" w:rsidRDefault="0058788C" w:rsidP="00237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D39" w:rsidRDefault="0058788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42CB0">
      <w:rPr>
        <w:noProof/>
      </w:rPr>
      <w:t>1</w:t>
    </w:r>
    <w:r>
      <w:rPr>
        <w:noProof/>
      </w:rPr>
      <w:fldChar w:fldCharType="end"/>
    </w:r>
  </w:p>
  <w:p w:rsidR="00C65D39" w:rsidRDefault="00C65D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88C" w:rsidRDefault="0058788C" w:rsidP="00237119">
      <w:pPr>
        <w:spacing w:after="0" w:line="240" w:lineRule="auto"/>
      </w:pPr>
      <w:r>
        <w:separator/>
      </w:r>
    </w:p>
  </w:footnote>
  <w:footnote w:type="continuationSeparator" w:id="0">
    <w:p w:rsidR="0058788C" w:rsidRDefault="0058788C" w:rsidP="00237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00BD0"/>
    <w:multiLevelType w:val="hybridMultilevel"/>
    <w:tmpl w:val="E154ECE2"/>
    <w:lvl w:ilvl="0" w:tplc="2ED8A260">
      <w:start w:val="1"/>
      <w:numFmt w:val="upperRoman"/>
      <w:lvlText w:val="%1."/>
      <w:lvlJc w:val="left"/>
      <w:pPr>
        <w:tabs>
          <w:tab w:val="num" w:pos="7176"/>
        </w:tabs>
        <w:ind w:left="717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8256"/>
        </w:tabs>
        <w:ind w:left="82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8976"/>
        </w:tabs>
        <w:ind w:left="89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9696"/>
        </w:tabs>
        <w:ind w:left="96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0416"/>
        </w:tabs>
        <w:ind w:left="104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1136"/>
        </w:tabs>
        <w:ind w:left="111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1856"/>
        </w:tabs>
        <w:ind w:left="118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2576"/>
        </w:tabs>
        <w:ind w:left="1257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B7F"/>
    <w:rsid w:val="000115EC"/>
    <w:rsid w:val="00016A0E"/>
    <w:rsid w:val="00022958"/>
    <w:rsid w:val="00022C16"/>
    <w:rsid w:val="00027DAB"/>
    <w:rsid w:val="00033724"/>
    <w:rsid w:val="000414DE"/>
    <w:rsid w:val="00042C9F"/>
    <w:rsid w:val="000457EF"/>
    <w:rsid w:val="00045C16"/>
    <w:rsid w:val="00051BA0"/>
    <w:rsid w:val="00057554"/>
    <w:rsid w:val="00057E1C"/>
    <w:rsid w:val="00060D42"/>
    <w:rsid w:val="00061638"/>
    <w:rsid w:val="00070F57"/>
    <w:rsid w:val="00071FDC"/>
    <w:rsid w:val="000848CE"/>
    <w:rsid w:val="0009015B"/>
    <w:rsid w:val="0009640F"/>
    <w:rsid w:val="000973A6"/>
    <w:rsid w:val="000A0D2D"/>
    <w:rsid w:val="000A797C"/>
    <w:rsid w:val="000B2529"/>
    <w:rsid w:val="000B2C39"/>
    <w:rsid w:val="000B39B2"/>
    <w:rsid w:val="000B5F6C"/>
    <w:rsid w:val="000B6F15"/>
    <w:rsid w:val="000D21CF"/>
    <w:rsid w:val="000D29EA"/>
    <w:rsid w:val="000D2E7E"/>
    <w:rsid w:val="000D3227"/>
    <w:rsid w:val="000E0DC0"/>
    <w:rsid w:val="000E45EA"/>
    <w:rsid w:val="000E6C20"/>
    <w:rsid w:val="000F7510"/>
    <w:rsid w:val="00100B39"/>
    <w:rsid w:val="00101F03"/>
    <w:rsid w:val="00103595"/>
    <w:rsid w:val="0010393A"/>
    <w:rsid w:val="001130DE"/>
    <w:rsid w:val="001204E1"/>
    <w:rsid w:val="001225FF"/>
    <w:rsid w:val="0012546E"/>
    <w:rsid w:val="00130A7D"/>
    <w:rsid w:val="00133BE4"/>
    <w:rsid w:val="00135E99"/>
    <w:rsid w:val="00142986"/>
    <w:rsid w:val="00143208"/>
    <w:rsid w:val="0014672A"/>
    <w:rsid w:val="001512F9"/>
    <w:rsid w:val="00152630"/>
    <w:rsid w:val="00153471"/>
    <w:rsid w:val="001536E8"/>
    <w:rsid w:val="00155B9A"/>
    <w:rsid w:val="00157B82"/>
    <w:rsid w:val="00163B46"/>
    <w:rsid w:val="00173A11"/>
    <w:rsid w:val="00174A6F"/>
    <w:rsid w:val="00176499"/>
    <w:rsid w:val="00177EAE"/>
    <w:rsid w:val="00181822"/>
    <w:rsid w:val="001834B1"/>
    <w:rsid w:val="00185486"/>
    <w:rsid w:val="0019717C"/>
    <w:rsid w:val="001A26A8"/>
    <w:rsid w:val="001B3060"/>
    <w:rsid w:val="001B4E23"/>
    <w:rsid w:val="001C29EF"/>
    <w:rsid w:val="001C5124"/>
    <w:rsid w:val="001C6BD4"/>
    <w:rsid w:val="001D6633"/>
    <w:rsid w:val="001E0690"/>
    <w:rsid w:val="001E0879"/>
    <w:rsid w:val="001E5503"/>
    <w:rsid w:val="001E6E22"/>
    <w:rsid w:val="001F108A"/>
    <w:rsid w:val="001F3814"/>
    <w:rsid w:val="001F78BA"/>
    <w:rsid w:val="00212AF7"/>
    <w:rsid w:val="0021580E"/>
    <w:rsid w:val="00216B2A"/>
    <w:rsid w:val="0023043A"/>
    <w:rsid w:val="00237119"/>
    <w:rsid w:val="00240AB7"/>
    <w:rsid w:val="0024167D"/>
    <w:rsid w:val="0024242A"/>
    <w:rsid w:val="0024764B"/>
    <w:rsid w:val="00254BDA"/>
    <w:rsid w:val="00255AC9"/>
    <w:rsid w:val="00256988"/>
    <w:rsid w:val="00262BF6"/>
    <w:rsid w:val="00263FBA"/>
    <w:rsid w:val="00266AD3"/>
    <w:rsid w:val="00272FF1"/>
    <w:rsid w:val="00275129"/>
    <w:rsid w:val="00280297"/>
    <w:rsid w:val="00281012"/>
    <w:rsid w:val="002820A3"/>
    <w:rsid w:val="00285144"/>
    <w:rsid w:val="0029055B"/>
    <w:rsid w:val="00294061"/>
    <w:rsid w:val="002A123F"/>
    <w:rsid w:val="002A196B"/>
    <w:rsid w:val="002A3963"/>
    <w:rsid w:val="002A463D"/>
    <w:rsid w:val="002A571C"/>
    <w:rsid w:val="002A5864"/>
    <w:rsid w:val="002A6970"/>
    <w:rsid w:val="002B733B"/>
    <w:rsid w:val="002C2FD9"/>
    <w:rsid w:val="002C411F"/>
    <w:rsid w:val="002D7739"/>
    <w:rsid w:val="002D7ADC"/>
    <w:rsid w:val="002D7E61"/>
    <w:rsid w:val="002E0261"/>
    <w:rsid w:val="002E5652"/>
    <w:rsid w:val="002F271D"/>
    <w:rsid w:val="002F5404"/>
    <w:rsid w:val="002F76F7"/>
    <w:rsid w:val="00303146"/>
    <w:rsid w:val="003106EA"/>
    <w:rsid w:val="003143E3"/>
    <w:rsid w:val="00315789"/>
    <w:rsid w:val="00317D92"/>
    <w:rsid w:val="003205E2"/>
    <w:rsid w:val="00321B1D"/>
    <w:rsid w:val="00322CA9"/>
    <w:rsid w:val="003263CF"/>
    <w:rsid w:val="0034485E"/>
    <w:rsid w:val="00346A21"/>
    <w:rsid w:val="00347F1B"/>
    <w:rsid w:val="00351340"/>
    <w:rsid w:val="00355488"/>
    <w:rsid w:val="0035617D"/>
    <w:rsid w:val="00357D72"/>
    <w:rsid w:val="00362570"/>
    <w:rsid w:val="0036482B"/>
    <w:rsid w:val="00367FDB"/>
    <w:rsid w:val="00374FFF"/>
    <w:rsid w:val="00384022"/>
    <w:rsid w:val="00392620"/>
    <w:rsid w:val="00394207"/>
    <w:rsid w:val="00396D31"/>
    <w:rsid w:val="003A1DD7"/>
    <w:rsid w:val="003A47A3"/>
    <w:rsid w:val="003B7DA3"/>
    <w:rsid w:val="003C2869"/>
    <w:rsid w:val="003D339F"/>
    <w:rsid w:val="003D69DA"/>
    <w:rsid w:val="003D6AE3"/>
    <w:rsid w:val="003E41BA"/>
    <w:rsid w:val="003E45A8"/>
    <w:rsid w:val="003F41C6"/>
    <w:rsid w:val="003F4411"/>
    <w:rsid w:val="003F457C"/>
    <w:rsid w:val="003F7270"/>
    <w:rsid w:val="0040307A"/>
    <w:rsid w:val="00405DFB"/>
    <w:rsid w:val="00410FD1"/>
    <w:rsid w:val="00413D88"/>
    <w:rsid w:val="00414A63"/>
    <w:rsid w:val="00415917"/>
    <w:rsid w:val="004264C4"/>
    <w:rsid w:val="00430176"/>
    <w:rsid w:val="00430EA3"/>
    <w:rsid w:val="004372AE"/>
    <w:rsid w:val="00445E96"/>
    <w:rsid w:val="00447672"/>
    <w:rsid w:val="00450FAD"/>
    <w:rsid w:val="0045338C"/>
    <w:rsid w:val="00457204"/>
    <w:rsid w:val="00457A2A"/>
    <w:rsid w:val="004679CB"/>
    <w:rsid w:val="004717EB"/>
    <w:rsid w:val="00474414"/>
    <w:rsid w:val="0047548F"/>
    <w:rsid w:val="00491999"/>
    <w:rsid w:val="004A408C"/>
    <w:rsid w:val="004A6A3D"/>
    <w:rsid w:val="004B3999"/>
    <w:rsid w:val="004C2994"/>
    <w:rsid w:val="004C4031"/>
    <w:rsid w:val="004D77D0"/>
    <w:rsid w:val="004E1824"/>
    <w:rsid w:val="004E2CE5"/>
    <w:rsid w:val="004F39E4"/>
    <w:rsid w:val="004F7031"/>
    <w:rsid w:val="00505EB9"/>
    <w:rsid w:val="00517673"/>
    <w:rsid w:val="005206BA"/>
    <w:rsid w:val="00525052"/>
    <w:rsid w:val="005272EC"/>
    <w:rsid w:val="00533D08"/>
    <w:rsid w:val="00536210"/>
    <w:rsid w:val="0053653A"/>
    <w:rsid w:val="00537148"/>
    <w:rsid w:val="00543587"/>
    <w:rsid w:val="00546CDA"/>
    <w:rsid w:val="005510AB"/>
    <w:rsid w:val="00552575"/>
    <w:rsid w:val="0055587C"/>
    <w:rsid w:val="00555C00"/>
    <w:rsid w:val="00557B57"/>
    <w:rsid w:val="0057103D"/>
    <w:rsid w:val="00571737"/>
    <w:rsid w:val="00575BAF"/>
    <w:rsid w:val="00576554"/>
    <w:rsid w:val="00581327"/>
    <w:rsid w:val="00581D98"/>
    <w:rsid w:val="00582091"/>
    <w:rsid w:val="005822C3"/>
    <w:rsid w:val="005851D5"/>
    <w:rsid w:val="00586C37"/>
    <w:rsid w:val="0058788C"/>
    <w:rsid w:val="00590F0E"/>
    <w:rsid w:val="005913EC"/>
    <w:rsid w:val="00591516"/>
    <w:rsid w:val="005952A2"/>
    <w:rsid w:val="005A1AE6"/>
    <w:rsid w:val="005B47A6"/>
    <w:rsid w:val="005B7B84"/>
    <w:rsid w:val="005C58DB"/>
    <w:rsid w:val="005C76A4"/>
    <w:rsid w:val="005D1BF1"/>
    <w:rsid w:val="005D5042"/>
    <w:rsid w:val="005E0CC0"/>
    <w:rsid w:val="005E0F8E"/>
    <w:rsid w:val="005E1694"/>
    <w:rsid w:val="005E28A0"/>
    <w:rsid w:val="005E4C12"/>
    <w:rsid w:val="005E5F2B"/>
    <w:rsid w:val="005E7CFA"/>
    <w:rsid w:val="005F4969"/>
    <w:rsid w:val="00604371"/>
    <w:rsid w:val="006067E4"/>
    <w:rsid w:val="00610C9D"/>
    <w:rsid w:val="00611DC4"/>
    <w:rsid w:val="0061302A"/>
    <w:rsid w:val="006130CF"/>
    <w:rsid w:val="00613CEE"/>
    <w:rsid w:val="0062346B"/>
    <w:rsid w:val="00624656"/>
    <w:rsid w:val="00625C6F"/>
    <w:rsid w:val="00636855"/>
    <w:rsid w:val="00647048"/>
    <w:rsid w:val="00651C90"/>
    <w:rsid w:val="0065411B"/>
    <w:rsid w:val="00655126"/>
    <w:rsid w:val="00656623"/>
    <w:rsid w:val="00662328"/>
    <w:rsid w:val="006700B0"/>
    <w:rsid w:val="00670417"/>
    <w:rsid w:val="00675C57"/>
    <w:rsid w:val="00682423"/>
    <w:rsid w:val="006924CE"/>
    <w:rsid w:val="006926CA"/>
    <w:rsid w:val="006A2902"/>
    <w:rsid w:val="006A422C"/>
    <w:rsid w:val="006A552D"/>
    <w:rsid w:val="006A7702"/>
    <w:rsid w:val="006B2AA7"/>
    <w:rsid w:val="006C0ABD"/>
    <w:rsid w:val="006E283C"/>
    <w:rsid w:val="006E40EE"/>
    <w:rsid w:val="006E6309"/>
    <w:rsid w:val="006F6B7F"/>
    <w:rsid w:val="00704970"/>
    <w:rsid w:val="00707F3E"/>
    <w:rsid w:val="007109CD"/>
    <w:rsid w:val="00712C60"/>
    <w:rsid w:val="00725CC0"/>
    <w:rsid w:val="0072795B"/>
    <w:rsid w:val="00727D84"/>
    <w:rsid w:val="00734812"/>
    <w:rsid w:val="00734846"/>
    <w:rsid w:val="00736B2F"/>
    <w:rsid w:val="0074195F"/>
    <w:rsid w:val="00742CB0"/>
    <w:rsid w:val="00755DF6"/>
    <w:rsid w:val="00757815"/>
    <w:rsid w:val="007600DC"/>
    <w:rsid w:val="00760D3F"/>
    <w:rsid w:val="007748B0"/>
    <w:rsid w:val="00774902"/>
    <w:rsid w:val="00781A8F"/>
    <w:rsid w:val="00782F04"/>
    <w:rsid w:val="00795895"/>
    <w:rsid w:val="00797BB2"/>
    <w:rsid w:val="007A29D2"/>
    <w:rsid w:val="007A53DE"/>
    <w:rsid w:val="007B0FAB"/>
    <w:rsid w:val="007B13C7"/>
    <w:rsid w:val="007B3E69"/>
    <w:rsid w:val="007C3A63"/>
    <w:rsid w:val="007D697F"/>
    <w:rsid w:val="007D74E0"/>
    <w:rsid w:val="007E14DE"/>
    <w:rsid w:val="007E4EF8"/>
    <w:rsid w:val="007F039E"/>
    <w:rsid w:val="007F5919"/>
    <w:rsid w:val="008052C1"/>
    <w:rsid w:val="008135D4"/>
    <w:rsid w:val="00814A53"/>
    <w:rsid w:val="00815AED"/>
    <w:rsid w:val="00815B0C"/>
    <w:rsid w:val="00815DDE"/>
    <w:rsid w:val="008178BB"/>
    <w:rsid w:val="00823225"/>
    <w:rsid w:val="00823978"/>
    <w:rsid w:val="008259A7"/>
    <w:rsid w:val="00825F50"/>
    <w:rsid w:val="00827F80"/>
    <w:rsid w:val="00831BEE"/>
    <w:rsid w:val="00836E96"/>
    <w:rsid w:val="00841757"/>
    <w:rsid w:val="00850B91"/>
    <w:rsid w:val="0085696D"/>
    <w:rsid w:val="008659CA"/>
    <w:rsid w:val="00870608"/>
    <w:rsid w:val="0087198E"/>
    <w:rsid w:val="00872BEA"/>
    <w:rsid w:val="00886FA0"/>
    <w:rsid w:val="008922A1"/>
    <w:rsid w:val="008A00F8"/>
    <w:rsid w:val="008A12CE"/>
    <w:rsid w:val="008A6C38"/>
    <w:rsid w:val="008A76B6"/>
    <w:rsid w:val="008B25F5"/>
    <w:rsid w:val="008B3B5B"/>
    <w:rsid w:val="008B3BFE"/>
    <w:rsid w:val="008B6A89"/>
    <w:rsid w:val="008B728D"/>
    <w:rsid w:val="008C42D3"/>
    <w:rsid w:val="008C78C5"/>
    <w:rsid w:val="008D2213"/>
    <w:rsid w:val="008E12CE"/>
    <w:rsid w:val="008E6DC1"/>
    <w:rsid w:val="008F0986"/>
    <w:rsid w:val="008F41C5"/>
    <w:rsid w:val="008F6D96"/>
    <w:rsid w:val="00901659"/>
    <w:rsid w:val="00901E35"/>
    <w:rsid w:val="00911EC5"/>
    <w:rsid w:val="0091259B"/>
    <w:rsid w:val="009178EF"/>
    <w:rsid w:val="00922B7D"/>
    <w:rsid w:val="0092786E"/>
    <w:rsid w:val="00931AED"/>
    <w:rsid w:val="00932EC8"/>
    <w:rsid w:val="00932EE3"/>
    <w:rsid w:val="0093342D"/>
    <w:rsid w:val="00941D1C"/>
    <w:rsid w:val="00942AA5"/>
    <w:rsid w:val="009479BE"/>
    <w:rsid w:val="00962E28"/>
    <w:rsid w:val="00971212"/>
    <w:rsid w:val="009720EB"/>
    <w:rsid w:val="00975CCB"/>
    <w:rsid w:val="00976384"/>
    <w:rsid w:val="009776D7"/>
    <w:rsid w:val="00985004"/>
    <w:rsid w:val="00990937"/>
    <w:rsid w:val="009920C5"/>
    <w:rsid w:val="0099286B"/>
    <w:rsid w:val="00995BF1"/>
    <w:rsid w:val="00995E64"/>
    <w:rsid w:val="00997574"/>
    <w:rsid w:val="009A034F"/>
    <w:rsid w:val="009B3A00"/>
    <w:rsid w:val="009B4DBD"/>
    <w:rsid w:val="009B6B5F"/>
    <w:rsid w:val="009C177D"/>
    <w:rsid w:val="009C64E7"/>
    <w:rsid w:val="009D7011"/>
    <w:rsid w:val="009D7F1C"/>
    <w:rsid w:val="009E1943"/>
    <w:rsid w:val="009F1B84"/>
    <w:rsid w:val="009F3449"/>
    <w:rsid w:val="009F3D4C"/>
    <w:rsid w:val="00A002CB"/>
    <w:rsid w:val="00A028B7"/>
    <w:rsid w:val="00A04D7D"/>
    <w:rsid w:val="00A13977"/>
    <w:rsid w:val="00A14487"/>
    <w:rsid w:val="00A1542A"/>
    <w:rsid w:val="00A173E8"/>
    <w:rsid w:val="00A17875"/>
    <w:rsid w:val="00A26BDB"/>
    <w:rsid w:val="00A31972"/>
    <w:rsid w:val="00A35DEE"/>
    <w:rsid w:val="00A40A69"/>
    <w:rsid w:val="00A4462C"/>
    <w:rsid w:val="00A44747"/>
    <w:rsid w:val="00A44859"/>
    <w:rsid w:val="00A50EE7"/>
    <w:rsid w:val="00A53D0A"/>
    <w:rsid w:val="00A56948"/>
    <w:rsid w:val="00A80FEC"/>
    <w:rsid w:val="00A823C2"/>
    <w:rsid w:val="00A8772B"/>
    <w:rsid w:val="00A911C5"/>
    <w:rsid w:val="00AA2BF4"/>
    <w:rsid w:val="00AA6449"/>
    <w:rsid w:val="00AA77D4"/>
    <w:rsid w:val="00AB4E7E"/>
    <w:rsid w:val="00AB5EDC"/>
    <w:rsid w:val="00AB66A3"/>
    <w:rsid w:val="00AB7D60"/>
    <w:rsid w:val="00AC1694"/>
    <w:rsid w:val="00AC2DA1"/>
    <w:rsid w:val="00AE1007"/>
    <w:rsid w:val="00AE74B4"/>
    <w:rsid w:val="00AE7655"/>
    <w:rsid w:val="00AF27AB"/>
    <w:rsid w:val="00B015E2"/>
    <w:rsid w:val="00B10840"/>
    <w:rsid w:val="00B11C51"/>
    <w:rsid w:val="00B131DD"/>
    <w:rsid w:val="00B15031"/>
    <w:rsid w:val="00B15237"/>
    <w:rsid w:val="00B23358"/>
    <w:rsid w:val="00B31BF0"/>
    <w:rsid w:val="00B458A9"/>
    <w:rsid w:val="00B617D5"/>
    <w:rsid w:val="00B62606"/>
    <w:rsid w:val="00B62A8E"/>
    <w:rsid w:val="00B66B8E"/>
    <w:rsid w:val="00B67B5E"/>
    <w:rsid w:val="00B71CCC"/>
    <w:rsid w:val="00B838F5"/>
    <w:rsid w:val="00B91809"/>
    <w:rsid w:val="00B922A6"/>
    <w:rsid w:val="00B924AA"/>
    <w:rsid w:val="00B92D22"/>
    <w:rsid w:val="00B94329"/>
    <w:rsid w:val="00BA008A"/>
    <w:rsid w:val="00BA1CD8"/>
    <w:rsid w:val="00BB5FCA"/>
    <w:rsid w:val="00BC5D00"/>
    <w:rsid w:val="00BD1523"/>
    <w:rsid w:val="00BD386C"/>
    <w:rsid w:val="00BD5DCE"/>
    <w:rsid w:val="00BE629A"/>
    <w:rsid w:val="00BE657E"/>
    <w:rsid w:val="00BF0542"/>
    <w:rsid w:val="00BF091C"/>
    <w:rsid w:val="00BF5C73"/>
    <w:rsid w:val="00C00E5F"/>
    <w:rsid w:val="00C045B2"/>
    <w:rsid w:val="00C1342A"/>
    <w:rsid w:val="00C17A9E"/>
    <w:rsid w:val="00C2120D"/>
    <w:rsid w:val="00C24737"/>
    <w:rsid w:val="00C24C21"/>
    <w:rsid w:val="00C30716"/>
    <w:rsid w:val="00C327B0"/>
    <w:rsid w:val="00C42FDF"/>
    <w:rsid w:val="00C47FB8"/>
    <w:rsid w:val="00C50C62"/>
    <w:rsid w:val="00C52894"/>
    <w:rsid w:val="00C53B9E"/>
    <w:rsid w:val="00C640D6"/>
    <w:rsid w:val="00C64BD5"/>
    <w:rsid w:val="00C65D39"/>
    <w:rsid w:val="00C6742B"/>
    <w:rsid w:val="00C71800"/>
    <w:rsid w:val="00C72D5E"/>
    <w:rsid w:val="00C741D1"/>
    <w:rsid w:val="00C7474D"/>
    <w:rsid w:val="00C8195A"/>
    <w:rsid w:val="00C8672F"/>
    <w:rsid w:val="00C92E92"/>
    <w:rsid w:val="00CA1AA3"/>
    <w:rsid w:val="00CA2202"/>
    <w:rsid w:val="00CA7CF6"/>
    <w:rsid w:val="00CB1130"/>
    <w:rsid w:val="00CB1DED"/>
    <w:rsid w:val="00CB5854"/>
    <w:rsid w:val="00CC4E6A"/>
    <w:rsid w:val="00CD04CB"/>
    <w:rsid w:val="00CD3115"/>
    <w:rsid w:val="00CE425B"/>
    <w:rsid w:val="00CE76E7"/>
    <w:rsid w:val="00CF1203"/>
    <w:rsid w:val="00D01443"/>
    <w:rsid w:val="00D01C19"/>
    <w:rsid w:val="00D02E6F"/>
    <w:rsid w:val="00D02E86"/>
    <w:rsid w:val="00D04549"/>
    <w:rsid w:val="00D07449"/>
    <w:rsid w:val="00D132E4"/>
    <w:rsid w:val="00D139A6"/>
    <w:rsid w:val="00D17A1A"/>
    <w:rsid w:val="00D17B2B"/>
    <w:rsid w:val="00D32535"/>
    <w:rsid w:val="00D41018"/>
    <w:rsid w:val="00D4584B"/>
    <w:rsid w:val="00D45AA3"/>
    <w:rsid w:val="00D470F2"/>
    <w:rsid w:val="00D508D6"/>
    <w:rsid w:val="00D55569"/>
    <w:rsid w:val="00D616F5"/>
    <w:rsid w:val="00D62416"/>
    <w:rsid w:val="00D67F2B"/>
    <w:rsid w:val="00D75C6A"/>
    <w:rsid w:val="00D76FC7"/>
    <w:rsid w:val="00D87DBF"/>
    <w:rsid w:val="00D95175"/>
    <w:rsid w:val="00DA23C3"/>
    <w:rsid w:val="00DA353D"/>
    <w:rsid w:val="00DA388F"/>
    <w:rsid w:val="00DB2DD7"/>
    <w:rsid w:val="00DB41F6"/>
    <w:rsid w:val="00DB7AF0"/>
    <w:rsid w:val="00DC69E9"/>
    <w:rsid w:val="00DC75CF"/>
    <w:rsid w:val="00DD4197"/>
    <w:rsid w:val="00DD572F"/>
    <w:rsid w:val="00DD6013"/>
    <w:rsid w:val="00DD7DA1"/>
    <w:rsid w:val="00DE1CB5"/>
    <w:rsid w:val="00DE1E2A"/>
    <w:rsid w:val="00DE24FD"/>
    <w:rsid w:val="00DE31DB"/>
    <w:rsid w:val="00DF218A"/>
    <w:rsid w:val="00DF6204"/>
    <w:rsid w:val="00E00601"/>
    <w:rsid w:val="00E0295F"/>
    <w:rsid w:val="00E264BD"/>
    <w:rsid w:val="00E30DF8"/>
    <w:rsid w:val="00E35588"/>
    <w:rsid w:val="00E402C3"/>
    <w:rsid w:val="00E4101B"/>
    <w:rsid w:val="00E41F80"/>
    <w:rsid w:val="00E45453"/>
    <w:rsid w:val="00E500D8"/>
    <w:rsid w:val="00E52B99"/>
    <w:rsid w:val="00E603A0"/>
    <w:rsid w:val="00E60806"/>
    <w:rsid w:val="00E63C31"/>
    <w:rsid w:val="00E91D89"/>
    <w:rsid w:val="00E93612"/>
    <w:rsid w:val="00E9508D"/>
    <w:rsid w:val="00EA07EB"/>
    <w:rsid w:val="00EB7F3B"/>
    <w:rsid w:val="00EC14DE"/>
    <w:rsid w:val="00EC3489"/>
    <w:rsid w:val="00EE48CD"/>
    <w:rsid w:val="00EF0BCD"/>
    <w:rsid w:val="00F04A22"/>
    <w:rsid w:val="00F11D50"/>
    <w:rsid w:val="00F123DA"/>
    <w:rsid w:val="00F12B92"/>
    <w:rsid w:val="00F220AA"/>
    <w:rsid w:val="00F25C69"/>
    <w:rsid w:val="00F26BF3"/>
    <w:rsid w:val="00F279A6"/>
    <w:rsid w:val="00F279DA"/>
    <w:rsid w:val="00F31FF9"/>
    <w:rsid w:val="00F4229B"/>
    <w:rsid w:val="00F46C31"/>
    <w:rsid w:val="00F60C84"/>
    <w:rsid w:val="00F64741"/>
    <w:rsid w:val="00F657D8"/>
    <w:rsid w:val="00F71623"/>
    <w:rsid w:val="00F72F39"/>
    <w:rsid w:val="00F74696"/>
    <w:rsid w:val="00F80A1C"/>
    <w:rsid w:val="00F97834"/>
    <w:rsid w:val="00FA02CE"/>
    <w:rsid w:val="00FA2A1C"/>
    <w:rsid w:val="00FB4599"/>
    <w:rsid w:val="00FB5CA6"/>
    <w:rsid w:val="00FB62FD"/>
    <w:rsid w:val="00FC0497"/>
    <w:rsid w:val="00FC6294"/>
    <w:rsid w:val="00FE314F"/>
    <w:rsid w:val="00FE62A8"/>
    <w:rsid w:val="00FE68C9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E9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23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23711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7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3711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8160</Characters>
  <Application>Microsoft Office Word</Application>
  <DocSecurity>0</DocSecurity>
  <Lines>68</Lines>
  <Paragraphs>18</Paragraphs>
  <ScaleCrop>false</ScaleCrop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Opis istotnych zagadnień dla komisji egzaminacyjnej do zadania z zakresu prawa cywilnego</dc:title>
  <dc:subject/>
  <dc:creator>Sławek</dc:creator>
  <cp:keywords/>
  <dc:description/>
  <cp:lastModifiedBy>Wójcik Emanuela  (DZP)</cp:lastModifiedBy>
  <cp:revision>3</cp:revision>
  <cp:lastPrinted>2013-01-11T10:34:00Z</cp:lastPrinted>
  <dcterms:created xsi:type="dcterms:W3CDTF">2013-03-25T10:16:00Z</dcterms:created>
  <dcterms:modified xsi:type="dcterms:W3CDTF">2013-03-25T10:49:00Z</dcterms:modified>
</cp:coreProperties>
</file>