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2"/>
        <w:keepNext/>
        <w:keepLines/>
        <w:widowControl w:val="0"/>
        <w:shd w:val="clear" w:color="auto" w:fill="auto"/>
        <w:bidi w:val="0"/>
        <w:spacing w:before="0" w:after="0" w:line="240" w:lineRule="auto"/>
        <w:ind w:left="0" w:right="0" w:firstLine="0"/>
        <w:jc w:val="left"/>
      </w:pPr>
      <w:r>
        <w:drawing>
          <wp:anchor distT="0" distB="0" distL="0" distR="0" simplePos="0" relativeHeight="125829378" behindDoc="0" locked="0" layoutInCell="1" allowOverlap="1">
            <wp:simplePos x="0" y="0"/>
            <wp:positionH relativeFrom="page">
              <wp:posOffset>520700</wp:posOffset>
            </wp:positionH>
            <wp:positionV relativeFrom="paragraph">
              <wp:posOffset>12700</wp:posOffset>
            </wp:positionV>
            <wp:extent cx="676910" cy="731520"/>
            <wp:wrapTight wrapText="bothSides">
              <wp:wrapPolygon>
                <wp:start x="0" y="0"/>
                <wp:lineTo x="21600" y="0"/>
                <wp:lineTo x="21600" y="9000"/>
                <wp:lineTo x="19743" y="9000"/>
                <wp:lineTo x="19743" y="14850"/>
                <wp:lineTo x="21600" y="14850"/>
                <wp:lineTo x="21600" y="21600"/>
                <wp:lineTo x="0" y="21600"/>
                <wp:lineTo x="0" y="0"/>
              </wp:wrapPolygon>
            </wp:wrapTight>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676910" cy="731520"/>
                    </a:xfrm>
                    <a:prstGeom prst="rect"/>
                  </pic:spPr>
                </pic:pic>
              </a:graphicData>
            </a:graphic>
          </wp:anchor>
        </w:drawing>
      </w:r>
      <w:bookmarkStart w:id="0" w:name="bookmark0"/>
      <w:r>
        <w:rPr>
          <w:rStyle w:val="CharStyle3"/>
        </w:rPr>
        <w:t>Ministerstwo</w:t>
      </w:r>
      <w:bookmarkEnd w:id="0"/>
    </w:p>
    <w:p>
      <w:pPr>
        <w:pStyle w:val="Style2"/>
        <w:keepNext/>
        <w:keepLines/>
        <w:widowControl w:val="0"/>
        <w:shd w:val="clear" w:color="auto" w:fill="auto"/>
        <w:bidi w:val="0"/>
        <w:spacing w:before="0" w:after="500" w:line="202" w:lineRule="auto"/>
        <w:ind w:left="0" w:right="0" w:firstLine="0"/>
        <w:jc w:val="left"/>
      </w:pPr>
      <w:r>
        <w:rPr>
          <w:rStyle w:val="CharStyle3"/>
          <w:color w:val="1C1C1C"/>
        </w:rPr>
        <w:t xml:space="preserve">^ </w:t>
      </w:r>
      <w:r>
        <w:rPr>
          <w:rStyle w:val="CharStyle3"/>
        </w:rPr>
        <w:t>Klimatu i Środowiska</w:t>
      </w:r>
    </w:p>
    <w:p>
      <w:pPr>
        <w:pStyle w:val="Style5"/>
        <w:keepNext w:val="0"/>
        <w:keepLines w:val="0"/>
        <w:widowControl w:val="0"/>
        <w:shd w:val="clear" w:color="auto" w:fill="auto"/>
        <w:bidi w:val="0"/>
        <w:spacing w:before="0" w:after="440" w:line="240" w:lineRule="auto"/>
        <w:ind w:left="0" w:right="0" w:firstLine="220"/>
        <w:jc w:val="both"/>
      </w:pPr>
      <w:r>
        <w:rPr>
          <w:rStyle w:val="CharStyle6"/>
        </w:rPr>
        <w:t>Departament Gospodarki Odpadami</w:t>
      </w:r>
    </w:p>
    <w:p>
      <w:pPr>
        <w:pStyle w:val="Style7"/>
        <w:keepNext w:val="0"/>
        <w:keepLines w:val="0"/>
        <w:widowControl w:val="0"/>
        <w:shd w:val="clear" w:color="auto" w:fill="auto"/>
        <w:bidi w:val="0"/>
        <w:spacing w:before="0" w:after="0" w:line="240" w:lineRule="auto"/>
        <w:ind w:left="0" w:right="0" w:firstLine="220"/>
        <w:jc w:val="both"/>
      </w:pPr>
      <w:r>
        <w:rPr>
          <w:rStyle w:val="CharStyle8"/>
        </w:rPr>
        <w:t>Nasz znak: DGO-OK.053.6.2026.KI</w:t>
      </w:r>
    </w:p>
    <w:p>
      <w:pPr>
        <w:pStyle w:val="Style7"/>
        <w:keepNext w:val="0"/>
        <w:keepLines w:val="0"/>
        <w:widowControl w:val="0"/>
        <w:shd w:val="clear" w:color="auto" w:fill="auto"/>
        <w:bidi w:val="0"/>
        <w:spacing w:before="0" w:after="0" w:line="240" w:lineRule="auto"/>
        <w:ind w:left="1120" w:right="0" w:firstLine="0"/>
        <w:jc w:val="both"/>
      </w:pPr>
      <w:r>
        <w:rPr>
          <w:rStyle w:val="CharStyle8"/>
        </w:rPr>
        <w:t>4474307.18547641.15200865</w:t>
      </w:r>
    </w:p>
    <w:p>
      <w:pPr>
        <w:pStyle w:val="Style7"/>
        <w:keepNext w:val="0"/>
        <w:keepLines w:val="0"/>
        <w:widowControl w:val="0"/>
        <w:shd w:val="clear" w:color="auto" w:fill="auto"/>
        <w:bidi w:val="0"/>
        <w:spacing w:before="0" w:after="340" w:line="240" w:lineRule="auto"/>
        <w:ind w:left="1120" w:right="0" w:firstLine="0"/>
        <w:jc w:val="both"/>
      </w:pPr>
      <w:r>
        <w:rPr>
          <w:rStyle w:val="CharStyle8"/>
        </w:rPr>
        <w:t>Warszawa, 25-09-2026 r.</w:t>
      </w:r>
    </w:p>
    <w:p>
      <w:pPr>
        <w:pStyle w:val="Style7"/>
        <w:keepNext w:val="0"/>
        <w:keepLines w:val="0"/>
        <w:widowControl w:val="0"/>
        <w:shd w:val="clear" w:color="auto" w:fill="auto"/>
        <w:bidi w:val="0"/>
        <w:spacing w:before="0" w:after="0" w:line="240" w:lineRule="auto"/>
        <w:ind w:left="0" w:right="0" w:firstLine="220"/>
        <w:jc w:val="both"/>
      </w:pPr>
      <w:r>
        <w:rPr>
          <w:rStyle w:val="CharStyle8"/>
        </w:rPr>
        <w:t>Sprawa: Petycja w sprawie obniżenia opłat za wywóz odpadów komunalnych.</w:t>
      </w:r>
    </w:p>
    <w:p>
      <w:pPr>
        <w:pStyle w:val="Style7"/>
        <w:keepNext w:val="0"/>
        <w:keepLines w:val="0"/>
        <w:widowControl w:val="0"/>
        <w:shd w:val="clear" w:color="auto" w:fill="auto"/>
        <w:bidi w:val="0"/>
        <w:spacing w:before="0" w:after="340" w:line="240" w:lineRule="auto"/>
        <w:ind w:left="0" w:right="0" w:firstLine="220"/>
        <w:jc w:val="both"/>
      </w:pPr>
      <w:r>
        <w:rPr>
          <w:rStyle w:val="CharStyle8"/>
        </w:rPr>
        <w:t xml:space="preserve">Kontakt: Katarzyna Imianowska, Specjalista, </w:t>
      </w:r>
      <w:r>
        <w:fldChar w:fldCharType="begin"/>
      </w:r>
      <w:r>
        <w:rPr/>
        <w:instrText> HYPERLINK "mailto:Katarzyna.Imianowska@klimat.gov.pl" </w:instrText>
      </w:r>
      <w:r>
        <w:fldChar w:fldCharType="separate"/>
      </w:r>
      <w:r>
        <w:rPr>
          <w:rStyle w:val="CharStyle8"/>
        </w:rPr>
        <w:t>Katarzyna.Imianowska@klimat.gov.pl</w:t>
      </w:r>
      <w:r>
        <w:fldChar w:fldCharType="end"/>
      </w:r>
    </w:p>
    <w:p>
      <w:pPr>
        <w:pStyle w:val="Style9"/>
        <w:keepNext/>
        <w:keepLines/>
        <w:widowControl w:val="0"/>
        <w:shd w:val="clear" w:color="auto" w:fill="auto"/>
        <w:bidi w:val="0"/>
        <w:spacing w:before="0" w:after="1660" w:line="240" w:lineRule="auto"/>
        <w:ind w:left="0" w:right="0"/>
        <w:jc w:val="both"/>
      </w:pPr>
      <w:bookmarkStart w:id="3" w:name="bookmark3"/>
      <w:r>
        <w:rPr>
          <w:rStyle w:val="CharStyle10"/>
          <w:b/>
          <w:bCs/>
        </w:rPr>
        <w:t>Pani</w:t>
      </w:r>
      <w:bookmarkEnd w:id="3"/>
    </w:p>
    <w:p>
      <w:pPr>
        <w:pStyle w:val="Style5"/>
        <w:keepNext w:val="0"/>
        <w:keepLines w:val="0"/>
        <w:widowControl w:val="0"/>
        <w:shd w:val="clear" w:color="auto" w:fill="auto"/>
        <w:bidi w:val="0"/>
        <w:spacing w:before="0"/>
        <w:ind w:left="0" w:right="0" w:firstLine="220"/>
        <w:jc w:val="both"/>
      </w:pPr>
      <w:r>
        <w:rPr>
          <w:rStyle w:val="CharStyle6"/>
        </w:rPr>
        <w:t>Szanowna Pani</w:t>
      </w:r>
    </w:p>
    <w:p>
      <w:pPr>
        <w:pStyle w:val="Style5"/>
        <w:keepNext w:val="0"/>
        <w:keepLines w:val="0"/>
        <w:widowControl w:val="0"/>
        <w:shd w:val="clear" w:color="auto" w:fill="auto"/>
        <w:bidi w:val="0"/>
        <w:spacing w:before="0"/>
        <w:ind w:left="220" w:right="0" w:firstLine="0"/>
        <w:jc w:val="both"/>
      </w:pPr>
      <w:r>
        <w:rPr>
          <w:rStyle w:val="CharStyle6"/>
        </w:rPr>
        <w:t>W nawiązaniu do petycji z 16 lipca 2026 r., dotyczącej sposobu naliczania opłaty za gospodarowanie odpadami komunalnymi, przekazuję stosowne wyjaśnienia.</w:t>
      </w:r>
    </w:p>
    <w:p>
      <w:pPr>
        <w:pStyle w:val="Style9"/>
        <w:keepNext/>
        <w:keepLines/>
        <w:widowControl w:val="0"/>
        <w:shd w:val="clear" w:color="auto" w:fill="auto"/>
        <w:bidi w:val="0"/>
        <w:spacing w:before="0"/>
        <w:ind w:left="0" w:right="0"/>
        <w:jc w:val="both"/>
      </w:pPr>
      <w:bookmarkStart w:id="5" w:name="bookmark5"/>
      <w:r>
        <w:rPr>
          <w:rStyle w:val="CharStyle10"/>
          <w:b/>
          <w:bCs/>
        </w:rPr>
        <w:t>Zasada samofinansowania systemu</w:t>
      </w:r>
      <w:bookmarkEnd w:id="5"/>
    </w:p>
    <w:p>
      <w:pPr>
        <w:pStyle w:val="Style5"/>
        <w:keepNext w:val="0"/>
        <w:keepLines w:val="0"/>
        <w:widowControl w:val="0"/>
        <w:shd w:val="clear" w:color="auto" w:fill="auto"/>
        <w:bidi w:val="0"/>
        <w:spacing w:before="0"/>
        <w:ind w:left="220" w:right="0" w:firstLine="0"/>
        <w:jc w:val="both"/>
      </w:pPr>
      <w:r>
        <w:rPr>
          <w:rStyle w:val="CharStyle6"/>
        </w:rPr>
        <w:t>Odnosząc się do postulatu uzależnienia wysokości opłaty za gospodarowanie odpadami komunalnymi od dochodu mieszkańców, należy wskazać, że obecnie system gospodarowania odpadami komunalnymi opiera się na zasadzie samofinansowania. Oznacza to, że wpływy z opłat pobieranych od mieszkańców mogą być przeznaczane wyłącznie na pokrycie kosztów funkcjonowania systemu i powinny odpowiadać rzeczywistym kosztom odbioru, transportu, zagospodarowania odpadów oraz obsługi administracyjnej systemu. Wprowadzenie mechanizmu uzależniającego wysokość opłaty od dochodu mieszkańców zmieniałoby charakter tej opłaty, zbliżając ją do daniny o funkcji redystrybucyjnej, niezwiązanej bezpośrednio z kosztami świadczenia usługi.</w:t>
      </w:r>
    </w:p>
    <w:p>
      <w:pPr>
        <w:pStyle w:val="Style5"/>
        <w:keepNext w:val="0"/>
        <w:keepLines w:val="0"/>
        <w:widowControl w:val="0"/>
        <w:shd w:val="clear" w:color="auto" w:fill="auto"/>
        <w:bidi w:val="0"/>
        <w:spacing w:before="0"/>
        <w:ind w:left="220" w:right="0" w:firstLine="0"/>
        <w:jc w:val="both"/>
      </w:pPr>
      <w:r>
        <w:rPr>
          <w:rStyle w:val="CharStyle6"/>
        </w:rPr>
        <w:t>Należy również zauważyć, że ustalenie wysokości opłaty na podstawie dochodu wymagałoby stworzenia rozbudowanego systemu pozyskiwania, aktualizowania i weryfikacji danych o dochodach mieszkańców, co wiązałoby się z dodatkowymi kosztami administracyjnymi oraz koniecznością przetwarzania danych wrażliwych. Rozwiązanie takie mogłoby również budzić wątpliwości związane z ochroną prywatności obywateli oraz znacząco komplikować funkcjonowanie systemu.</w:t>
      </w:r>
    </w:p>
    <w:p>
      <w:pPr>
        <w:pStyle w:val="Style9"/>
        <w:keepNext/>
        <w:keepLines/>
        <w:widowControl w:val="0"/>
        <w:shd w:val="clear" w:color="auto" w:fill="auto"/>
        <w:bidi w:val="0"/>
        <w:spacing w:before="0"/>
        <w:ind w:left="0" w:right="0"/>
        <w:jc w:val="both"/>
      </w:pPr>
      <w:bookmarkStart w:id="7" w:name="bookmark7"/>
      <w:r>
        <w:rPr>
          <w:rStyle w:val="CharStyle10"/>
          <w:b/>
          <w:bCs/>
        </w:rPr>
        <w:t>Rozszerzona odpowiedzialność producenta i system kaucyjny</w:t>
      </w:r>
      <w:bookmarkEnd w:id="7"/>
    </w:p>
    <w:p>
      <w:pPr>
        <w:pStyle w:val="Style5"/>
        <w:keepNext w:val="0"/>
        <w:keepLines w:val="0"/>
        <w:widowControl w:val="0"/>
        <w:shd w:val="clear" w:color="auto" w:fill="auto"/>
        <w:bidi w:val="0"/>
        <w:spacing w:before="0" w:after="940"/>
        <w:ind w:left="220" w:right="0" w:firstLine="0"/>
        <w:jc w:val="both"/>
      </w:pPr>
      <w:r>
        <w:rPr>
          <w:rStyle w:val="CharStyle6"/>
        </w:rPr>
        <w:t>W kwestii opakowań produktów wprowadzanych na rynek, Ministerstwo Klimatu i Środowiska podejmuje działania związane z rozszerzoną odpowiedzialnością producenta dot. m.in. system kaucyjny dla wybranych rodzajów opakowań na napoje oraz obowiązki w zakresie udziału materiału z recyklingu w butelkach PET [1].</w:t>
      </w:r>
    </w:p>
    <w:p>
      <w:pPr>
        <w:pStyle w:val="Style7"/>
        <w:keepNext w:val="0"/>
        <w:keepLines w:val="0"/>
        <w:widowControl w:val="0"/>
        <w:shd w:val="clear" w:color="auto" w:fill="auto"/>
        <w:bidi w:val="0"/>
        <w:spacing w:before="0" w:after="0" w:line="240" w:lineRule="auto"/>
        <w:ind w:right="0" w:firstLine="0"/>
        <w:jc w:val="left"/>
        <w:rPr>
          <w:sz w:val="16"/>
          <w:szCs w:val="16"/>
        </w:rPr>
      </w:pPr>
      <w:r>
        <w:rPr>
          <w:rStyle w:val="CharStyle8"/>
          <w:sz w:val="16"/>
          <w:szCs w:val="16"/>
        </w:rPr>
        <w:t xml:space="preserve">Telefon: (+48) 223-692-262 ul. Wawelska 52/54, 00-922 Warszawa </w:t>
      </w:r>
      <w:r>
        <w:fldChar w:fldCharType="begin"/>
      </w:r>
      <w:r>
        <w:rPr/>
        <w:instrText> HYPERLINK "mailto:departament.gospodarki.odpadami@klimat.gov.pl" </w:instrText>
      </w:r>
      <w:r>
        <w:fldChar w:fldCharType="separate"/>
      </w:r>
      <w:r>
        <w:rPr>
          <w:rStyle w:val="CharStyle8"/>
          <w:sz w:val="16"/>
          <w:szCs w:val="16"/>
        </w:rPr>
        <w:t>departament.gospodarki.odpadami@klimat.gov.pl</w:t>
      </w:r>
      <w:r>
        <w:fldChar w:fldCharType="end"/>
      </w:r>
      <w:r>
        <w:rPr>
          <w:rStyle w:val="CharStyle8"/>
          <w:sz w:val="16"/>
          <w:szCs w:val="16"/>
        </w:rPr>
        <w:t xml:space="preserve"> Ministerstwo Klimatu i Środowiska </w:t>
      </w:r>
      <w:r>
        <w:fldChar w:fldCharType="begin"/>
      </w:r>
      <w:r>
        <w:rPr/>
        <w:instrText> HYPERLINK "http://www.gov.pl/klimat" </w:instrText>
      </w:r>
      <w:r>
        <w:fldChar w:fldCharType="separate"/>
      </w:r>
      <w:r>
        <w:rPr>
          <w:rStyle w:val="CharStyle8"/>
          <w:sz w:val="16"/>
          <w:szCs w:val="16"/>
        </w:rPr>
        <w:t>www.gov.pl/klimat</w:t>
      </w:r>
      <w:r>
        <w:fldChar w:fldCharType="end"/>
      </w:r>
    </w:p>
    <w:p>
      <w:pPr>
        <w:pStyle w:val="Style12"/>
        <w:keepNext w:val="0"/>
        <w:keepLines w:val="0"/>
        <w:widowControl w:val="0"/>
        <w:shd w:val="clear" w:color="auto" w:fill="auto"/>
        <w:bidi w:val="0"/>
        <w:spacing w:before="0"/>
        <w:ind w:left="0" w:right="0" w:firstLine="0"/>
        <w:jc w:val="center"/>
        <w:sectPr>
          <w:footnotePr>
            <w:pos w:val="pageBottom"/>
            <w:numFmt w:val="decimal"/>
            <w:numRestart w:val="continuous"/>
          </w:footnotePr>
          <w:pgSz w:w="11900" w:h="16840"/>
          <w:pgMar w:top="697" w:right="1956" w:bottom="459" w:left="1756" w:header="269" w:footer="31" w:gutter="0"/>
          <w:pgNumType w:start="1"/>
          <w:cols w:space="720"/>
          <w:noEndnote/>
          <w:rtlGutter w:val="0"/>
          <w:docGrid w:linePitch="360"/>
        </w:sectPr>
      </w:pPr>
      <w:r>
        <w:rPr>
          <w:rStyle w:val="CharStyle13"/>
        </w:rPr>
        <w:t>Działamy zgodnie z EMAS - zarządzając instytucją, dbamy o środowisko</w:t>
      </w:r>
    </w:p>
    <w:p>
      <w:pPr>
        <w:pStyle w:val="Style5"/>
        <w:keepNext w:val="0"/>
        <w:keepLines w:val="0"/>
        <w:widowControl w:val="0"/>
        <w:shd w:val="clear" w:color="auto" w:fill="auto"/>
        <w:bidi w:val="0"/>
        <w:spacing w:before="0" w:after="140"/>
        <w:ind w:left="0" w:right="0" w:firstLine="0"/>
        <w:jc w:val="both"/>
      </w:pPr>
      <w:r>
        <w:rPr>
          <w:rStyle w:val="CharStyle6"/>
        </w:rPr>
        <w:t>Oczekuje się, że nowy model ROP (projekt ustawy o nr. UC100) powinien zapewnić finansowanie gospodarowania odpadami opakowaniowymi wytworzonymi w systemie gminnym (finansowanie gmin i podmiotów przetwarzających odpady opakowaniowe), co będzie stanowiło blisko 24% wydatków gmin.</w:t>
      </w:r>
    </w:p>
    <w:p>
      <w:pPr>
        <w:pStyle w:val="Style5"/>
        <w:keepNext w:val="0"/>
        <w:keepLines w:val="0"/>
        <w:widowControl w:val="0"/>
        <w:shd w:val="clear" w:color="auto" w:fill="auto"/>
        <w:bidi w:val="0"/>
        <w:spacing w:before="0"/>
        <w:ind w:left="0" w:right="0" w:firstLine="0"/>
        <w:jc w:val="both"/>
      </w:pPr>
      <w:r>
        <w:rPr>
          <w:rStyle w:val="CharStyle6"/>
        </w:rPr>
        <w:t>Gwarancją, że środki pochodzące od producentów będą służyły finansowaniu systemu gospodarowania odpadami jest przede wszystkim ich ustawowe ukierunkowanie. Środki z opłaty opakowaniowej nie będą miały charakteru środków ogólnego przeznaczenia. Po stronie Narodowego Funduszu Ochrony Środowiska i Gospodarki Wodnej (zwanego dalej: „NFOŚiGW”) będą one „znaczone”, w szczególności poprzez gromadzenie ich na wyodrębnionym rachunku bankowym (art. 56 ust. 2 projektu UC100) oraz ich wykorzystanie wyłącznie zgodnie z regulacjami określonymi w oddziale 4 rozdziału 7 (oddział dotyczący organizacji ROP opakowań). Obejmować to będzie pokrywanie kosztów selektywnego zbierania odpadów powstałych z opakowań oraz ich transportu i przetwarzania, prowadzenia publicznych kampanii edukacyjnych, finansowania nakładów na inwestycje w infrastrukturę do zagospodarowania odpadów opakowaniowych oraz finansowanie zadań Instytutu Ochrony Środowiska – Państwowego Instytutu Badawczego oraz działalności Organizacji ROP Opakowań. Zasady te znajdują odzwierciedlenie również w art. 199 pkt 3 projektu UC100 (zmiana ustawy z dnia 27 kwietnia 2001 r. – Prawo ochrony środowiska (Dz. U. z 2025 r. poz. 647 z późn. zm.).</w:t>
      </w:r>
    </w:p>
    <w:p>
      <w:pPr>
        <w:pStyle w:val="Style5"/>
        <w:keepNext w:val="0"/>
        <w:keepLines w:val="0"/>
        <w:widowControl w:val="0"/>
        <w:shd w:val="clear" w:color="auto" w:fill="auto"/>
        <w:bidi w:val="0"/>
        <w:spacing w:before="0"/>
        <w:ind w:left="0" w:right="0" w:firstLine="0"/>
        <w:jc w:val="both"/>
      </w:pPr>
      <w:r>
        <w:rPr>
          <w:rStyle w:val="CharStyle6"/>
        </w:rPr>
        <w:t>Od 1 października 2025 r. w Polsce został wprowadzony system kaucyjny obejmujący:</w:t>
      </w:r>
    </w:p>
    <w:p>
      <w:pPr>
        <w:pStyle w:val="Style5"/>
        <w:keepNext w:val="0"/>
        <w:keepLines w:val="0"/>
        <w:widowControl w:val="0"/>
        <w:numPr>
          <w:ilvl w:val="0"/>
          <w:numId w:val="1"/>
        </w:numPr>
        <w:shd w:val="clear" w:color="auto" w:fill="auto"/>
        <w:tabs>
          <w:tab w:pos="750" w:val="left"/>
        </w:tabs>
        <w:bidi w:val="0"/>
        <w:spacing w:before="0" w:after="0"/>
        <w:ind w:left="0" w:right="0" w:firstLine="400"/>
        <w:jc w:val="both"/>
      </w:pPr>
      <w:r>
        <w:rPr>
          <w:rStyle w:val="CharStyle6"/>
        </w:rPr>
        <w:t>Jednorazowe butelki z tworzyw sztucznych o pojemności do 3 litrów,</w:t>
      </w:r>
    </w:p>
    <w:p>
      <w:pPr>
        <w:pStyle w:val="Style5"/>
        <w:keepNext w:val="0"/>
        <w:keepLines w:val="0"/>
        <w:widowControl w:val="0"/>
        <w:numPr>
          <w:ilvl w:val="0"/>
          <w:numId w:val="1"/>
        </w:numPr>
        <w:shd w:val="clear" w:color="auto" w:fill="auto"/>
        <w:tabs>
          <w:tab w:pos="750" w:val="left"/>
        </w:tabs>
        <w:bidi w:val="0"/>
        <w:spacing w:before="0" w:after="0"/>
        <w:ind w:left="0" w:right="0" w:firstLine="400"/>
        <w:jc w:val="both"/>
      </w:pPr>
      <w:r>
        <w:rPr>
          <w:rStyle w:val="CharStyle6"/>
        </w:rPr>
        <w:t>Metalowe puszki o pojemności do 1 litra,</w:t>
      </w:r>
    </w:p>
    <w:p>
      <w:pPr>
        <w:pStyle w:val="Style5"/>
        <w:keepNext w:val="0"/>
        <w:keepLines w:val="0"/>
        <w:widowControl w:val="0"/>
        <w:numPr>
          <w:ilvl w:val="0"/>
          <w:numId w:val="1"/>
        </w:numPr>
        <w:shd w:val="clear" w:color="auto" w:fill="auto"/>
        <w:tabs>
          <w:tab w:pos="750" w:val="left"/>
        </w:tabs>
        <w:bidi w:val="0"/>
        <w:spacing w:before="0" w:after="220"/>
        <w:ind w:left="0" w:right="0" w:firstLine="400"/>
        <w:jc w:val="both"/>
      </w:pPr>
      <w:r>
        <w:rPr>
          <w:rStyle w:val="CharStyle6"/>
        </w:rPr>
        <w:t>Szklane butelki wielokrotnego użytku o pojemności do 1,5 litra.</w:t>
      </w:r>
    </w:p>
    <w:p>
      <w:pPr>
        <w:pStyle w:val="Style5"/>
        <w:keepNext w:val="0"/>
        <w:keepLines w:val="0"/>
        <w:widowControl w:val="0"/>
        <w:shd w:val="clear" w:color="auto" w:fill="auto"/>
        <w:bidi w:val="0"/>
        <w:spacing w:before="0" w:after="220"/>
        <w:ind w:left="0" w:right="0" w:firstLine="0"/>
        <w:jc w:val="both"/>
      </w:pPr>
      <w:r>
        <w:rPr>
          <w:rStyle w:val="CharStyle6"/>
        </w:rPr>
        <w:t>Obecnie trwają prace koncepcyjne nad wprowadzeniem opakowań szklanych jednorazowego użytku, w szczególności tzw. „małpek”, do systemu kaucyjnego. Znając wagę poruszonego tematu i różne stanowiska branży w tym zakresie, analizowane są możliwości i ryzyka związane z wprowadzaniem takich zmian. Temat ten musi zostać poddany dyskusji w gronie eksperckim.</w:t>
      </w:r>
    </w:p>
    <w:p>
      <w:pPr>
        <w:pStyle w:val="Style5"/>
        <w:keepNext w:val="0"/>
        <w:keepLines w:val="0"/>
        <w:widowControl w:val="0"/>
        <w:shd w:val="clear" w:color="auto" w:fill="auto"/>
        <w:bidi w:val="0"/>
        <w:spacing w:before="0" w:after="220"/>
        <w:ind w:left="0" w:right="0" w:firstLine="0"/>
        <w:jc w:val="both"/>
      </w:pPr>
      <w:r>
        <w:rPr>
          <w:rStyle w:val="CharStyle6"/>
        </w:rPr>
        <w:t>Obecnie systemy kaucyjne zaplanowane są dla frakcji wskazanych w ustawie i dla tych strumieni budowana jest infrastruktura i logistyka. Operatorzy dokładają starań, aby koordynować działanie systemów w oparciu o obowiązujące przepisy w tym zakresie, dlatego kluczowe jest, aby zapewnić im możliwość rozwijania systemu w stabilnym otoczeniu prawnym, a ewentualne zmiany legislacyjne poddawać szerokim konsultacjom i wprowadzać z odpowiednim vacatio legis, dając przedsiębiorcom czas na dostosowanie się.</w:t>
      </w:r>
    </w:p>
    <w:p>
      <w:pPr>
        <w:pStyle w:val="Style5"/>
        <w:keepNext w:val="0"/>
        <w:keepLines w:val="0"/>
        <w:widowControl w:val="0"/>
        <w:shd w:val="clear" w:color="auto" w:fill="auto"/>
        <w:bidi w:val="0"/>
        <w:spacing w:before="0" w:after="180"/>
        <w:ind w:left="0" w:right="0" w:firstLine="0"/>
        <w:jc w:val="both"/>
      </w:pPr>
      <w:r>
        <w:rPr>
          <w:rStyle w:val="CharStyle6"/>
        </w:rPr>
        <w:t xml:space="preserve">Aktualne informacje oraz materiały dotyczące systemu można znaleźć na stronie </w:t>
      </w:r>
      <w:r>
        <w:fldChar w:fldCharType="begin"/>
      </w:r>
      <w:r>
        <w:rPr/>
        <w:instrText> HYPERLINK "https://www.gov.pl/web/klimat/system-kaucyjny" </w:instrText>
      </w:r>
      <w:r>
        <w:fldChar w:fldCharType="separate"/>
      </w:r>
      <w:r>
        <w:rPr>
          <w:rStyle w:val="CharStyle6"/>
          <w:color w:val="0563C1"/>
          <w:u w:val="single"/>
        </w:rPr>
        <w:t>https://www.gov.pl/web/klimat/system-kaucyjny</w:t>
      </w:r>
      <w:r>
        <w:fldChar w:fldCharType="end"/>
      </w:r>
      <w:r>
        <w:rPr>
          <w:rStyle w:val="CharStyle6"/>
        </w:rPr>
        <w:t>.</w:t>
      </w:r>
    </w:p>
    <w:p>
      <w:pPr>
        <w:pStyle w:val="Style9"/>
        <w:keepNext/>
        <w:keepLines/>
        <w:widowControl w:val="0"/>
        <w:shd w:val="clear" w:color="auto" w:fill="auto"/>
        <w:bidi w:val="0"/>
        <w:spacing w:before="0"/>
        <w:ind w:left="0" w:right="0" w:firstLine="0"/>
        <w:jc w:val="both"/>
      </w:pPr>
      <w:bookmarkStart w:id="9" w:name="bookmark9"/>
      <w:r>
        <w:rPr>
          <w:rStyle w:val="CharStyle10"/>
          <w:b/>
          <w:bCs/>
        </w:rPr>
        <w:t>Hierarchia sposobów postępowania z odpadami</w:t>
      </w:r>
      <w:bookmarkEnd w:id="9"/>
    </w:p>
    <w:p>
      <w:pPr>
        <w:pStyle w:val="Style5"/>
        <w:keepNext w:val="0"/>
        <w:keepLines w:val="0"/>
        <w:widowControl w:val="0"/>
        <w:shd w:val="clear" w:color="auto" w:fill="auto"/>
        <w:bidi w:val="0"/>
        <w:spacing w:before="0"/>
        <w:ind w:left="0" w:right="0" w:firstLine="0"/>
        <w:jc w:val="both"/>
      </w:pPr>
      <w:r>
        <w:rPr>
          <w:rStyle w:val="CharStyle6"/>
        </w:rPr>
        <w:t>Gminy, w ramach zapewnienia czystości i porządku na swoim terenie, zapewniają zagospodarowanie odpadów zgodnie z hierarchią sposobów postępowania z odpadami [9].</w:t>
      </w:r>
    </w:p>
    <w:p>
      <w:pPr>
        <w:pStyle w:val="Style5"/>
        <w:keepNext w:val="0"/>
        <w:keepLines w:val="0"/>
        <w:widowControl w:val="0"/>
        <w:shd w:val="clear" w:color="auto" w:fill="auto"/>
        <w:bidi w:val="0"/>
        <w:spacing w:before="0"/>
        <w:ind w:left="0" w:right="0" w:firstLine="0"/>
        <w:jc w:val="both"/>
      </w:pPr>
      <w:r>
        <w:rPr>
          <w:rStyle w:val="CharStyle6"/>
        </w:rPr>
        <w:t>Priorytetem powinny być działania związane z rozwojem systemu selektywnego zbierania odpadów, który umożliwia pozyskanie dobrej jakości odpadów nadających się do recyklingu, oraz infrastrukturą zapewniającą recykling odpadów.</w:t>
      </w:r>
    </w:p>
    <w:p>
      <w:pPr>
        <w:pStyle w:val="Style5"/>
        <w:keepNext w:val="0"/>
        <w:keepLines w:val="0"/>
        <w:widowControl w:val="0"/>
        <w:shd w:val="clear" w:color="auto" w:fill="auto"/>
        <w:bidi w:val="0"/>
        <w:spacing w:before="0" w:after="520"/>
        <w:ind w:left="0" w:right="0" w:firstLine="0"/>
        <w:jc w:val="both"/>
      </w:pPr>
      <w:r>
        <w:rPr>
          <w:rStyle w:val="CharStyle6"/>
        </w:rPr>
        <w:t>Instalacje do termicznego przekształcania odpadów, które pozwalają na zagospodarowanie frakcji kalorycznej, należy traktować jako uzupełnienie krajowego systemu gospodarki odpadami, a nie jako jego kluczowy element. Do termicznego przekształcania powinny być kierowane odpady, które nie nadają się do recyklingu.</w:t>
      </w:r>
    </w:p>
    <w:p>
      <w:pPr>
        <w:pStyle w:val="Style9"/>
        <w:keepNext/>
        <w:keepLines/>
        <w:widowControl w:val="0"/>
        <w:shd w:val="clear" w:color="auto" w:fill="auto"/>
        <w:bidi w:val="0"/>
        <w:spacing w:before="0" w:after="0"/>
        <w:ind w:left="0" w:right="0" w:firstLine="0"/>
        <w:jc w:val="both"/>
      </w:pPr>
      <w:bookmarkStart w:id="11" w:name="bookmark11"/>
      <w:r>
        <w:rPr>
          <w:rStyle w:val="CharStyle10"/>
          <w:b/>
          <w:bCs/>
        </w:rPr>
        <w:t>Podstawa prawna</w:t>
      </w:r>
      <w:bookmarkEnd w:id="11"/>
    </w:p>
    <w:p>
      <w:pPr>
        <w:pStyle w:val="Style5"/>
        <w:keepNext w:val="0"/>
        <w:keepLines w:val="0"/>
        <w:widowControl w:val="0"/>
        <w:numPr>
          <w:ilvl w:val="0"/>
          <w:numId w:val="3"/>
        </w:numPr>
        <w:shd w:val="clear" w:color="auto" w:fill="auto"/>
        <w:tabs>
          <w:tab w:pos="435" w:val="left"/>
        </w:tabs>
        <w:bidi w:val="0"/>
        <w:spacing w:before="0" w:after="0"/>
        <w:ind w:left="0" w:right="0" w:firstLine="0"/>
        <w:jc w:val="both"/>
      </w:pPr>
      <w:r>
        <w:rPr>
          <w:rStyle w:val="CharStyle6"/>
        </w:rPr>
        <w:t>Oba mechanizmy uregulowane zostały w ustawie z dnia 13 czerwca 2013 r. o gospodarce opakowaniami i odpadami opakowaniowymi (Dz. U. z 2026 r. poz. 619).</w:t>
      </w:r>
    </w:p>
    <w:p>
      <w:pPr>
        <w:pStyle w:val="Style5"/>
        <w:keepNext w:val="0"/>
        <w:keepLines w:val="0"/>
        <w:widowControl w:val="0"/>
        <w:numPr>
          <w:ilvl w:val="0"/>
          <w:numId w:val="3"/>
        </w:numPr>
        <w:shd w:val="clear" w:color="auto" w:fill="auto"/>
        <w:tabs>
          <w:tab w:pos="421" w:val="left"/>
        </w:tabs>
        <w:bidi w:val="0"/>
        <w:spacing w:before="0" w:after="640"/>
        <w:ind w:left="0" w:right="0" w:firstLine="0"/>
        <w:jc w:val="both"/>
      </w:pPr>
      <w:r>
        <w:rPr>
          <w:rStyle w:val="CharStyle6"/>
        </w:rPr>
        <w:t>Art. 3 ust. 2 pkt. 6b ustawy o utrzymaniu czystości i porządku w gminach</w:t>
      </w:r>
    </w:p>
    <w:p>
      <w:pPr>
        <w:pStyle w:val="Style5"/>
        <w:keepNext w:val="0"/>
        <w:keepLines w:val="0"/>
        <w:widowControl w:val="0"/>
        <w:shd w:val="clear" w:color="auto" w:fill="auto"/>
        <w:bidi w:val="0"/>
        <w:spacing w:before="0" w:after="400" w:line="252" w:lineRule="auto"/>
        <w:ind w:left="0" w:right="0" w:firstLine="0"/>
        <w:jc w:val="both"/>
      </w:pPr>
      <w:r>
        <w:rPr>
          <w:rStyle w:val="CharStyle6"/>
        </w:rPr>
        <w:t>Z wyrazami szacunku</w:t>
      </w:r>
    </w:p>
    <w:p>
      <w:pPr>
        <w:pStyle w:val="Style5"/>
        <w:keepNext w:val="0"/>
        <w:keepLines w:val="0"/>
        <w:widowControl w:val="0"/>
        <w:shd w:val="clear" w:color="auto" w:fill="auto"/>
        <w:bidi w:val="0"/>
        <w:spacing w:before="0" w:after="0" w:line="252" w:lineRule="auto"/>
        <w:ind w:left="0" w:right="0" w:firstLine="0"/>
        <w:jc w:val="both"/>
      </w:pPr>
      <w:r>
        <w:rPr>
          <w:rStyle w:val="CharStyle6"/>
        </w:rPr>
        <w:t>Dyrektor</w:t>
      </w:r>
    </w:p>
    <w:p>
      <w:pPr>
        <w:pStyle w:val="Style5"/>
        <w:keepNext w:val="0"/>
        <w:keepLines w:val="0"/>
        <w:widowControl w:val="0"/>
        <w:shd w:val="clear" w:color="auto" w:fill="auto"/>
        <w:bidi w:val="0"/>
        <w:spacing w:before="0" w:after="260" w:line="252" w:lineRule="auto"/>
        <w:ind w:left="0" w:right="0" w:firstLine="0"/>
        <w:jc w:val="both"/>
      </w:pPr>
      <w:r>
        <w:rPr>
          <w:rStyle w:val="CharStyle6"/>
        </w:rPr>
        <w:t>Departament Gospodarki Odpadami Ministerstwo Klimatu i Środowiska / – podpisany cyfrowo/</w:t>
      </w:r>
    </w:p>
    <w:sectPr>
      <w:footerReference w:type="default" r:id="rId7"/>
      <w:footnotePr>
        <w:pos w:val="pageBottom"/>
        <w:numFmt w:val="decimal"/>
        <w:numRestart w:val="continuous"/>
      </w:footnotePr>
      <w:pgSz w:w="11900" w:h="16840"/>
      <w:pgMar w:top="2091" w:right="1953" w:bottom="2549" w:left="1946" w:header="1663"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3756025</wp:posOffset>
              </wp:positionH>
              <wp:positionV relativeFrom="page">
                <wp:posOffset>10041890</wp:posOffset>
              </wp:positionV>
              <wp:extent cx="48895" cy="73025"/>
              <wp:wrapNone/>
              <wp:docPr id="3" name="Shape 3"/>
              <a:graphic xmlns:a="http://schemas.openxmlformats.org/drawingml/2006/main">
                <a:graphicData uri="http://schemas.microsoft.com/office/word/2010/wordprocessingShape">
                  <wps:wsp>
                    <wps:cNvSpPr txBox="1"/>
                    <wps:spPr>
                      <a:xfrm>
                        <a:ext cx="48895" cy="73025"/>
                      </a:xfrm>
                      <a:prstGeom prst="rect"/>
                      <a:noFill/>
                    </wps:spPr>
                    <wps:txbx>
                      <w:txbxContent>
                        <w:p>
                          <w:pPr>
                            <w:pStyle w:val="Style14"/>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rStyle w:val="CharStyle15"/>
                                <w:rFonts w:ascii="Arial" w:eastAsia="Arial" w:hAnsi="Arial" w:cs="Arial"/>
                                <w:sz w:val="16"/>
                                <w:szCs w:val="16"/>
                              </w:rPr>
                              <w:t>#</w:t>
                            </w:r>
                          </w:fldSimple>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295.75pt;margin-top:790.70000000000005pt;width:3.8500000000000001pt;height:5.75pt;z-index:-188744063;mso-wrap-style:none;mso-wrap-distance-left:0;mso-wrap-distance-right:0;mso-position-horizontal-relative:page;mso-position-vertical-relative:page" wrapcoords="0 0" filled="f" stroked="f">
              <v:textbox style="mso-fit-shape-to-text:t" inset="0,0,0,0">
                <w:txbxContent>
                  <w:p>
                    <w:pPr>
                      <w:pStyle w:val="Style14"/>
                      <w:keepNext w:val="0"/>
                      <w:keepLines w:val="0"/>
                      <w:widowControl w:val="0"/>
                      <w:shd w:val="clear" w:color="auto" w:fill="auto"/>
                      <w:bidi w:val="0"/>
                      <w:spacing w:before="0" w:after="0" w:line="240" w:lineRule="auto"/>
                      <w:ind w:left="0" w:right="0" w:firstLine="0"/>
                      <w:jc w:val="left"/>
                      <w:rPr>
                        <w:sz w:val="16"/>
                        <w:szCs w:val="16"/>
                      </w:rPr>
                    </w:pPr>
                    <w:fldSimple w:instr=" PAGE \* MERGEFORMAT ">
                      <w:r>
                        <w:rPr>
                          <w:rStyle w:val="CharStyle15"/>
                          <w:rFonts w:ascii="Arial" w:eastAsia="Arial" w:hAnsi="Arial" w:cs="Arial"/>
                          <w:sz w:val="16"/>
                          <w:szCs w:val="16"/>
                        </w:rPr>
                        <w:t>#</w:t>
                      </w:r>
                    </w:fldSimple>
                  </w:p>
                </w:txbxContent>
              </v:textbox>
              <w10:wrap anchorx="page" anchory="page"/>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abstractNum>
  <w:abstractNum w:abstractNumId="2">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20"/>
        <w:szCs w:val="20"/>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Heading #1_"/>
    <w:basedOn w:val="DefaultParagraphFont"/>
    <w:link w:val="Style2"/>
    <w:rPr>
      <w:rFonts w:ascii="Corbel" w:eastAsia="Corbel" w:hAnsi="Corbel" w:cs="Corbel"/>
      <w:b w:val="0"/>
      <w:bCs w:val="0"/>
      <w:i w:val="0"/>
      <w:iCs w:val="0"/>
      <w:smallCaps w:val="0"/>
      <w:strike w:val="0"/>
      <w:sz w:val="38"/>
      <w:szCs w:val="38"/>
      <w:u w:val="none"/>
    </w:rPr>
  </w:style>
  <w:style w:type="character" w:customStyle="1" w:styleId="CharStyle6">
    <w:name w:val="Body text_"/>
    <w:basedOn w:val="DefaultParagraphFont"/>
    <w:link w:val="Style5"/>
    <w:rPr>
      <w:rFonts w:ascii="Arial" w:eastAsia="Arial" w:hAnsi="Arial" w:cs="Arial"/>
      <w:b w:val="0"/>
      <w:bCs w:val="0"/>
      <w:i w:val="0"/>
      <w:iCs w:val="0"/>
      <w:smallCaps w:val="0"/>
      <w:strike w:val="0"/>
      <w:sz w:val="20"/>
      <w:szCs w:val="20"/>
      <w:u w:val="none"/>
    </w:rPr>
  </w:style>
  <w:style w:type="character" w:customStyle="1" w:styleId="CharStyle8">
    <w:name w:val="Body text (2)_"/>
    <w:basedOn w:val="DefaultParagraphFont"/>
    <w:link w:val="Style7"/>
    <w:rPr>
      <w:rFonts w:ascii="Arial" w:eastAsia="Arial" w:hAnsi="Arial" w:cs="Arial"/>
      <w:b w:val="0"/>
      <w:bCs w:val="0"/>
      <w:i w:val="0"/>
      <w:iCs w:val="0"/>
      <w:smallCaps w:val="0"/>
      <w:strike w:val="0"/>
      <w:sz w:val="17"/>
      <w:szCs w:val="17"/>
      <w:u w:val="none"/>
    </w:rPr>
  </w:style>
  <w:style w:type="character" w:customStyle="1" w:styleId="CharStyle10">
    <w:name w:val="Heading #2_"/>
    <w:basedOn w:val="DefaultParagraphFont"/>
    <w:link w:val="Style9"/>
    <w:rPr>
      <w:rFonts w:ascii="Arial" w:eastAsia="Arial" w:hAnsi="Arial" w:cs="Arial"/>
      <w:b/>
      <w:bCs/>
      <w:i w:val="0"/>
      <w:iCs w:val="0"/>
      <w:smallCaps w:val="0"/>
      <w:strike w:val="0"/>
      <w:sz w:val="20"/>
      <w:szCs w:val="20"/>
      <w:u w:val="none"/>
    </w:rPr>
  </w:style>
  <w:style w:type="character" w:customStyle="1" w:styleId="CharStyle13">
    <w:name w:val="Body text (3)_"/>
    <w:basedOn w:val="DefaultParagraphFont"/>
    <w:link w:val="Style12"/>
    <w:rPr>
      <w:rFonts w:ascii="Arial" w:eastAsia="Arial" w:hAnsi="Arial" w:cs="Arial"/>
      <w:b w:val="0"/>
      <w:bCs w:val="0"/>
      <w:i w:val="0"/>
      <w:iCs w:val="0"/>
      <w:smallCaps w:val="0"/>
      <w:strike w:val="0"/>
      <w:sz w:val="14"/>
      <w:szCs w:val="14"/>
      <w:u w:val="none"/>
    </w:rPr>
  </w:style>
  <w:style w:type="character" w:customStyle="1" w:styleId="CharStyle15">
    <w:name w:val="Header or footer (2)_"/>
    <w:basedOn w:val="DefaultParagraphFont"/>
    <w:link w:val="Style14"/>
    <w:rPr>
      <w:rFonts w:ascii="Times New Roman" w:eastAsia="Times New Roman" w:hAnsi="Times New Roman" w:cs="Times New Roman"/>
      <w:b w:val="0"/>
      <w:bCs w:val="0"/>
      <w:i w:val="0"/>
      <w:iCs w:val="0"/>
      <w:smallCaps w:val="0"/>
      <w:strike w:val="0"/>
      <w:sz w:val="20"/>
      <w:szCs w:val="20"/>
      <w:u w:val="none"/>
    </w:rPr>
  </w:style>
  <w:style w:type="paragraph" w:customStyle="1" w:styleId="Style2">
    <w:name w:val="Heading #1"/>
    <w:basedOn w:val="Normal"/>
    <w:link w:val="CharStyle3"/>
    <w:pPr>
      <w:widowControl w:val="0"/>
      <w:shd w:val="clear" w:color="auto" w:fill="auto"/>
      <w:spacing w:after="250" w:line="221" w:lineRule="auto"/>
      <w:outlineLvl w:val="0"/>
    </w:pPr>
    <w:rPr>
      <w:rFonts w:ascii="Corbel" w:eastAsia="Corbel" w:hAnsi="Corbel" w:cs="Corbel"/>
      <w:b w:val="0"/>
      <w:bCs w:val="0"/>
      <w:i w:val="0"/>
      <w:iCs w:val="0"/>
      <w:smallCaps w:val="0"/>
      <w:strike w:val="0"/>
      <w:sz w:val="38"/>
      <w:szCs w:val="38"/>
      <w:u w:val="none"/>
    </w:rPr>
  </w:style>
  <w:style w:type="paragraph" w:styleId="Style5">
    <w:name w:val="Body text"/>
    <w:basedOn w:val="Normal"/>
    <w:link w:val="CharStyle6"/>
    <w:qFormat/>
    <w:pPr>
      <w:widowControl w:val="0"/>
      <w:shd w:val="clear" w:color="auto" w:fill="auto"/>
      <w:spacing w:after="100" w:line="276" w:lineRule="auto"/>
    </w:pPr>
    <w:rPr>
      <w:rFonts w:ascii="Arial" w:eastAsia="Arial" w:hAnsi="Arial" w:cs="Arial"/>
      <w:b w:val="0"/>
      <w:bCs w:val="0"/>
      <w:i w:val="0"/>
      <w:iCs w:val="0"/>
      <w:smallCaps w:val="0"/>
      <w:strike w:val="0"/>
      <w:sz w:val="20"/>
      <w:szCs w:val="20"/>
      <w:u w:val="none"/>
    </w:rPr>
  </w:style>
  <w:style w:type="paragraph" w:customStyle="1" w:styleId="Style7">
    <w:name w:val="Body text (2)"/>
    <w:basedOn w:val="Normal"/>
    <w:link w:val="CharStyle8"/>
    <w:pPr>
      <w:widowControl w:val="0"/>
      <w:shd w:val="clear" w:color="auto" w:fill="auto"/>
      <w:ind w:left="220"/>
    </w:pPr>
    <w:rPr>
      <w:rFonts w:ascii="Arial" w:eastAsia="Arial" w:hAnsi="Arial" w:cs="Arial"/>
      <w:b w:val="0"/>
      <w:bCs w:val="0"/>
      <w:i w:val="0"/>
      <w:iCs w:val="0"/>
      <w:smallCaps w:val="0"/>
      <w:strike w:val="0"/>
      <w:sz w:val="17"/>
      <w:szCs w:val="17"/>
      <w:u w:val="none"/>
    </w:rPr>
  </w:style>
  <w:style w:type="paragraph" w:customStyle="1" w:styleId="Style9">
    <w:name w:val="Heading #2"/>
    <w:basedOn w:val="Normal"/>
    <w:link w:val="CharStyle10"/>
    <w:pPr>
      <w:widowControl w:val="0"/>
      <w:shd w:val="clear" w:color="auto" w:fill="auto"/>
      <w:spacing w:after="100" w:line="276" w:lineRule="auto"/>
      <w:ind w:firstLine="220"/>
      <w:outlineLvl w:val="1"/>
    </w:pPr>
    <w:rPr>
      <w:rFonts w:ascii="Arial" w:eastAsia="Arial" w:hAnsi="Arial" w:cs="Arial"/>
      <w:b/>
      <w:bCs/>
      <w:i w:val="0"/>
      <w:iCs w:val="0"/>
      <w:smallCaps w:val="0"/>
      <w:strike w:val="0"/>
      <w:sz w:val="20"/>
      <w:szCs w:val="20"/>
      <w:u w:val="none"/>
    </w:rPr>
  </w:style>
  <w:style w:type="paragraph" w:customStyle="1" w:styleId="Style12">
    <w:name w:val="Body text (3)"/>
    <w:basedOn w:val="Normal"/>
    <w:link w:val="CharStyle13"/>
    <w:pPr>
      <w:widowControl w:val="0"/>
      <w:shd w:val="clear" w:color="auto" w:fill="auto"/>
      <w:spacing w:after="220" w:line="286" w:lineRule="auto"/>
      <w:jc w:val="center"/>
    </w:pPr>
    <w:rPr>
      <w:rFonts w:ascii="Arial" w:eastAsia="Arial" w:hAnsi="Arial" w:cs="Arial"/>
      <w:b w:val="0"/>
      <w:bCs w:val="0"/>
      <w:i w:val="0"/>
      <w:iCs w:val="0"/>
      <w:smallCaps w:val="0"/>
      <w:strike w:val="0"/>
      <w:sz w:val="14"/>
      <w:szCs w:val="14"/>
      <w:u w:val="none"/>
    </w:rPr>
  </w:style>
  <w:style w:type="paragraph" w:customStyle="1" w:styleId="Style14">
    <w:name w:val="Header or footer (2)"/>
    <w:basedOn w:val="Normal"/>
    <w:link w:val="CharStyle15"/>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 Id="rId7"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Prosty język. Uniwersalny szablondepartamentu/biura kolor</dc:title>
  <dc:subject/>
  <dc:creator>Kamińska Anna</dc:creator>
  <cp:keywords>PL, KOLOR</cp:keywords>
</cp:coreProperties>
</file>