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C21C" w14:textId="77777777" w:rsidR="00092333" w:rsidRPr="004257E0" w:rsidRDefault="00092333" w:rsidP="00092333">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jc w:val="center"/>
        <w:rPr>
          <w:rFonts w:ascii="Calibri" w:hAnsi="Calibri"/>
          <w:b/>
          <w:sz w:val="22"/>
          <w:szCs w:val="22"/>
          <w:lang w:val="ru-RU"/>
        </w:rPr>
      </w:pPr>
      <w:r w:rsidRPr="00092333">
        <w:rPr>
          <w:rFonts w:ascii="Calibri" w:eastAsia="Calibri" w:hAnsi="Calibri" w:cs="Calibri"/>
          <w:b/>
          <w:sz w:val="22"/>
          <w:szCs w:val="22"/>
          <w:lang w:val="uk-UA" w:bidi="uk-UA"/>
        </w:rPr>
        <w:t>ПАМ’ЯТКИ</w:t>
      </w:r>
    </w:p>
    <w:p w14:paraId="462F8BDB" w14:textId="77777777" w:rsidR="007E1E5B" w:rsidRPr="004257E0" w:rsidRDefault="007E1E5B" w:rsidP="0009233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libri" w:hAnsi="Calibri" w:cs="Calibri"/>
          <w:b/>
          <w:bCs/>
          <w:sz w:val="22"/>
          <w:szCs w:val="22"/>
          <w:lang w:val="ru-RU"/>
        </w:rPr>
      </w:pPr>
      <w:r w:rsidRPr="00092333">
        <w:rPr>
          <w:rFonts w:ascii="Calibri" w:eastAsia="Calibri" w:hAnsi="Calibri" w:cs="Calibri"/>
          <w:b/>
          <w:sz w:val="22"/>
          <w:szCs w:val="22"/>
          <w:lang w:val="uk-UA" w:bidi="uk-UA"/>
        </w:rPr>
        <w:t>ВРУЧЕННЯ КОПІЇ ПОЗОВУ ВІДПОВІДАЧУ</w:t>
      </w:r>
    </w:p>
    <w:p w14:paraId="291528AD" w14:textId="77777777" w:rsidR="00410BDD" w:rsidRPr="004257E0" w:rsidRDefault="00410BDD" w:rsidP="0009233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Calibri" w:hAnsi="Calibri" w:cs="Calibri"/>
          <w:b/>
          <w:bCs/>
          <w:sz w:val="22"/>
          <w:szCs w:val="22"/>
          <w:lang w:val="ru-RU"/>
        </w:rPr>
      </w:pPr>
      <w:r>
        <w:rPr>
          <w:rFonts w:ascii="Calibri" w:eastAsia="Calibri" w:hAnsi="Calibri" w:cs="Calibri"/>
          <w:b/>
          <w:sz w:val="22"/>
          <w:szCs w:val="22"/>
          <w:lang w:val="uk-UA" w:bidi="uk-UA"/>
        </w:rPr>
        <w:t>(цивільне судочинство)</w:t>
      </w:r>
    </w:p>
    <w:p w14:paraId="2BC63FB4" w14:textId="77777777" w:rsidR="007611E2" w:rsidRPr="004257E0" w:rsidRDefault="00EF33AB" w:rsidP="0045435E">
      <w:pPr>
        <w:numPr>
          <w:ilvl w:val="0"/>
          <w:numId w:val="2"/>
        </w:numPr>
        <w:spacing w:before="120"/>
        <w:ind w:left="432" w:hanging="290"/>
        <w:jc w:val="both"/>
        <w:rPr>
          <w:rFonts w:ascii="Calibri" w:hAnsi="Calibri" w:cs="Arial"/>
          <w:b/>
          <w:bCs/>
          <w:sz w:val="20"/>
          <w:szCs w:val="20"/>
          <w:lang w:val="ru-RU"/>
        </w:rPr>
      </w:pPr>
      <w:r w:rsidRPr="00EF33AB">
        <w:rPr>
          <w:rFonts w:ascii="Calibri" w:eastAsia="Calibri" w:hAnsi="Calibri" w:cs="Arial"/>
          <w:sz w:val="20"/>
          <w:szCs w:val="20"/>
          <w:lang w:val="uk-UA" w:bidi="uk-UA"/>
        </w:rPr>
        <w:t xml:space="preserve">Ви щойно отримали копію позовної заяви разом із додатками, що означає, що Ви є стороною у справі, яка розглядається в Суді. Цей лист містить сукупність важливих пам’яток щодо прав та обов’язків сторони у судовому процесі, а також вказує на порядок подальшого розгляду справи в Суді. </w:t>
      </w:r>
      <w:r w:rsidRPr="00EF33AB">
        <w:rPr>
          <w:rFonts w:ascii="Calibri" w:eastAsia="Calibri" w:hAnsi="Calibri" w:cs="Arial"/>
          <w:b/>
          <w:sz w:val="20"/>
          <w:szCs w:val="20"/>
          <w:lang w:val="uk-UA" w:bidi="uk-UA"/>
        </w:rPr>
        <w:t>Відповідач, який не ознайомився з пам’ятками, несе ризик пов’язаних з цим процесуальних наслідків, у тому числі наслідків, пов’язаних з незнанням зазначених там прав та обов’язків.</w:t>
      </w:r>
    </w:p>
    <w:p w14:paraId="6F86A179" w14:textId="77777777" w:rsidR="007160F5" w:rsidRPr="007160F5" w:rsidRDefault="00E72B88" w:rsidP="0045435E">
      <w:pPr>
        <w:numPr>
          <w:ilvl w:val="0"/>
          <w:numId w:val="2"/>
        </w:numPr>
        <w:spacing w:before="120"/>
        <w:ind w:left="432" w:hanging="290"/>
        <w:jc w:val="both"/>
        <w:rPr>
          <w:rFonts w:ascii="Calibri" w:hAnsi="Calibri" w:cs="Arial"/>
          <w:sz w:val="20"/>
          <w:szCs w:val="20"/>
        </w:rPr>
      </w:pPr>
      <w:r w:rsidRPr="00B00786">
        <w:rPr>
          <w:rFonts w:ascii="Calibri" w:eastAsia="Calibri" w:hAnsi="Calibri" w:cs="Calibri"/>
          <w:sz w:val="20"/>
          <w:szCs w:val="20"/>
          <w:lang w:val="uk-UA" w:bidi="uk-UA"/>
        </w:rPr>
        <w:t xml:space="preserve">Відповідач – </w:t>
      </w:r>
      <w:r w:rsidRPr="00B00786">
        <w:rPr>
          <w:rFonts w:ascii="Calibri" w:eastAsia="Calibri" w:hAnsi="Calibri" w:cs="Calibri"/>
          <w:b/>
          <w:sz w:val="20"/>
          <w:szCs w:val="20"/>
          <w:lang w:val="uk-UA" w:bidi="uk-UA"/>
        </w:rPr>
        <w:t>якщо він не визнає позовну вимогу повністю або частково – зобов’язаний, відповідно до виклику суду, подати відповідь на позов</w:t>
      </w:r>
      <w:r w:rsidR="004A08D0" w:rsidRPr="0029326E">
        <w:rPr>
          <w:rFonts w:ascii="Calibri" w:eastAsia="Calibri" w:hAnsi="Calibri" w:cs="Calibri"/>
          <w:sz w:val="22"/>
          <w:szCs w:val="20"/>
          <w:lang w:val="uk-UA" w:bidi="uk-UA"/>
        </w:rPr>
        <w:t xml:space="preserve"> </w:t>
      </w:r>
      <w:r w:rsidRPr="00B00786">
        <w:rPr>
          <w:rFonts w:ascii="Calibri" w:eastAsia="Calibri" w:hAnsi="Calibri" w:cs="Calibri"/>
          <w:sz w:val="20"/>
          <w:szCs w:val="20"/>
          <w:lang w:val="uk-UA" w:bidi="uk-UA"/>
        </w:rPr>
        <w:t>у строк, зазначений у ньому (ст. 205</w:t>
      </w:r>
      <w:r w:rsidRPr="00B00786">
        <w:rPr>
          <w:rFonts w:ascii="Calibri" w:eastAsia="Calibri" w:hAnsi="Calibri" w:cs="Calibri"/>
          <w:sz w:val="20"/>
          <w:szCs w:val="20"/>
          <w:vertAlign w:val="superscript"/>
          <w:lang w:val="uk-UA" w:bidi="uk-UA"/>
        </w:rPr>
        <w:t>1</w:t>
      </w:r>
      <w:r w:rsidRPr="00B00786">
        <w:rPr>
          <w:rFonts w:ascii="Calibri" w:eastAsia="Calibri" w:hAnsi="Calibri" w:cs="Calibri"/>
          <w:sz w:val="20"/>
          <w:szCs w:val="20"/>
          <w:lang w:val="uk-UA" w:bidi="uk-UA"/>
        </w:rPr>
        <w:t xml:space="preserve"> § 1 Закону від 17 листопада 1964 р. «Цивільний процесуальний кодекс» («Закон. Вісник».2024.1568, єд. текст - далі ЦПК).</w:t>
      </w:r>
    </w:p>
    <w:p w14:paraId="1AED8AEE" w14:textId="77777777" w:rsidR="00261061" w:rsidRPr="00171290" w:rsidRDefault="00D51E8F" w:rsidP="0045435E">
      <w:pPr>
        <w:spacing w:before="120"/>
        <w:ind w:left="432" w:hanging="6"/>
        <w:jc w:val="both"/>
        <w:rPr>
          <w:rFonts w:ascii="Calibri" w:hAnsi="Calibri" w:cs="Arial"/>
          <w:sz w:val="20"/>
          <w:szCs w:val="20"/>
        </w:rPr>
      </w:pPr>
      <w:r w:rsidRPr="00171290">
        <w:rPr>
          <w:rFonts w:ascii="Calibri" w:eastAsia="Calibri" w:hAnsi="Calibri" w:cs="Calibri"/>
          <w:sz w:val="20"/>
          <w:szCs w:val="20"/>
          <w:lang w:val="uk-UA" w:bidi="uk-UA"/>
        </w:rPr>
        <w:t>Відповідь на позов, подана після закінчення цього строку, підлягає поверненню (ст. 205</w:t>
      </w:r>
      <w:r w:rsidRPr="00171290">
        <w:rPr>
          <w:rFonts w:ascii="Calibri" w:eastAsia="Calibri" w:hAnsi="Calibri" w:cs="Calibri"/>
          <w:sz w:val="20"/>
          <w:szCs w:val="20"/>
          <w:vertAlign w:val="superscript"/>
          <w:lang w:val="uk-UA" w:bidi="uk-UA"/>
        </w:rPr>
        <w:t>1</w:t>
      </w:r>
      <w:r w:rsidRPr="00171290">
        <w:rPr>
          <w:rFonts w:ascii="Calibri" w:eastAsia="Calibri" w:hAnsi="Calibri" w:cs="Calibri"/>
          <w:sz w:val="20"/>
          <w:szCs w:val="20"/>
          <w:lang w:val="uk-UA" w:bidi="uk-UA"/>
        </w:rPr>
        <w:t xml:space="preserve"> § 2 ЦПК). </w:t>
      </w:r>
    </w:p>
    <w:p w14:paraId="25F79C90" w14:textId="77777777" w:rsidR="007148F2" w:rsidRPr="00D64768" w:rsidRDefault="007148F2" w:rsidP="00A7711F">
      <w:pPr>
        <w:spacing w:before="120"/>
        <w:ind w:left="431" w:hanging="6"/>
        <w:jc w:val="both"/>
        <w:rPr>
          <w:rFonts w:ascii="Calibri" w:hAnsi="Calibri"/>
          <w:sz w:val="20"/>
          <w:szCs w:val="20"/>
        </w:rPr>
      </w:pPr>
      <w:r w:rsidRPr="00D64768">
        <w:rPr>
          <w:rFonts w:ascii="Calibri" w:eastAsia="Calibri" w:hAnsi="Calibri" w:cs="Calibri"/>
          <w:sz w:val="20"/>
          <w:szCs w:val="20"/>
          <w:lang w:val="uk-UA" w:bidi="uk-UA"/>
        </w:rPr>
        <w:t xml:space="preserve">Відповідь на позов повинна містити (ст. 126 ЦПК): </w:t>
      </w:r>
    </w:p>
    <w:p w14:paraId="273DFA75" w14:textId="77777777" w:rsidR="007148F2" w:rsidRPr="004257E0" w:rsidRDefault="007148F2" w:rsidP="0045435E">
      <w:pPr>
        <w:numPr>
          <w:ilvl w:val="2"/>
          <w:numId w:val="10"/>
        </w:numPr>
        <w:ind w:left="709" w:hanging="290"/>
        <w:jc w:val="both"/>
        <w:rPr>
          <w:rFonts w:ascii="Calibri" w:hAnsi="Calibri" w:cs="Arial"/>
          <w:sz w:val="20"/>
          <w:szCs w:val="20"/>
          <w:lang w:val="ru-RU"/>
        </w:rPr>
      </w:pPr>
      <w:r w:rsidRPr="00D64768">
        <w:rPr>
          <w:rFonts w:ascii="Calibri" w:eastAsia="Calibri" w:hAnsi="Calibri" w:cs="Calibri"/>
          <w:sz w:val="20"/>
          <w:szCs w:val="20"/>
          <w:lang w:val="uk-UA" w:bidi="uk-UA"/>
        </w:rPr>
        <w:t>назву суду, до якого вона направлена, та зазначення номера справи;</w:t>
      </w:r>
    </w:p>
    <w:p w14:paraId="0FBE328C" w14:textId="77777777" w:rsidR="007148F2" w:rsidRPr="004257E0" w:rsidRDefault="007148F2" w:rsidP="0045435E">
      <w:pPr>
        <w:numPr>
          <w:ilvl w:val="2"/>
          <w:numId w:val="10"/>
        </w:numPr>
        <w:ind w:left="709" w:hanging="290"/>
        <w:jc w:val="both"/>
        <w:rPr>
          <w:rFonts w:ascii="Calibri" w:hAnsi="Calibri" w:cs="Arial"/>
          <w:sz w:val="20"/>
          <w:szCs w:val="20"/>
          <w:lang w:val="ru-RU"/>
        </w:rPr>
      </w:pPr>
      <w:r w:rsidRPr="00D64768">
        <w:rPr>
          <w:rFonts w:ascii="Calibri" w:eastAsia="Calibri" w:hAnsi="Calibri" w:cs="Calibri"/>
          <w:sz w:val="20"/>
          <w:szCs w:val="20"/>
          <w:lang w:val="uk-UA" w:bidi="uk-UA"/>
        </w:rPr>
        <w:t xml:space="preserve">імена та прізвища або назви сторін, їхніх законних представників та повноважних; </w:t>
      </w:r>
    </w:p>
    <w:p w14:paraId="0EA5E8BF" w14:textId="77777777" w:rsidR="007148F2" w:rsidRPr="004257E0" w:rsidRDefault="007148F2" w:rsidP="0045435E">
      <w:pPr>
        <w:numPr>
          <w:ilvl w:val="2"/>
          <w:numId w:val="10"/>
        </w:numPr>
        <w:ind w:left="709" w:hanging="290"/>
        <w:jc w:val="both"/>
        <w:rPr>
          <w:rFonts w:ascii="Calibri" w:hAnsi="Calibri" w:cs="Arial"/>
          <w:sz w:val="20"/>
          <w:szCs w:val="20"/>
          <w:lang w:val="ru-RU"/>
        </w:rPr>
      </w:pPr>
      <w:r w:rsidRPr="00D64768">
        <w:rPr>
          <w:rFonts w:ascii="Calibri" w:eastAsia="Calibri" w:hAnsi="Calibri" w:cs="Calibri"/>
          <w:sz w:val="20"/>
          <w:szCs w:val="20"/>
          <w:lang w:val="uk-UA" w:bidi="uk-UA"/>
        </w:rPr>
        <w:t xml:space="preserve">зазначення виду документа </w:t>
      </w:r>
      <w:r w:rsidRPr="00D64768">
        <w:rPr>
          <w:rFonts w:ascii="Calibri" w:eastAsia="Calibri" w:hAnsi="Calibri" w:cs="Calibri"/>
          <w:i/>
          <w:sz w:val="20"/>
          <w:szCs w:val="20"/>
          <w:lang w:val="uk-UA" w:bidi="uk-UA"/>
        </w:rPr>
        <w:t>(відповідь на позов)</w:t>
      </w:r>
      <w:r w:rsidRPr="00D64768">
        <w:rPr>
          <w:rFonts w:ascii="Calibri" w:eastAsia="Calibri" w:hAnsi="Calibri" w:cs="Calibri"/>
          <w:sz w:val="20"/>
          <w:szCs w:val="20"/>
          <w:lang w:val="uk-UA" w:bidi="uk-UA"/>
        </w:rPr>
        <w:t xml:space="preserve">; </w:t>
      </w:r>
    </w:p>
    <w:p w14:paraId="0DDEB098" w14:textId="77777777" w:rsidR="00377543" w:rsidRPr="00D64768" w:rsidRDefault="007148F2" w:rsidP="0045435E">
      <w:pPr>
        <w:numPr>
          <w:ilvl w:val="2"/>
          <w:numId w:val="10"/>
        </w:numPr>
        <w:ind w:left="709" w:hanging="290"/>
        <w:jc w:val="both"/>
        <w:rPr>
          <w:rFonts w:ascii="Calibri" w:hAnsi="Calibri" w:cs="Arial"/>
          <w:sz w:val="20"/>
          <w:szCs w:val="20"/>
        </w:rPr>
      </w:pPr>
      <w:r w:rsidRPr="00D64768">
        <w:rPr>
          <w:rFonts w:ascii="Calibri" w:eastAsia="Calibri" w:hAnsi="Calibri" w:cs="Calibri"/>
          <w:sz w:val="20"/>
          <w:szCs w:val="20"/>
          <w:lang w:val="uk-UA" w:bidi="uk-UA"/>
        </w:rPr>
        <w:t>основу клопотання або заяви;</w:t>
      </w:r>
    </w:p>
    <w:p w14:paraId="33297C74" w14:textId="77777777" w:rsidR="00377543" w:rsidRPr="00D64768" w:rsidRDefault="007148F2" w:rsidP="0045435E">
      <w:pPr>
        <w:numPr>
          <w:ilvl w:val="2"/>
          <w:numId w:val="10"/>
        </w:numPr>
        <w:ind w:left="709" w:hanging="290"/>
        <w:jc w:val="both"/>
        <w:rPr>
          <w:rFonts w:ascii="Calibri" w:hAnsi="Calibri" w:cs="Arial"/>
          <w:sz w:val="20"/>
          <w:szCs w:val="20"/>
        </w:rPr>
      </w:pPr>
      <w:r w:rsidRPr="00D64768">
        <w:rPr>
          <w:rFonts w:ascii="Calibri" w:eastAsia="Calibri" w:hAnsi="Calibri" w:cs="Calibri"/>
          <w:sz w:val="20"/>
          <w:szCs w:val="20"/>
          <w:lang w:val="uk-UA" w:bidi="uk-UA"/>
        </w:rPr>
        <w:t xml:space="preserve">у разі, якщо це необхідно для вирішення справи - зазначення фактів, на яких відповідач ґрунтує своє клопотання або заяву, а також зазначення доказів для підтвердження кожного з цих фактів; </w:t>
      </w:r>
    </w:p>
    <w:p w14:paraId="599841AF" w14:textId="77777777" w:rsidR="00377543" w:rsidRPr="004257E0" w:rsidRDefault="007148F2" w:rsidP="0045435E">
      <w:pPr>
        <w:numPr>
          <w:ilvl w:val="2"/>
          <w:numId w:val="10"/>
        </w:numPr>
        <w:ind w:left="709" w:hanging="290"/>
        <w:jc w:val="both"/>
        <w:rPr>
          <w:rFonts w:ascii="Calibri" w:hAnsi="Calibri" w:cs="Arial"/>
          <w:sz w:val="20"/>
          <w:szCs w:val="20"/>
          <w:lang w:val="ru-RU"/>
        </w:rPr>
      </w:pPr>
      <w:r w:rsidRPr="00D64768">
        <w:rPr>
          <w:rFonts w:ascii="Calibri" w:eastAsia="Calibri" w:hAnsi="Calibri" w:cs="Calibri"/>
          <w:sz w:val="20"/>
          <w:szCs w:val="20"/>
          <w:lang w:val="uk-UA" w:bidi="uk-UA"/>
        </w:rPr>
        <w:t xml:space="preserve">підпис відповідача або його законного представника чи повноважного представника; </w:t>
      </w:r>
    </w:p>
    <w:p w14:paraId="411CC4B8" w14:textId="77777777" w:rsidR="00377543" w:rsidRPr="00D64768" w:rsidRDefault="00377543" w:rsidP="0045435E">
      <w:pPr>
        <w:numPr>
          <w:ilvl w:val="2"/>
          <w:numId w:val="10"/>
        </w:numPr>
        <w:ind w:left="709" w:hanging="290"/>
        <w:jc w:val="both"/>
        <w:rPr>
          <w:rFonts w:ascii="Calibri" w:hAnsi="Calibri" w:cs="Arial"/>
          <w:sz w:val="20"/>
          <w:szCs w:val="20"/>
        </w:rPr>
      </w:pPr>
      <w:r w:rsidRPr="00D64768">
        <w:rPr>
          <w:rFonts w:ascii="Calibri" w:eastAsia="Calibri" w:hAnsi="Calibri" w:cs="Calibri"/>
          <w:sz w:val="20"/>
          <w:szCs w:val="20"/>
          <w:lang w:val="uk-UA" w:bidi="uk-UA"/>
        </w:rPr>
        <w:t xml:space="preserve">перелік додатків. </w:t>
      </w:r>
    </w:p>
    <w:p w14:paraId="07B3A123" w14:textId="77777777" w:rsidR="008B7222" w:rsidRPr="004257E0" w:rsidRDefault="007148F2" w:rsidP="0045435E">
      <w:pPr>
        <w:spacing w:before="120"/>
        <w:ind w:left="425" w:firstLine="1"/>
        <w:jc w:val="both"/>
        <w:rPr>
          <w:rFonts w:ascii="Calibri" w:hAnsi="Calibri"/>
          <w:sz w:val="20"/>
          <w:szCs w:val="20"/>
          <w:lang w:val="ru-RU"/>
        </w:rPr>
      </w:pPr>
      <w:r w:rsidRPr="00CF562F">
        <w:rPr>
          <w:rFonts w:ascii="Calibri" w:eastAsia="Calibri" w:hAnsi="Calibri" w:cs="Calibri"/>
          <w:sz w:val="20"/>
          <w:szCs w:val="20"/>
          <w:lang w:val="uk-UA" w:bidi="uk-UA"/>
        </w:rPr>
        <w:t xml:space="preserve">До відповіді на позов відповідач повинен додати: </w:t>
      </w:r>
    </w:p>
    <w:p w14:paraId="11396A79" w14:textId="77777777" w:rsidR="008B7222" w:rsidRPr="004257E0" w:rsidRDefault="007148F2" w:rsidP="0045435E">
      <w:pPr>
        <w:numPr>
          <w:ilvl w:val="2"/>
          <w:numId w:val="12"/>
        </w:numPr>
        <w:ind w:left="709" w:hanging="290"/>
        <w:jc w:val="both"/>
        <w:rPr>
          <w:rFonts w:ascii="Calibri" w:hAnsi="Calibri"/>
          <w:sz w:val="20"/>
          <w:szCs w:val="20"/>
          <w:lang w:val="ru-RU"/>
        </w:rPr>
      </w:pPr>
      <w:r w:rsidRPr="00CF562F">
        <w:rPr>
          <w:rFonts w:ascii="Calibri" w:eastAsia="Calibri" w:hAnsi="Calibri" w:cs="Calibri"/>
          <w:sz w:val="20"/>
          <w:szCs w:val="20"/>
          <w:lang w:val="uk-UA" w:bidi="uk-UA"/>
        </w:rPr>
        <w:t>додатки, перелічені у відповіді на позов (ст. 126 § 1</w:t>
      </w:r>
      <w:r w:rsidRPr="00CF562F">
        <w:rPr>
          <w:rFonts w:ascii="Calibri" w:eastAsia="Calibri" w:hAnsi="Calibri" w:cs="Calibri"/>
          <w:sz w:val="20"/>
          <w:szCs w:val="20"/>
          <w:vertAlign w:val="superscript"/>
          <w:lang w:val="uk-UA" w:bidi="uk-UA"/>
        </w:rPr>
        <w:t>1</w:t>
      </w:r>
      <w:r w:rsidRPr="00CF562F">
        <w:rPr>
          <w:rFonts w:ascii="Calibri" w:eastAsia="Calibri" w:hAnsi="Calibri" w:cs="Calibri"/>
          <w:sz w:val="20"/>
          <w:szCs w:val="20"/>
          <w:lang w:val="uk-UA" w:bidi="uk-UA"/>
        </w:rPr>
        <w:t xml:space="preserve"> ЦПК); </w:t>
      </w:r>
    </w:p>
    <w:p w14:paraId="62B6649E" w14:textId="77777777" w:rsidR="00B13433" w:rsidRPr="004257E0" w:rsidRDefault="007148F2" w:rsidP="00B13433">
      <w:pPr>
        <w:numPr>
          <w:ilvl w:val="2"/>
          <w:numId w:val="12"/>
        </w:numPr>
        <w:ind w:left="709" w:hanging="290"/>
        <w:jc w:val="both"/>
        <w:rPr>
          <w:rFonts w:ascii="Calibri" w:hAnsi="Calibri"/>
          <w:sz w:val="20"/>
          <w:szCs w:val="20"/>
          <w:lang w:val="ru-RU"/>
        </w:rPr>
      </w:pPr>
      <w:r w:rsidRPr="00CF562F">
        <w:rPr>
          <w:rFonts w:ascii="Calibri" w:eastAsia="Calibri" w:hAnsi="Calibri" w:cs="Calibri"/>
          <w:sz w:val="20"/>
          <w:szCs w:val="20"/>
          <w:lang w:val="uk-UA" w:bidi="uk-UA"/>
        </w:rPr>
        <w:t xml:space="preserve">копію відповіді на позов та копії додатків для вручення їх особам, які беруть участь у справі, а також, якщо до суду не подано оригінали додатків, по одній копії кожного додатка до судової справи (ст. 128 § 1 ЦПК). </w:t>
      </w:r>
    </w:p>
    <w:p w14:paraId="0A3EF83D" w14:textId="77777777" w:rsidR="00A7711F" w:rsidRPr="004257E0" w:rsidRDefault="00A7711F" w:rsidP="00AD1F73">
      <w:pPr>
        <w:spacing w:before="120"/>
        <w:ind w:left="420"/>
        <w:jc w:val="both"/>
        <w:rPr>
          <w:rFonts w:ascii="Calibri" w:hAnsi="Calibri"/>
          <w:sz w:val="20"/>
          <w:szCs w:val="20"/>
          <w:lang w:val="uk-UA"/>
        </w:rPr>
      </w:pPr>
      <w:r>
        <w:rPr>
          <w:rFonts w:ascii="Calibri" w:eastAsia="Calibri" w:hAnsi="Calibri" w:cs="Calibri"/>
          <w:sz w:val="20"/>
          <w:szCs w:val="20"/>
          <w:lang w:val="uk-UA" w:bidi="uk-UA"/>
        </w:rPr>
        <w:t xml:space="preserve">Відповідач, який є фізичною особою, у першому процесуальному документі повинен вказати свій номер </w:t>
      </w:r>
      <w:r>
        <w:rPr>
          <w:rFonts w:ascii="Calibri" w:eastAsia="Calibri" w:hAnsi="Calibri" w:cs="Calibri"/>
          <w:b/>
          <w:sz w:val="20"/>
          <w:szCs w:val="20"/>
          <w:lang w:val="uk-UA" w:bidi="uk-UA"/>
        </w:rPr>
        <w:t>PESEL</w:t>
      </w:r>
      <w:r>
        <w:rPr>
          <w:rFonts w:ascii="Calibri" w:eastAsia="Calibri" w:hAnsi="Calibri" w:cs="Calibri"/>
          <w:sz w:val="20"/>
          <w:szCs w:val="20"/>
          <w:lang w:val="uk-UA" w:bidi="uk-UA"/>
        </w:rPr>
        <w:t xml:space="preserve">, якщо він зобов’язаний його мати або має його, незважаючи на відсутність такого обов’язку. Відповідач, який не є фізичною особою, повинен вказати номер у </w:t>
      </w:r>
      <w:r>
        <w:rPr>
          <w:rFonts w:ascii="Calibri" w:eastAsia="Calibri" w:hAnsi="Calibri" w:cs="Calibri"/>
          <w:b/>
          <w:sz w:val="20"/>
          <w:szCs w:val="20"/>
          <w:lang w:val="uk-UA" w:bidi="uk-UA"/>
        </w:rPr>
        <w:t>Національному судовому реєстрі</w:t>
      </w:r>
      <w:r>
        <w:rPr>
          <w:rFonts w:ascii="Calibri" w:eastAsia="Calibri" w:hAnsi="Calibri" w:cs="Calibri"/>
          <w:sz w:val="20"/>
          <w:szCs w:val="20"/>
          <w:lang w:val="uk-UA" w:bidi="uk-UA"/>
        </w:rPr>
        <w:t>, а в разі його відсутності – номер в іншому відповідному реєстрі, обліку або номер NIP, якщо він зобов’язаний його мати (ст. 208</w:t>
      </w:r>
      <w:r>
        <w:rPr>
          <w:rFonts w:ascii="Calibri" w:eastAsia="Calibri" w:hAnsi="Calibri" w:cs="Calibri"/>
          <w:sz w:val="20"/>
          <w:szCs w:val="20"/>
          <w:vertAlign w:val="superscript"/>
          <w:lang w:val="uk-UA" w:bidi="uk-UA"/>
        </w:rPr>
        <w:t>1</w:t>
      </w:r>
      <w:r>
        <w:rPr>
          <w:rFonts w:ascii="Calibri" w:eastAsia="Calibri" w:hAnsi="Calibri" w:cs="Calibri"/>
          <w:sz w:val="20"/>
          <w:szCs w:val="20"/>
          <w:lang w:val="uk-UA" w:bidi="uk-UA"/>
        </w:rPr>
        <w:t xml:space="preserve"> ЦПК).</w:t>
      </w:r>
    </w:p>
    <w:p w14:paraId="2CC5F2C9" w14:textId="77777777" w:rsidR="00B13433" w:rsidRPr="004257E0" w:rsidRDefault="00B13433" w:rsidP="00B13433">
      <w:pPr>
        <w:numPr>
          <w:ilvl w:val="0"/>
          <w:numId w:val="2"/>
        </w:numPr>
        <w:spacing w:before="120"/>
        <w:ind w:left="426" w:hanging="284"/>
        <w:jc w:val="both"/>
        <w:rPr>
          <w:rFonts w:ascii="Calibri" w:hAnsi="Calibri"/>
          <w:sz w:val="20"/>
          <w:szCs w:val="20"/>
          <w:lang w:val="uk-UA"/>
        </w:rPr>
      </w:pPr>
      <w:r w:rsidRPr="00B13433">
        <w:rPr>
          <w:rFonts w:ascii="Calibri" w:eastAsia="Calibri" w:hAnsi="Calibri" w:cs="Times"/>
          <w:color w:val="000000"/>
          <w:sz w:val="20"/>
          <w:szCs w:val="20"/>
          <w:lang w:val="uk-UA" w:bidi="uk-UA"/>
        </w:rPr>
        <w:t xml:space="preserve">Відповідач </w:t>
      </w:r>
      <w:r w:rsidRPr="00B13433">
        <w:rPr>
          <w:rFonts w:ascii="Calibri" w:eastAsia="Calibri" w:hAnsi="Calibri" w:cs="Times"/>
          <w:b/>
          <w:color w:val="000000"/>
          <w:sz w:val="20"/>
          <w:szCs w:val="20"/>
          <w:lang w:val="uk-UA" w:bidi="uk-UA"/>
        </w:rPr>
        <w:t>може визнати позов повністю або частково.</w:t>
      </w:r>
      <w:r w:rsidRPr="00B13433">
        <w:rPr>
          <w:rFonts w:ascii="Calibri" w:eastAsia="Calibri" w:hAnsi="Calibri" w:cs="Times"/>
          <w:color w:val="000000"/>
          <w:sz w:val="20"/>
          <w:szCs w:val="20"/>
          <w:lang w:val="uk-UA" w:bidi="uk-UA"/>
        </w:rPr>
        <w:t xml:space="preserve"> Якщо відповідач визнає позов, суд може винести рішення відповідно до вимог позову. Таке рішення підлягає негайному виконанню і може бути підставою для примусового виконання до набрання ним законної сили (ст. 333 § 1 п. 2 ЦПК). Відповідач може вимагати відшкодування судових витрат від позивача, якщо той не надав підстав для порушення справи та під час першої процесуальної дії визнав позов (ст. 101 ЦПК).</w:t>
      </w:r>
    </w:p>
    <w:p w14:paraId="40FFCC75" w14:textId="77777777" w:rsidR="00B64AA3" w:rsidRPr="004257E0" w:rsidRDefault="00B64AA3" w:rsidP="0045435E">
      <w:pPr>
        <w:pStyle w:val="zartzmartartykuempunktem"/>
        <w:numPr>
          <w:ilvl w:val="0"/>
          <w:numId w:val="2"/>
        </w:numPr>
        <w:spacing w:before="120" w:beforeAutospacing="0" w:after="0" w:afterAutospacing="0"/>
        <w:ind w:left="426" w:hanging="290"/>
        <w:jc w:val="both"/>
        <w:rPr>
          <w:rFonts w:ascii="Calibri" w:hAnsi="Calibri" w:cs="Times"/>
          <w:color w:val="000000"/>
          <w:sz w:val="20"/>
          <w:szCs w:val="20"/>
          <w:lang w:val="ru-RU"/>
        </w:rPr>
      </w:pPr>
      <w:r w:rsidRPr="00806B55">
        <w:rPr>
          <w:rFonts w:ascii="Calibri" w:eastAsia="Calibri" w:hAnsi="Calibri" w:cs="Arial"/>
          <w:b/>
          <w:color w:val="000000"/>
          <w:sz w:val="20"/>
          <w:szCs w:val="20"/>
          <w:lang w:val="uk-UA" w:bidi="uk-UA"/>
        </w:rPr>
        <w:t>Якщо відповідач у визначений строк не подав відповіді на позов</w:t>
      </w:r>
      <w:r w:rsidRPr="00806B55">
        <w:rPr>
          <w:rFonts w:ascii="Calibri" w:eastAsia="Calibri" w:hAnsi="Calibri" w:cs="Arial"/>
          <w:color w:val="000000"/>
          <w:sz w:val="20"/>
          <w:szCs w:val="20"/>
          <w:lang w:val="uk-UA" w:bidi="uk-UA"/>
        </w:rPr>
        <w:t xml:space="preserve"> або подав відповідь на позов, що має недоліки, яких відповідач не усунув попри відповідну вимогу, суд може винести </w:t>
      </w:r>
      <w:r w:rsidRPr="00806B55">
        <w:rPr>
          <w:rFonts w:ascii="Calibri" w:eastAsia="Calibri" w:hAnsi="Calibri" w:cs="Arial"/>
          <w:b/>
          <w:color w:val="000000"/>
          <w:sz w:val="20"/>
          <w:szCs w:val="20"/>
          <w:lang w:val="uk-UA" w:bidi="uk-UA"/>
        </w:rPr>
        <w:t>заочне рішення.</w:t>
      </w:r>
      <w:r w:rsidRPr="0080407C">
        <w:rPr>
          <w:rFonts w:ascii="Calibri" w:eastAsia="Calibri" w:hAnsi="Calibri" w:cs="Arial"/>
          <w:color w:val="000000"/>
          <w:sz w:val="22"/>
          <w:szCs w:val="20"/>
          <w:lang w:val="uk-UA" w:bidi="uk-UA"/>
        </w:rPr>
        <w:t xml:space="preserve"> </w:t>
      </w:r>
    </w:p>
    <w:p w14:paraId="30536A43" w14:textId="77777777" w:rsidR="00B64AA3" w:rsidRPr="004257E0" w:rsidRDefault="00B64AA3" w:rsidP="0045435E">
      <w:pPr>
        <w:pStyle w:val="zartzmartartykuempunktem"/>
        <w:spacing w:before="120" w:beforeAutospacing="0" w:after="0" w:afterAutospacing="0"/>
        <w:ind w:left="425" w:firstLine="1"/>
        <w:jc w:val="both"/>
        <w:rPr>
          <w:rFonts w:ascii="Calibri" w:hAnsi="Calibri" w:cs="Times"/>
          <w:color w:val="000000"/>
          <w:sz w:val="20"/>
          <w:szCs w:val="20"/>
          <w:lang w:val="ru-RU"/>
        </w:rPr>
      </w:pPr>
      <w:r w:rsidRPr="00806B55">
        <w:rPr>
          <w:rFonts w:ascii="Calibri" w:eastAsia="Calibri" w:hAnsi="Calibri" w:cs="Arial"/>
          <w:color w:val="000000"/>
          <w:sz w:val="20"/>
          <w:szCs w:val="20"/>
          <w:lang w:val="uk-UA" w:bidi="uk-UA"/>
        </w:rPr>
        <w:t>У вищезазначених випадках твердження позивача щодо фактів, що містяться в позові або процесуальних документах, вручених відповідачу до засідання, вважаються правдивими, якщо вони не викликають обґрунтованих сумнівів або не були наведені з метою обходу закону (ст. 339 § 2 ЦПК).</w:t>
      </w:r>
    </w:p>
    <w:p w14:paraId="0B206A4E" w14:textId="77777777" w:rsidR="00C104CB" w:rsidRPr="004257E0" w:rsidRDefault="00B64AA3" w:rsidP="0045435E">
      <w:pPr>
        <w:pStyle w:val="zartzmartartykuempunktem"/>
        <w:spacing w:before="120" w:beforeAutospacing="0" w:after="0" w:afterAutospacing="0"/>
        <w:ind w:left="425" w:firstLine="1"/>
        <w:jc w:val="both"/>
        <w:rPr>
          <w:rFonts w:ascii="Calibri" w:hAnsi="Calibri" w:cs="Times"/>
          <w:color w:val="000000"/>
          <w:sz w:val="20"/>
          <w:szCs w:val="20"/>
          <w:lang w:val="ru-RU"/>
        </w:rPr>
      </w:pPr>
      <w:r w:rsidRPr="00B00786">
        <w:rPr>
          <w:rFonts w:ascii="Calibri" w:eastAsia="Calibri" w:hAnsi="Calibri" w:cs="Calibri"/>
          <w:sz w:val="20"/>
          <w:szCs w:val="20"/>
          <w:lang w:val="uk-UA" w:bidi="uk-UA"/>
        </w:rPr>
        <w:t xml:space="preserve">Заочному рішенню - у разі задоволення позову та якщо рішення підлягає виконанню - за службовим обов’язком надається </w:t>
      </w:r>
      <w:r w:rsidRPr="00B00786">
        <w:rPr>
          <w:rFonts w:ascii="Calibri" w:eastAsia="Calibri" w:hAnsi="Calibri" w:cs="Calibri"/>
          <w:b/>
          <w:sz w:val="20"/>
          <w:szCs w:val="20"/>
          <w:lang w:val="uk-UA" w:bidi="uk-UA"/>
        </w:rPr>
        <w:t>сила негайної виконавчості</w:t>
      </w:r>
      <w:r w:rsidRPr="00B00786">
        <w:rPr>
          <w:rFonts w:ascii="Calibri" w:eastAsia="Calibri" w:hAnsi="Calibri" w:cs="Calibri"/>
          <w:sz w:val="20"/>
          <w:szCs w:val="20"/>
          <w:lang w:val="uk-UA" w:bidi="uk-UA"/>
        </w:rPr>
        <w:t xml:space="preserve"> (ст. 333 § 1 п. 3 ЦПК). Після надання виконавчої сили за заявою позивача, це рішення є підставою для порушення виконавчого провадження. </w:t>
      </w:r>
    </w:p>
    <w:p w14:paraId="759ADD44" w14:textId="77777777" w:rsidR="000F529C" w:rsidRPr="004257E0" w:rsidRDefault="000F529C" w:rsidP="000F529C">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Calibri" w:hAnsi="Calibri" w:cs="Calibri"/>
          <w:sz w:val="20"/>
          <w:szCs w:val="20"/>
          <w:lang w:val="ru-RU"/>
        </w:rPr>
      </w:pPr>
      <w:r w:rsidRPr="000F529C">
        <w:rPr>
          <w:rFonts w:ascii="Calibri" w:eastAsia="Calibri" w:hAnsi="Calibri" w:cs="Calibri"/>
          <w:b/>
          <w:sz w:val="20"/>
          <w:szCs w:val="20"/>
          <w:lang w:val="uk-UA" w:bidi="uk-UA"/>
        </w:rPr>
        <w:t>Суд може розглянути справу на закритому засіданні</w:t>
      </w:r>
      <w:r w:rsidRPr="000F529C">
        <w:rPr>
          <w:rFonts w:ascii="Calibri" w:eastAsia="Calibri" w:hAnsi="Calibri" w:cs="Calibri"/>
          <w:sz w:val="20"/>
          <w:szCs w:val="20"/>
          <w:lang w:val="uk-UA" w:bidi="uk-UA"/>
        </w:rPr>
        <w:t xml:space="preserve">, якщо відповідач визнав позов або якщо після подання сторонами процесуальних документів, у тому числі після подання заперечень або оскарження </w:t>
      </w:r>
      <w:r w:rsidRPr="000F529C">
        <w:rPr>
          <w:rFonts w:ascii="Calibri" w:eastAsia="Calibri" w:hAnsi="Calibri" w:cs="Calibri"/>
          <w:sz w:val="20"/>
          <w:szCs w:val="20"/>
          <w:lang w:val="uk-UA" w:bidi="uk-UA"/>
        </w:rPr>
        <w:lastRenderedPageBreak/>
        <w:t>платіжного наказу чи заочного рішення, суд визнає – з огляду на сукупність наведених тверджень та заявлених клопотань про доказ – що проведення судового засідання не є необхідним. Розгляд справи на закритому засіданні є неприпустимим, якщо сторона у першому процесуальному документі подала клопотання про вислухання її на судовому засіданні або якщо спеціальна норма передбачає такий обов’язок. У справах, в яких відповідач визнав позов, а також у справах щодо позовів, сума предмета спору в яких не перевищує 4 000 злотих, суд може винести рішення на закритому засіданні, навіть якщо відповідач вимагає проведення судового розгляду. Якщо сторона бажає бути заслуханою на судовому засіданні, вона повинна включити відповідне клопотання до першого процесуального документа (ст. 148</w:t>
      </w:r>
      <w:r w:rsidRPr="000F529C">
        <w:rPr>
          <w:rFonts w:ascii="Calibri" w:eastAsia="Calibri" w:hAnsi="Calibri" w:cs="Calibri"/>
          <w:sz w:val="20"/>
          <w:szCs w:val="20"/>
          <w:vertAlign w:val="superscript"/>
          <w:lang w:val="uk-UA" w:bidi="uk-UA"/>
        </w:rPr>
        <w:t>1</w:t>
      </w:r>
      <w:r w:rsidRPr="000F529C">
        <w:rPr>
          <w:rFonts w:ascii="Calibri" w:eastAsia="Calibri" w:hAnsi="Calibri" w:cs="Calibri"/>
          <w:sz w:val="20"/>
          <w:szCs w:val="20"/>
          <w:lang w:val="uk-UA" w:bidi="uk-UA"/>
        </w:rPr>
        <w:t xml:space="preserve"> § 1 та 3 ЦПК, ст. 505</w:t>
      </w:r>
      <w:r w:rsidRPr="000F529C">
        <w:rPr>
          <w:rFonts w:ascii="Calibri" w:eastAsia="Calibri" w:hAnsi="Calibri" w:cs="Calibri"/>
          <w:sz w:val="20"/>
          <w:szCs w:val="20"/>
          <w:vertAlign w:val="superscript"/>
          <w:lang w:val="uk-UA" w:bidi="uk-UA"/>
        </w:rPr>
        <w:t xml:space="preserve">1а </w:t>
      </w:r>
      <w:r w:rsidRPr="000F529C">
        <w:rPr>
          <w:rFonts w:ascii="Calibri" w:eastAsia="Calibri" w:hAnsi="Calibri" w:cs="Calibri"/>
          <w:sz w:val="20"/>
          <w:szCs w:val="20"/>
          <w:lang w:val="uk-UA" w:bidi="uk-UA"/>
        </w:rPr>
        <w:t xml:space="preserve">ЦПК).  </w:t>
      </w:r>
    </w:p>
    <w:p w14:paraId="51277CFA" w14:textId="77777777" w:rsidR="002B753E" w:rsidRPr="004257E0" w:rsidRDefault="002B753E" w:rsidP="00106297">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Calibri" w:hAnsi="Calibri" w:cs="Calibri"/>
          <w:sz w:val="20"/>
          <w:szCs w:val="20"/>
          <w:lang w:val="ru-RU"/>
        </w:rPr>
      </w:pPr>
      <w:r w:rsidRPr="00552AC0">
        <w:rPr>
          <w:rFonts w:ascii="Calibri" w:eastAsia="Calibri" w:hAnsi="Calibri" w:cs="Calibri"/>
          <w:b/>
          <w:sz w:val="20"/>
          <w:szCs w:val="20"/>
          <w:lang w:val="uk-UA" w:bidi="uk-UA"/>
        </w:rPr>
        <w:t>Подання процесуального документа</w:t>
      </w:r>
      <w:r w:rsidRPr="00552AC0">
        <w:rPr>
          <w:rFonts w:ascii="Calibri" w:eastAsia="Calibri" w:hAnsi="Calibri" w:cs="Calibri"/>
          <w:sz w:val="20"/>
          <w:szCs w:val="20"/>
          <w:lang w:val="uk-UA" w:bidi="uk-UA"/>
        </w:rPr>
        <w:t xml:space="preserve"> у польському відділенні оператора, що надає універсальні поштові послуги на території Польщі, або в закордонному поштовому відділенні оператора, що надає універсальні поштові послуги на території іншої держави-члена Європейського Союзу, </w:t>
      </w:r>
      <w:r w:rsidRPr="00552AC0">
        <w:rPr>
          <w:rFonts w:ascii="Calibri" w:eastAsia="Calibri" w:hAnsi="Calibri" w:cs="Calibri"/>
          <w:b/>
          <w:sz w:val="20"/>
          <w:szCs w:val="20"/>
          <w:lang w:val="uk-UA" w:bidi="uk-UA"/>
        </w:rPr>
        <w:t>є рівнозначним його поданню до суду.</w:t>
      </w:r>
      <w:r w:rsidRPr="00552AC0">
        <w:rPr>
          <w:rFonts w:ascii="Calibri" w:eastAsia="Calibri" w:hAnsi="Calibri" w:cs="Calibri"/>
          <w:sz w:val="20"/>
          <w:szCs w:val="20"/>
          <w:lang w:val="uk-UA" w:bidi="uk-UA"/>
        </w:rPr>
        <w:t xml:space="preserve"> Те саме стосується подання процесуального документа військовослужбовцем до командування військової частини або особою, позбавленою волі, до адміністрації виправної установи, а також членом екіпажу польського морського судна капітану судна (ст. 165 § 2-3 ЦПК).</w:t>
      </w:r>
    </w:p>
    <w:p w14:paraId="72F265A6" w14:textId="77777777" w:rsidR="00C84D44" w:rsidRPr="004257E0" w:rsidRDefault="00C84D44" w:rsidP="00106297">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Calibri" w:hAnsi="Calibri" w:cs="Calibri"/>
          <w:b/>
          <w:bCs/>
          <w:sz w:val="20"/>
          <w:szCs w:val="20"/>
          <w:lang w:val="ru-RU"/>
        </w:rPr>
      </w:pPr>
      <w:r w:rsidRPr="00C84D44">
        <w:rPr>
          <w:rFonts w:ascii="Calibri" w:eastAsia="Calibri" w:hAnsi="Calibri" w:cs="Calibri"/>
          <w:b/>
          <w:sz w:val="20"/>
          <w:szCs w:val="20"/>
          <w:lang w:val="uk-UA" w:bidi="uk-UA"/>
        </w:rPr>
        <w:t>Відлік строку, визначеного судом</w:t>
      </w:r>
      <w:r w:rsidRPr="00C84D44">
        <w:rPr>
          <w:rFonts w:ascii="Calibri" w:eastAsia="Calibri" w:hAnsi="Calibri" w:cs="Calibri"/>
          <w:sz w:val="20"/>
          <w:szCs w:val="20"/>
          <w:lang w:val="uk-UA" w:bidi="uk-UA"/>
        </w:rPr>
        <w:t xml:space="preserve"> або головою суду (судовий строк), починається з оголошення у цій справі ухвали або розпорядження, </w:t>
      </w:r>
      <w:r w:rsidRPr="00C84D44">
        <w:rPr>
          <w:rFonts w:ascii="Calibri" w:eastAsia="Calibri" w:hAnsi="Calibri" w:cs="Calibri"/>
          <w:b/>
          <w:sz w:val="20"/>
          <w:szCs w:val="20"/>
          <w:lang w:val="uk-UA" w:bidi="uk-UA"/>
        </w:rPr>
        <w:t>а коли кодекс передбачає вручення за службовим обов’язком – з моменту його вручення</w:t>
      </w:r>
      <w:r w:rsidRPr="00C84D44">
        <w:rPr>
          <w:rFonts w:ascii="Calibri" w:eastAsia="Calibri" w:hAnsi="Calibri" w:cs="Calibri"/>
          <w:sz w:val="20"/>
          <w:szCs w:val="20"/>
          <w:lang w:val="uk-UA" w:bidi="uk-UA"/>
        </w:rPr>
        <w:t xml:space="preserve"> (ст. 164 ЦПК).</w:t>
      </w:r>
    </w:p>
    <w:p w14:paraId="5832818C" w14:textId="77777777" w:rsidR="000275C8" w:rsidRPr="004257E0" w:rsidRDefault="00106297" w:rsidP="000275C8">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hanging="290"/>
        <w:jc w:val="both"/>
        <w:rPr>
          <w:rFonts w:ascii="Calibri" w:hAnsi="Calibri" w:cs="Calibri"/>
          <w:sz w:val="20"/>
          <w:szCs w:val="20"/>
          <w:lang w:val="ru-RU"/>
        </w:rPr>
      </w:pPr>
      <w:r w:rsidRPr="00106297">
        <w:rPr>
          <w:rFonts w:ascii="Calibri" w:eastAsia="Calibri" w:hAnsi="Calibri" w:cs="Calibri"/>
          <w:sz w:val="20"/>
          <w:szCs w:val="20"/>
          <w:lang w:val="uk-UA" w:bidi="uk-UA"/>
        </w:rPr>
        <w:t xml:space="preserve">Спір між позивачем та відповідачем може бути </w:t>
      </w:r>
      <w:r w:rsidRPr="00106297">
        <w:rPr>
          <w:rFonts w:ascii="Calibri" w:eastAsia="Calibri" w:hAnsi="Calibri" w:cs="Calibri"/>
          <w:b/>
          <w:sz w:val="20"/>
          <w:szCs w:val="20"/>
          <w:lang w:val="uk-UA" w:bidi="uk-UA"/>
        </w:rPr>
        <w:t>вирішений шляхом укладення мирової угоди</w:t>
      </w:r>
      <w:r w:rsidRPr="00106297">
        <w:rPr>
          <w:rFonts w:ascii="Calibri" w:eastAsia="Calibri" w:hAnsi="Calibri" w:cs="Calibri"/>
          <w:sz w:val="20"/>
          <w:szCs w:val="20"/>
          <w:lang w:val="uk-UA" w:bidi="uk-UA"/>
        </w:rPr>
        <w:t>. Мирову угоду можна</w:t>
      </w:r>
      <w:r w:rsidRPr="00106297">
        <w:rPr>
          <w:rFonts w:ascii="Calibri" w:eastAsia="Calibri" w:hAnsi="Calibri" w:cs="Calibri"/>
          <w:b/>
          <w:sz w:val="20"/>
          <w:szCs w:val="20"/>
          <w:lang w:val="uk-UA" w:bidi="uk-UA"/>
        </w:rPr>
        <w:t xml:space="preserve"> укласти перед медіатором або в суді</w:t>
      </w:r>
      <w:r w:rsidRPr="00106297">
        <w:rPr>
          <w:rFonts w:ascii="Calibri" w:eastAsia="Calibri" w:hAnsi="Calibri" w:cs="Calibri"/>
          <w:sz w:val="20"/>
          <w:szCs w:val="20"/>
          <w:lang w:val="uk-UA" w:bidi="uk-UA"/>
        </w:rPr>
        <w:t xml:space="preserve"> (ст. 205</w:t>
      </w:r>
      <w:r w:rsidRPr="00106297">
        <w:rPr>
          <w:rFonts w:ascii="Calibri" w:eastAsia="Calibri" w:hAnsi="Calibri" w:cs="Calibri"/>
          <w:sz w:val="20"/>
          <w:szCs w:val="20"/>
          <w:vertAlign w:val="superscript"/>
          <w:lang w:val="uk-UA" w:bidi="uk-UA"/>
        </w:rPr>
        <w:t>2</w:t>
      </w:r>
      <w:r w:rsidRPr="00106297">
        <w:rPr>
          <w:rFonts w:ascii="Calibri" w:eastAsia="Calibri" w:hAnsi="Calibri" w:cs="Calibri"/>
          <w:sz w:val="20"/>
          <w:szCs w:val="20"/>
          <w:lang w:val="uk-UA" w:bidi="uk-UA"/>
        </w:rPr>
        <w:t xml:space="preserve"> § 1 п. 1 ЦПК). Мирова угода є одним зі способів швидкого вирішення спору; суд на кожному етапі провадження прагне до мирового вирішення спору, зокрема шляхом заохочення сторін до медіації (ст. 10 ЦПК). У ході розгляду справи суд може направити сторони на медіацію. Медіація є одним зі способів мирного врегулювання спору, при цьому вона проводиться за участю нейтрального медіатора, є конфіденційною та добровільною. Крім того, це дешевший засіб вирішення спорів, ніж судовий розгляд.</w:t>
      </w:r>
    </w:p>
    <w:p w14:paraId="24A0B599" w14:textId="77777777" w:rsidR="003D571B" w:rsidRPr="004257E0" w:rsidRDefault="00106297" w:rsidP="00856B4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Calibri" w:hAnsi="Calibri" w:cs="Calibri"/>
          <w:sz w:val="20"/>
          <w:szCs w:val="20"/>
          <w:lang w:val="ru-RU"/>
        </w:rPr>
      </w:pPr>
      <w:r w:rsidRPr="000275C8">
        <w:rPr>
          <w:rFonts w:ascii="Calibri" w:eastAsia="Calibri" w:hAnsi="Calibri" w:cs="Calibri"/>
          <w:sz w:val="20"/>
          <w:szCs w:val="20"/>
          <w:lang w:val="uk-UA" w:bidi="uk-UA"/>
        </w:rPr>
        <w:t>Медіацію проводить медіатор, використовуючи різні методи, спрямовані на мирне вирішення спору, у тому числі шляхом надання сторонам підтримки у формулюванні ними пропозицій щодо угоди, або за спільним клопотанням сторін може вказати способи вирішення спору, які не є для сторін обов’язковими (ст.</w:t>
      </w:r>
      <w:r w:rsidR="00021C63" w:rsidRPr="00021C63">
        <w:rPr>
          <w:lang w:val="uk-UA" w:bidi="uk-UA"/>
        </w:rPr>
        <w:t xml:space="preserve"> </w:t>
      </w:r>
      <w:r w:rsidR="00021C63" w:rsidRPr="00021C63">
        <w:rPr>
          <w:rFonts w:ascii="Calibri" w:eastAsia="Calibri" w:hAnsi="Calibri" w:cs="Calibri"/>
          <w:sz w:val="20"/>
          <w:szCs w:val="20"/>
          <w:lang w:val="uk-UA" w:bidi="uk-UA"/>
        </w:rPr>
        <w:t>183</w:t>
      </w:r>
      <w:r w:rsidR="00021C63" w:rsidRPr="00021C63">
        <w:rPr>
          <w:rFonts w:ascii="Calibri" w:eastAsia="Calibri" w:hAnsi="Calibri" w:cs="Calibri"/>
          <w:sz w:val="20"/>
          <w:szCs w:val="20"/>
          <w:vertAlign w:val="superscript"/>
          <w:lang w:val="uk-UA" w:bidi="uk-UA"/>
        </w:rPr>
        <w:t>3a</w:t>
      </w:r>
      <w:r w:rsidR="00021C63">
        <w:rPr>
          <w:rFonts w:ascii="Calibri" w:eastAsia="Calibri" w:hAnsi="Calibri" w:cs="Calibri"/>
          <w:sz w:val="20"/>
          <w:szCs w:val="20"/>
          <w:lang w:val="uk-UA" w:bidi="uk-UA"/>
        </w:rPr>
        <w:t xml:space="preserve"> ЦПК). Медіатор, сторони та інші особи, які беруть участь у медіаційному провадженні, зобов’язані зберігати в таємниці факти, про які вони дізналися у зв’язку з проведенням медіації. Сторони можуть звільнити медіатора та інших осіб, які беруть участь у медіаційному провадженні, від цього обов’язку.</w:t>
      </w:r>
      <w:r w:rsidR="00021C63" w:rsidRPr="00021C63">
        <w:rPr>
          <w:lang w:val="uk-UA" w:bidi="uk-UA"/>
        </w:rPr>
        <w:t xml:space="preserve"> </w:t>
      </w:r>
      <w:r w:rsidR="00021C63" w:rsidRPr="00021C63">
        <w:rPr>
          <w:rFonts w:ascii="Calibri" w:eastAsia="Calibri" w:hAnsi="Calibri" w:cs="Calibri"/>
          <w:sz w:val="20"/>
          <w:szCs w:val="20"/>
          <w:lang w:val="uk-UA" w:bidi="uk-UA"/>
        </w:rPr>
        <w:t>(ст. 183</w:t>
      </w:r>
      <w:r w:rsidR="00021C63" w:rsidRPr="00021C63">
        <w:rPr>
          <w:rFonts w:ascii="Calibri" w:eastAsia="Calibri" w:hAnsi="Calibri" w:cs="Calibri"/>
          <w:sz w:val="20"/>
          <w:szCs w:val="20"/>
          <w:vertAlign w:val="superscript"/>
          <w:lang w:val="uk-UA" w:bidi="uk-UA"/>
        </w:rPr>
        <w:t>4</w:t>
      </w:r>
      <w:r w:rsidR="00021C63" w:rsidRPr="00021C63">
        <w:rPr>
          <w:rFonts w:ascii="Calibri" w:eastAsia="Calibri" w:hAnsi="Calibri" w:cs="Calibri"/>
          <w:sz w:val="20"/>
          <w:szCs w:val="20"/>
          <w:lang w:val="uk-UA" w:bidi="uk-UA"/>
        </w:rPr>
        <w:t xml:space="preserve"> ЦПК). Мирова угода, укладена перед медіатором, після її затвердження судом має юридичну силу угоди, укладеної в суді. </w:t>
      </w:r>
      <w:r w:rsidRPr="000275C8">
        <w:rPr>
          <w:rFonts w:ascii="Calibri" w:eastAsia="Calibri" w:hAnsi="Calibri" w:cs="Calibri"/>
          <w:b/>
          <w:sz w:val="20"/>
          <w:szCs w:val="20"/>
          <w:lang w:val="uk-UA" w:bidi="uk-UA"/>
        </w:rPr>
        <w:t>Мирова угода, укладена за участю медіатора та затверджена шляхом надання їй виконавчої сили, є виконавчим документом</w:t>
      </w:r>
      <w:r w:rsidRPr="000275C8">
        <w:rPr>
          <w:rFonts w:ascii="Calibri" w:eastAsia="Calibri" w:hAnsi="Calibri" w:cs="Calibri"/>
          <w:sz w:val="20"/>
          <w:szCs w:val="20"/>
          <w:lang w:val="uk-UA" w:bidi="uk-UA"/>
        </w:rPr>
        <w:t xml:space="preserve">. У разі укладення судової угоди судові витрати, пов’язані з її укладенням, скасовуються взаємно, якщо сторони не домовилися про інше (ст. 104 ЦПК). У разі укладення угоди після початку судового розгляду суд повертає позивачеві половину судового збору ст. 79 ч. 1 п.  3 літ. c Закону від 28 липня 2005 р. про судові витрати у цивільних справах («Закон. Вісник».2025.1228, єд. текст – далі ЗСЦС, Закон «Про судові витрати у цивільних справах»). У разі укладення мирової угоди, в тому числі перед медіатором, до початку судового розгляду в суді першої інстанції суд повертає позивачеві всю суму судового збору (ст. 79 ч. 1 п. 1 літ. h ЗСЦС), а у разі укладення угоди перед медіатором після початку розгляду справи суд повертає три чверті судового збору, сплаченого за позовну заяву або за заперечення проти платіжного наказу (ст. 79 ч. 1 п. 2 літ. а ЗСЦС). </w:t>
      </w:r>
    </w:p>
    <w:p w14:paraId="44636AF9" w14:textId="77777777" w:rsidR="00DC55A1" w:rsidRPr="004257E0" w:rsidRDefault="000275C8" w:rsidP="00856B4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5"/>
        <w:jc w:val="both"/>
        <w:rPr>
          <w:rFonts w:ascii="Calibri" w:hAnsi="Calibri" w:cs="Calibri"/>
          <w:sz w:val="20"/>
          <w:szCs w:val="20"/>
          <w:lang w:val="ru-RU"/>
        </w:rPr>
      </w:pPr>
      <w:r w:rsidRPr="000275C8">
        <w:rPr>
          <w:rFonts w:ascii="Calibri" w:eastAsia="Calibri" w:hAnsi="Calibri" w:cs="Calibri"/>
          <w:sz w:val="20"/>
          <w:szCs w:val="20"/>
          <w:lang w:val="uk-UA" w:bidi="uk-UA"/>
        </w:rPr>
        <w:t>Якщо сторони уклали угоду в суді або була затверджена угода, укладена перед медіатором - суд припиняє провадження (ст. 355 ЦПК).</w:t>
      </w:r>
    </w:p>
    <w:p w14:paraId="350BBBBB" w14:textId="77777777" w:rsidR="00DC55A1" w:rsidRPr="004257E0" w:rsidRDefault="00DC55A1" w:rsidP="00DC55A1">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Calibri" w:hAnsi="Calibri" w:cs="Calibri"/>
          <w:sz w:val="20"/>
          <w:szCs w:val="20"/>
          <w:lang w:val="ru-RU"/>
        </w:rPr>
      </w:pPr>
      <w:r w:rsidRPr="00DC55A1">
        <w:rPr>
          <w:rFonts w:ascii="Calibri" w:eastAsia="Calibri" w:hAnsi="Calibri" w:cs="Calibri"/>
          <w:sz w:val="20"/>
          <w:szCs w:val="20"/>
          <w:lang w:val="uk-UA" w:bidi="uk-UA"/>
        </w:rPr>
        <w:t xml:space="preserve">На будь-якому етапі провадження </w:t>
      </w:r>
      <w:r w:rsidRPr="00DC55A1">
        <w:rPr>
          <w:rFonts w:ascii="Calibri" w:eastAsia="Calibri" w:hAnsi="Calibri" w:cs="Calibri"/>
          <w:b/>
          <w:sz w:val="20"/>
          <w:szCs w:val="20"/>
          <w:lang w:val="uk-UA" w:bidi="uk-UA"/>
        </w:rPr>
        <w:t xml:space="preserve">сторона може призначити процесуального повноважного представника. </w:t>
      </w:r>
      <w:r w:rsidRPr="00DC55A1">
        <w:rPr>
          <w:rFonts w:ascii="Calibri" w:eastAsia="Calibri" w:hAnsi="Calibri" w:cs="Calibri"/>
          <w:sz w:val="20"/>
          <w:szCs w:val="20"/>
          <w:lang w:val="uk-UA" w:bidi="uk-UA"/>
        </w:rPr>
        <w:t>Призначення процесуального повноважного представника в особі адвоката, юрисконсульта або патентного повіреного не є обов’язковим (ст. 205</w:t>
      </w:r>
      <w:r w:rsidRPr="00DC55A1">
        <w:rPr>
          <w:rFonts w:ascii="Calibri" w:eastAsia="Calibri" w:hAnsi="Calibri" w:cs="Calibri"/>
          <w:sz w:val="20"/>
          <w:szCs w:val="20"/>
          <w:vertAlign w:val="superscript"/>
          <w:lang w:val="uk-UA" w:bidi="uk-UA"/>
        </w:rPr>
        <w:t>2</w:t>
      </w:r>
      <w:r w:rsidRPr="00DC55A1">
        <w:rPr>
          <w:rFonts w:ascii="Calibri" w:eastAsia="Calibri" w:hAnsi="Calibri" w:cs="Calibri"/>
          <w:sz w:val="20"/>
          <w:szCs w:val="20"/>
          <w:lang w:val="uk-UA" w:bidi="uk-UA"/>
        </w:rPr>
        <w:t xml:space="preserve"> § 1 п. 2 ЦПК). Процесуальна довіреність може бути загальною, для ведення окремих справ або для певних процесуальних дій.</w:t>
      </w:r>
    </w:p>
    <w:p w14:paraId="1E2DD6A4" w14:textId="77777777" w:rsidR="00613662" w:rsidRPr="004257E0" w:rsidRDefault="00DC55A1" w:rsidP="0061366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cs="Calibri"/>
          <w:sz w:val="20"/>
          <w:szCs w:val="20"/>
          <w:lang w:val="ru-RU"/>
        </w:rPr>
      </w:pPr>
      <w:r w:rsidRPr="00DC55A1">
        <w:rPr>
          <w:rFonts w:ascii="Calibri" w:eastAsia="Calibri" w:hAnsi="Calibri" w:cs="Calibri"/>
          <w:sz w:val="20"/>
          <w:szCs w:val="20"/>
          <w:lang w:val="uk-UA" w:bidi="uk-UA"/>
        </w:rPr>
        <w:t xml:space="preserve">Процесуальним повноважним представником може бути адвокат або юрисконсульт, а у справах про </w:t>
      </w:r>
      <w:r w:rsidRPr="00DC55A1">
        <w:rPr>
          <w:rFonts w:ascii="Calibri" w:eastAsia="Calibri" w:hAnsi="Calibri" w:cs="Calibri"/>
          <w:sz w:val="20"/>
          <w:szCs w:val="20"/>
          <w:lang w:val="uk-UA" w:bidi="uk-UA"/>
        </w:rPr>
        <w:lastRenderedPageBreak/>
        <w:t>промислову власність також патентний повірений, а також особа, яка здійснює управління майном або інтересами сторони, та особа, яка перебуває зі стороною у постійних довірчих відносинах, якщо предмет справи входить до сфери цих довірчих відносин, співучасник спору, а також батьки, чоловік або дружина, брати та сестри або нащадки сторони, а також особи, які перебувають зі стороною у відносинах усиновлення (ст. 87 § 1 ЦПК).</w:t>
      </w:r>
    </w:p>
    <w:p w14:paraId="5F902605" w14:textId="77777777" w:rsidR="00DC55A1" w:rsidRPr="004257E0" w:rsidRDefault="00DC55A1" w:rsidP="0061366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cs="Calibri"/>
          <w:sz w:val="20"/>
          <w:szCs w:val="20"/>
          <w:lang w:val="uk-UA"/>
        </w:rPr>
      </w:pPr>
      <w:r w:rsidRPr="00DC55A1">
        <w:rPr>
          <w:rFonts w:ascii="Calibri" w:eastAsia="Calibri" w:hAnsi="Calibri" w:cs="Calibri"/>
          <w:sz w:val="20"/>
          <w:szCs w:val="20"/>
          <w:lang w:val="uk-UA" w:bidi="uk-UA"/>
        </w:rPr>
        <w:t>Повноважним представником юридичної особи або підприємця, у тому числі без статусу юридичної особи, може бути також працівник цієї організаційної одиниці або її вищого органу. Юридична особа, яка на підставі окремих положень здійснює юридичне обслуговування підприємця, юридичної особи або іншої організаційної одиниці, може надати процесуальну довіреність - від імені суб’єкта, юридичне обслуговування якого вона здійснює, - адвокату або юрисконсульту, якщо вона була до цього уповноважена цим суб’єктом (ст. 87 § 2 ЦПК).</w:t>
      </w:r>
    </w:p>
    <w:p w14:paraId="380F82DB" w14:textId="77777777" w:rsidR="00C84D44" w:rsidRPr="004257E0" w:rsidRDefault="00DC55A1" w:rsidP="00C84D4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cs="Calibri"/>
          <w:sz w:val="20"/>
          <w:szCs w:val="20"/>
          <w:lang w:val="ru-RU"/>
        </w:rPr>
      </w:pPr>
      <w:r w:rsidRPr="00F02506">
        <w:rPr>
          <w:rFonts w:ascii="Calibri" w:eastAsia="Calibri" w:hAnsi="Calibri" w:cs="Calibri"/>
          <w:b/>
          <w:sz w:val="20"/>
          <w:szCs w:val="20"/>
          <w:lang w:val="uk-UA" w:bidi="uk-UA"/>
        </w:rPr>
        <w:t>Довіреність</w:t>
      </w:r>
      <w:r w:rsidRPr="00F02506">
        <w:rPr>
          <w:rFonts w:ascii="Calibri" w:eastAsia="Calibri" w:hAnsi="Calibri" w:cs="Calibri"/>
          <w:sz w:val="20"/>
          <w:szCs w:val="20"/>
          <w:lang w:val="uk-UA" w:bidi="uk-UA"/>
        </w:rPr>
        <w:t>, що передбачає виключно повноваження на отримання судових документів (</w:t>
      </w:r>
      <w:r w:rsidRPr="00F02506">
        <w:rPr>
          <w:rFonts w:ascii="Calibri" w:eastAsia="Calibri" w:hAnsi="Calibri" w:cs="Calibri"/>
          <w:b/>
          <w:sz w:val="20"/>
          <w:szCs w:val="20"/>
          <w:lang w:val="uk-UA" w:bidi="uk-UA"/>
        </w:rPr>
        <w:t>повноважний представник для отримання документів</w:t>
      </w:r>
      <w:r w:rsidRPr="00F02506">
        <w:rPr>
          <w:rFonts w:ascii="Calibri" w:eastAsia="Calibri" w:hAnsi="Calibri" w:cs="Calibri"/>
          <w:sz w:val="20"/>
          <w:szCs w:val="20"/>
          <w:lang w:val="uk-UA" w:bidi="uk-UA"/>
        </w:rPr>
        <w:t>), може бути надана будь-якій фізичній особі, яка має повну процесуальну дієздатність.</w:t>
      </w:r>
    </w:p>
    <w:p w14:paraId="461BDAC2" w14:textId="77777777" w:rsidR="00A6183F" w:rsidRPr="004257E0" w:rsidRDefault="00DC55A1" w:rsidP="00C84D4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cs="Calibri"/>
          <w:sz w:val="20"/>
          <w:szCs w:val="20"/>
          <w:lang w:val="ru-RU"/>
        </w:rPr>
      </w:pPr>
      <w:r w:rsidRPr="00DC55A1">
        <w:rPr>
          <w:rFonts w:ascii="Calibri" w:eastAsia="Calibri" w:hAnsi="Calibri" w:cs="Calibri"/>
          <w:sz w:val="20"/>
          <w:szCs w:val="20"/>
          <w:lang w:val="uk-UA" w:bidi="uk-UA"/>
        </w:rPr>
        <w:t>Повноважний представник зобов'язаний під час своєї першої процесуальної дії подати письмову довіреність з підписом довірителя або завірену копію довіреності, а також інші документи, що підтверджують його повноваження - усі ці документи разом із копією для протилежної сторони (ст. 89 § 1 ЦПК).</w:t>
      </w:r>
    </w:p>
    <w:p w14:paraId="35A41E17" w14:textId="74C326BB" w:rsidR="005763AB" w:rsidRPr="004257E0" w:rsidRDefault="00A17812" w:rsidP="005763AB">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hanging="284"/>
        <w:jc w:val="both"/>
        <w:rPr>
          <w:rFonts w:ascii="Calibri" w:hAnsi="Calibri" w:cs="Calibri"/>
          <w:sz w:val="20"/>
          <w:szCs w:val="20"/>
          <w:lang w:val="uk-UA"/>
        </w:rPr>
      </w:pPr>
      <w:r w:rsidRPr="00823683">
        <w:rPr>
          <w:rFonts w:ascii="Calibri" w:eastAsia="Calibri" w:hAnsi="Calibri" w:cs="Calibri"/>
          <w:b/>
          <w:sz w:val="20"/>
          <w:szCs w:val="20"/>
          <w:lang w:val="uk-UA" w:bidi="uk-UA"/>
        </w:rPr>
        <w:t>Звільнення від судових витрат</w:t>
      </w:r>
      <w:r w:rsidRPr="00823683">
        <w:rPr>
          <w:rFonts w:ascii="Calibri" w:eastAsia="Calibri" w:hAnsi="Calibri" w:cs="Calibri"/>
          <w:sz w:val="20"/>
          <w:szCs w:val="20"/>
          <w:lang w:val="uk-UA" w:bidi="uk-UA"/>
        </w:rPr>
        <w:t xml:space="preserve"> може вимагати </w:t>
      </w:r>
      <w:r w:rsidRPr="00823683">
        <w:rPr>
          <w:rFonts w:ascii="Calibri" w:eastAsia="Calibri" w:hAnsi="Calibri" w:cs="Calibri"/>
          <w:b/>
          <w:sz w:val="20"/>
          <w:szCs w:val="20"/>
          <w:lang w:val="uk-UA" w:bidi="uk-UA"/>
        </w:rPr>
        <w:t>фізична особа</w:t>
      </w:r>
      <w:r w:rsidRPr="00823683">
        <w:rPr>
          <w:rFonts w:ascii="Calibri" w:eastAsia="Calibri" w:hAnsi="Calibri" w:cs="Calibri"/>
          <w:sz w:val="20"/>
          <w:szCs w:val="20"/>
          <w:lang w:val="uk-UA" w:bidi="uk-UA"/>
        </w:rPr>
        <w:t xml:space="preserve">, якщо вона подасть заяву, з якої випливає, що вона не в змозі їх понести без шкоди для утримання, необхідного для себе та своєї сім’ї, або їх </w:t>
      </w:r>
      <w:r w:rsidR="004257E0">
        <w:rPr>
          <w:rFonts w:ascii="Calibri" w:eastAsia="Calibri" w:hAnsi="Calibri" w:cs="Calibri"/>
          <w:sz w:val="20"/>
          <w:szCs w:val="20"/>
          <w:lang w:val="uk-UA" w:bidi="uk-UA"/>
        </w:rPr>
        <w:t>сплата</w:t>
      </w:r>
      <w:r w:rsidRPr="00823683">
        <w:rPr>
          <w:rFonts w:ascii="Calibri" w:eastAsia="Calibri" w:hAnsi="Calibri" w:cs="Calibri"/>
          <w:sz w:val="20"/>
          <w:szCs w:val="20"/>
          <w:lang w:val="uk-UA" w:bidi="uk-UA"/>
        </w:rPr>
        <w:t xml:space="preserve"> наражає її на таку шкоду (ст. 102 ч. 1 ЗСЦС). До заяви про звільнення від судових витрат слід додати заяву, що містить детальні дані про сімейний стан, майно, доходи та джерела утримання особи, яка звертається за звільненням від витрат (ст. 102 ч. 2 ЗСЦС). </w:t>
      </w:r>
      <w:r w:rsidRPr="00823683">
        <w:rPr>
          <w:rFonts w:ascii="Calibri" w:eastAsia="Calibri" w:hAnsi="Calibri" w:cs="Calibri"/>
          <w:b/>
          <w:sz w:val="20"/>
          <w:szCs w:val="20"/>
          <w:lang w:val="uk-UA" w:bidi="uk-UA"/>
        </w:rPr>
        <w:t>Заява складається за встановленим зразком.</w:t>
      </w:r>
      <w:r w:rsidRPr="00823683">
        <w:rPr>
          <w:rFonts w:ascii="Calibri" w:eastAsia="Calibri" w:hAnsi="Calibri" w:cs="Calibri"/>
          <w:sz w:val="20"/>
          <w:szCs w:val="20"/>
          <w:lang w:val="uk-UA" w:bidi="uk-UA"/>
        </w:rPr>
        <w:t xml:space="preserve"> Бланк доступний на вебсайті Міністерства юстиції або в приміщенні суду. Неподання зазначеного бланка разом із заявою про звільнення від судових витрат є формальним недоліком цієї заяви. Суд може надати звільнення від судових витрат </w:t>
      </w:r>
      <w:r w:rsidRPr="00823683">
        <w:rPr>
          <w:rFonts w:ascii="Calibri" w:eastAsia="Calibri" w:hAnsi="Calibri" w:cs="Calibri"/>
          <w:b/>
          <w:sz w:val="20"/>
          <w:szCs w:val="20"/>
          <w:lang w:val="uk-UA" w:bidi="uk-UA"/>
        </w:rPr>
        <w:t>юридичній особі або організаційній одиниці, яка не є юридичною особою</w:t>
      </w:r>
      <w:r w:rsidRPr="00823683">
        <w:rPr>
          <w:rFonts w:ascii="Calibri" w:eastAsia="Calibri" w:hAnsi="Calibri" w:cs="Calibri"/>
          <w:sz w:val="20"/>
          <w:szCs w:val="20"/>
          <w:lang w:val="uk-UA" w:bidi="uk-UA"/>
        </w:rPr>
        <w:t>, якій закон надає правоздатність, якщо вона довела, що не має достатніх коштів для їх сплати (ст. 103 ч. 1 ЗСЦС).</w:t>
      </w:r>
    </w:p>
    <w:p w14:paraId="74233B7C" w14:textId="77777777" w:rsidR="00A17812" w:rsidRPr="004257E0" w:rsidRDefault="00A17812" w:rsidP="005763AB">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Calibri" w:hAnsi="Calibri" w:cs="Calibri"/>
          <w:sz w:val="20"/>
          <w:szCs w:val="20"/>
          <w:lang w:val="ru-RU"/>
        </w:rPr>
      </w:pPr>
      <w:r w:rsidRPr="00823683">
        <w:rPr>
          <w:rFonts w:ascii="Calibri" w:eastAsia="Calibri" w:hAnsi="Calibri" w:cs="Calibri"/>
          <w:sz w:val="20"/>
          <w:szCs w:val="20"/>
          <w:lang w:val="uk-UA" w:bidi="uk-UA"/>
        </w:rPr>
        <w:t>Сторона, звільнена судом від судових витрат повністю або частково, може вимагати</w:t>
      </w:r>
      <w:r w:rsidRPr="00823683">
        <w:rPr>
          <w:rFonts w:ascii="Calibri" w:eastAsia="Calibri" w:hAnsi="Calibri" w:cs="Calibri"/>
          <w:b/>
          <w:sz w:val="20"/>
          <w:szCs w:val="20"/>
          <w:lang w:val="uk-UA" w:bidi="uk-UA"/>
        </w:rPr>
        <w:t xml:space="preserve"> призначення адвоката або юрисконсульта.</w:t>
      </w:r>
      <w:r w:rsidRPr="00823683">
        <w:rPr>
          <w:rFonts w:ascii="Calibri" w:eastAsia="Calibri" w:hAnsi="Calibri" w:cs="Calibri"/>
          <w:sz w:val="20"/>
          <w:szCs w:val="20"/>
          <w:lang w:val="uk-UA" w:bidi="uk-UA"/>
        </w:rPr>
        <w:t xml:space="preserve"> Фізична особа, яка не була звільнена судом від судових витрат, може вимагати призначення адвоката або юрисконсульта, якщо подасть заяву, з якої випливає, що вона не в змозі покрити витрати на винагороду адвоката або юрисконсульта без шкоди для утримання, необхідного для себе та своєї сім’ї (бланк доступний на вебсайті Міністерства юстиції або в приміщенні суду). Юридична особа або інша організаційна одиниця, якій закон надає судову дієздатність, яка не була звільнена судом від судових витрат, може вимагати призначення адвоката або юрисконсульта, якщо доведе, що не має достатніх коштів для покриття витрат на винагороду адвоката або юрисконсульта. Заяву про призначення адвоката або юрисконсульта сторона подає разом із заявою про звільнення від судових витрат або окремо, у письмовій формі або усно до протоколу, у суді, в якому справа має бути порушена або вже розглядається. </w:t>
      </w:r>
      <w:r w:rsidRPr="00823683">
        <w:rPr>
          <w:rFonts w:ascii="Calibri" w:eastAsia="Calibri" w:hAnsi="Calibri" w:cs="Calibri"/>
          <w:b/>
          <w:sz w:val="20"/>
          <w:szCs w:val="20"/>
          <w:lang w:val="uk-UA" w:bidi="uk-UA"/>
        </w:rPr>
        <w:t>Суд задовольнить клопотання лише в тому випадку, якщо визнає за необхідне залучення адвоката або юрисконсульта до справи</w:t>
      </w:r>
      <w:r w:rsidRPr="00823683">
        <w:rPr>
          <w:rFonts w:ascii="Calibri" w:eastAsia="Calibri" w:hAnsi="Calibri" w:cs="Calibri"/>
          <w:sz w:val="20"/>
          <w:szCs w:val="20"/>
          <w:lang w:val="uk-UA" w:bidi="uk-UA"/>
        </w:rPr>
        <w:t xml:space="preserve"> (ст. 117 ЦПК).</w:t>
      </w:r>
    </w:p>
    <w:p w14:paraId="06ADE9CE" w14:textId="77777777" w:rsidR="00C343BC" w:rsidRPr="00D605D4" w:rsidRDefault="00C343BC">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hanging="284"/>
        <w:jc w:val="both"/>
        <w:rPr>
          <w:rFonts w:ascii="Calibri" w:hAnsi="Calibri" w:cs="Calibri"/>
          <w:sz w:val="20"/>
          <w:szCs w:val="20"/>
        </w:rPr>
      </w:pPr>
      <w:r w:rsidRPr="00D605D4">
        <w:rPr>
          <w:rFonts w:ascii="Calibri" w:eastAsia="Calibri" w:hAnsi="Calibri" w:cs="Calibri"/>
          <w:sz w:val="20"/>
          <w:szCs w:val="20"/>
          <w:lang w:val="uk-UA" w:bidi="uk-UA"/>
        </w:rPr>
        <w:t>У ході розгляду справи підготовчий документ може бути поданий лише тоді, коли голова суду винесе відповідне розпорядження, і лише у визначений строк (ст. 205</w:t>
      </w:r>
      <w:r w:rsidRPr="00D605D4">
        <w:rPr>
          <w:rFonts w:ascii="Calibri" w:eastAsia="Calibri" w:hAnsi="Calibri" w:cs="Calibri"/>
          <w:sz w:val="20"/>
          <w:szCs w:val="20"/>
          <w:vertAlign w:val="superscript"/>
          <w:lang w:val="uk-UA" w:bidi="uk-UA"/>
        </w:rPr>
        <w:t>2</w:t>
      </w:r>
      <w:r w:rsidRPr="00D605D4">
        <w:rPr>
          <w:rFonts w:ascii="Calibri" w:eastAsia="Calibri" w:hAnsi="Calibri" w:cs="Calibri"/>
          <w:sz w:val="20"/>
          <w:szCs w:val="20"/>
          <w:lang w:val="uk-UA" w:bidi="uk-UA"/>
        </w:rPr>
        <w:t xml:space="preserve"> § 1 п. 3 ЦПК). Під час розгляду справи, у обґрунтованих випадках, голова суду може постановити </w:t>
      </w:r>
      <w:r w:rsidRPr="00D605D4">
        <w:rPr>
          <w:rFonts w:ascii="Calibri" w:eastAsia="Calibri" w:hAnsi="Calibri" w:cs="Calibri"/>
          <w:b/>
          <w:color w:val="000000"/>
          <w:sz w:val="20"/>
          <w:szCs w:val="20"/>
          <w:lang w:val="uk-UA" w:bidi="uk-UA"/>
        </w:rPr>
        <w:t>обмін між сторонами підготовчими документами</w:t>
      </w:r>
      <w:r w:rsidRPr="00D605D4">
        <w:rPr>
          <w:rFonts w:ascii="Calibri" w:eastAsia="Calibri" w:hAnsi="Calibri" w:cs="Calibri"/>
          <w:color w:val="000000"/>
          <w:sz w:val="20"/>
          <w:szCs w:val="20"/>
          <w:lang w:val="uk-UA" w:bidi="uk-UA"/>
        </w:rPr>
        <w:t>, визначивши при цьому порядок подання документів, строки, у які документи мають бути подані, та обставини, що підлягають з’ясуванню (ст. 205</w:t>
      </w:r>
      <w:r w:rsidRPr="00D605D4">
        <w:rPr>
          <w:rFonts w:ascii="Calibri" w:eastAsia="Calibri" w:hAnsi="Calibri" w:cs="Calibri"/>
          <w:sz w:val="20"/>
          <w:szCs w:val="20"/>
          <w:vertAlign w:val="superscript"/>
          <w:lang w:val="uk-UA" w:bidi="uk-UA"/>
        </w:rPr>
        <w:t>3</w:t>
      </w:r>
      <w:r w:rsidRPr="00D605D4">
        <w:rPr>
          <w:rFonts w:ascii="Calibri" w:eastAsia="Calibri" w:hAnsi="Calibri" w:cs="Calibri"/>
          <w:sz w:val="20"/>
          <w:szCs w:val="20"/>
          <w:lang w:val="uk-UA" w:bidi="uk-UA"/>
        </w:rPr>
        <w:t xml:space="preserve"> § 1 ЦПК).</w:t>
      </w:r>
    </w:p>
    <w:p w14:paraId="58EF2AB9" w14:textId="77777777" w:rsidR="00C343BC" w:rsidRPr="004257E0" w:rsidRDefault="00C343BC" w:rsidP="00C343B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Calibri" w:hAnsi="Calibri" w:cs="Calibri"/>
          <w:sz w:val="20"/>
          <w:szCs w:val="20"/>
          <w:lang w:val="ru-RU"/>
        </w:rPr>
      </w:pPr>
      <w:r>
        <w:rPr>
          <w:rFonts w:ascii="Calibri" w:eastAsia="Calibri" w:hAnsi="Calibri" w:cs="Calibri"/>
          <w:sz w:val="20"/>
          <w:szCs w:val="20"/>
          <w:lang w:val="uk-UA" w:bidi="uk-UA"/>
        </w:rPr>
        <w:t>У підготовчих документах слід стисло викласти стан справи, вказати, які факти сторона визнає, а які заперечує, а також висловити свою думку щодо тверджень та доказів, поданих протилежною стороною. У цих документах сторони можуть також вказувати правові підстави своїх вимог або клопотань (ст. 127 § 1 та 2 ЦПК).</w:t>
      </w:r>
    </w:p>
    <w:p w14:paraId="6A46DF75" w14:textId="77777777" w:rsidR="00C343BC" w:rsidRPr="004257E0" w:rsidRDefault="00C343BC" w:rsidP="00C343B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Calibri" w:hAnsi="Calibri" w:cs="Calibri"/>
          <w:color w:val="000000"/>
          <w:sz w:val="20"/>
          <w:szCs w:val="20"/>
          <w:lang w:val="uk-UA"/>
        </w:rPr>
      </w:pPr>
      <w:r>
        <w:rPr>
          <w:rFonts w:ascii="Calibri" w:eastAsia="Calibri" w:hAnsi="Calibri" w:cs="Calibri"/>
          <w:color w:val="000000"/>
          <w:sz w:val="20"/>
          <w:szCs w:val="20"/>
          <w:lang w:val="uk-UA" w:bidi="uk-UA"/>
        </w:rPr>
        <w:lastRenderedPageBreak/>
        <w:t xml:space="preserve">Голова суду може також зобов’язати сторону вказати у підготовчому документі </w:t>
      </w:r>
      <w:r>
        <w:rPr>
          <w:rFonts w:ascii="Calibri" w:eastAsia="Calibri" w:hAnsi="Calibri" w:cs="Calibri"/>
          <w:b/>
          <w:color w:val="000000"/>
          <w:sz w:val="20"/>
          <w:szCs w:val="20"/>
          <w:lang w:val="uk-UA" w:bidi="uk-UA"/>
        </w:rPr>
        <w:t>всі твердження та докази</w:t>
      </w:r>
      <w:r>
        <w:rPr>
          <w:rFonts w:ascii="Calibri" w:eastAsia="Calibri" w:hAnsi="Calibri" w:cs="Calibri"/>
          <w:color w:val="000000"/>
          <w:sz w:val="20"/>
          <w:szCs w:val="20"/>
          <w:lang w:val="uk-UA" w:bidi="uk-UA"/>
        </w:rPr>
        <w:t>, що мають істотне значення для вирішення справи, під загрозою втрати права на посилання на них в ході подальшого розгляду. У такому випадку твердження та докази, подані з порушенням вищезазначеного обов’язку, не враховуються, якщо тільки сторона не доведе, що їхнє зазначення у підготовчому документі було неможливим або що необхідність їхнього зазначення виникла пізніше (ст. 205</w:t>
      </w:r>
      <w:r>
        <w:rPr>
          <w:rFonts w:ascii="Calibri" w:eastAsia="Calibri" w:hAnsi="Calibri" w:cs="Calibri"/>
          <w:sz w:val="20"/>
          <w:szCs w:val="20"/>
          <w:vertAlign w:val="superscript"/>
          <w:lang w:val="uk-UA" w:bidi="uk-UA"/>
        </w:rPr>
        <w:t>3</w:t>
      </w:r>
      <w:r>
        <w:rPr>
          <w:rFonts w:ascii="Calibri" w:eastAsia="Calibri" w:hAnsi="Calibri" w:cs="Calibri"/>
          <w:sz w:val="20"/>
          <w:szCs w:val="20"/>
          <w:lang w:val="uk-UA" w:bidi="uk-UA"/>
        </w:rPr>
        <w:t xml:space="preserve"> § 2 ЦПК). </w:t>
      </w:r>
    </w:p>
    <w:p w14:paraId="3BF78D0E" w14:textId="77777777" w:rsidR="00C343BC" w:rsidRPr="004257E0" w:rsidRDefault="00C343BC" w:rsidP="00C343BC">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Calibri" w:hAnsi="Calibri" w:cs="Calibri"/>
          <w:color w:val="000000"/>
          <w:sz w:val="20"/>
          <w:szCs w:val="20"/>
          <w:lang w:val="ru-RU"/>
        </w:rPr>
      </w:pPr>
      <w:r>
        <w:rPr>
          <w:rFonts w:ascii="Calibri" w:eastAsia="Calibri" w:hAnsi="Calibri" w:cs="Calibri"/>
          <w:color w:val="000000"/>
          <w:sz w:val="20"/>
          <w:szCs w:val="20"/>
          <w:lang w:val="uk-UA" w:bidi="uk-UA"/>
        </w:rPr>
        <w:t>Пізніше призначення підготовчого засідання не спричиняє відкриття строку для подання нових тверджень та доказів (ст. 205</w:t>
      </w:r>
      <w:r>
        <w:rPr>
          <w:rFonts w:ascii="Calibri" w:eastAsia="Calibri" w:hAnsi="Calibri" w:cs="Calibri"/>
          <w:sz w:val="20"/>
          <w:szCs w:val="20"/>
          <w:vertAlign w:val="superscript"/>
          <w:lang w:val="uk-UA" w:bidi="uk-UA"/>
        </w:rPr>
        <w:t>3</w:t>
      </w:r>
      <w:r>
        <w:rPr>
          <w:rFonts w:ascii="Calibri" w:eastAsia="Calibri" w:hAnsi="Calibri" w:cs="Calibri"/>
          <w:sz w:val="20"/>
          <w:szCs w:val="20"/>
          <w:lang w:val="uk-UA" w:bidi="uk-UA"/>
        </w:rPr>
        <w:t xml:space="preserve"> § 3 ЦПК).</w:t>
      </w:r>
    </w:p>
    <w:p w14:paraId="22EB2E1A" w14:textId="77777777" w:rsidR="00A6183F" w:rsidRPr="004257E0" w:rsidRDefault="00C343BC" w:rsidP="00C84D4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ind w:left="426"/>
        <w:jc w:val="both"/>
        <w:rPr>
          <w:rFonts w:ascii="Calibri" w:hAnsi="Calibri" w:cs="Calibri"/>
          <w:sz w:val="20"/>
          <w:szCs w:val="20"/>
          <w:lang w:val="ru-RU"/>
        </w:rPr>
      </w:pPr>
      <w:r>
        <w:rPr>
          <w:rFonts w:ascii="Calibri" w:eastAsia="Calibri" w:hAnsi="Calibri" w:cs="Calibri"/>
          <w:color w:val="000000"/>
          <w:sz w:val="20"/>
          <w:szCs w:val="20"/>
          <w:lang w:val="uk-UA" w:bidi="uk-UA"/>
        </w:rPr>
        <w:t>Голова суду постановляє повернути підготовчий документ, поданий з порушенням строку або без розпорядження (ст. 205</w:t>
      </w:r>
      <w:r>
        <w:rPr>
          <w:rFonts w:ascii="Calibri" w:eastAsia="Calibri" w:hAnsi="Calibri" w:cs="Calibri"/>
          <w:sz w:val="20"/>
          <w:szCs w:val="20"/>
          <w:vertAlign w:val="superscript"/>
          <w:lang w:val="uk-UA" w:bidi="uk-UA"/>
        </w:rPr>
        <w:t>3</w:t>
      </w:r>
      <w:r>
        <w:rPr>
          <w:rFonts w:ascii="Calibri" w:eastAsia="Calibri" w:hAnsi="Calibri" w:cs="Calibri"/>
          <w:sz w:val="20"/>
          <w:szCs w:val="20"/>
          <w:lang w:val="uk-UA" w:bidi="uk-UA"/>
        </w:rPr>
        <w:t xml:space="preserve"> § 5 ЦПК). </w:t>
      </w:r>
    </w:p>
    <w:p w14:paraId="33545105" w14:textId="77777777" w:rsidR="00613662" w:rsidRPr="004257E0" w:rsidRDefault="00E937BE" w:rsidP="00613662">
      <w:pPr>
        <w:pStyle w:val="zartzmartartykuempunktem"/>
        <w:numPr>
          <w:ilvl w:val="0"/>
          <w:numId w:val="2"/>
        </w:numPr>
        <w:spacing w:before="120" w:beforeAutospacing="0" w:after="0" w:afterAutospacing="0"/>
        <w:ind w:left="426" w:hanging="284"/>
        <w:jc w:val="both"/>
        <w:rPr>
          <w:rFonts w:ascii="Calibri" w:hAnsi="Calibri" w:cs="Calibri"/>
          <w:color w:val="000000"/>
          <w:sz w:val="20"/>
          <w:szCs w:val="20"/>
          <w:lang w:val="ru-RU"/>
        </w:rPr>
      </w:pPr>
      <w:r w:rsidRPr="00E937BE">
        <w:rPr>
          <w:rFonts w:ascii="Calibri" w:eastAsia="Calibri" w:hAnsi="Calibri" w:cs="Calibri"/>
          <w:b/>
          <w:color w:val="000000"/>
          <w:sz w:val="20"/>
          <w:szCs w:val="20"/>
          <w:lang w:val="uk-UA" w:bidi="uk-UA"/>
        </w:rPr>
        <w:t>Після подання відповіді на позов</w:t>
      </w:r>
      <w:r w:rsidRPr="00E937BE">
        <w:rPr>
          <w:rFonts w:ascii="Calibri" w:eastAsia="Calibri" w:hAnsi="Calibri" w:cs="Calibri"/>
          <w:color w:val="000000"/>
          <w:sz w:val="20"/>
          <w:szCs w:val="20"/>
          <w:lang w:val="uk-UA" w:bidi="uk-UA"/>
        </w:rPr>
        <w:t xml:space="preserve">, а також у разі, якщо відповідь на позов не була подана, але заочне рішення не було винесено, </w:t>
      </w:r>
      <w:r w:rsidRPr="00E937BE">
        <w:rPr>
          <w:rFonts w:ascii="Calibri" w:eastAsia="Calibri" w:hAnsi="Calibri" w:cs="Calibri"/>
          <w:b/>
          <w:color w:val="000000"/>
          <w:sz w:val="20"/>
          <w:szCs w:val="20"/>
          <w:lang w:val="uk-UA" w:bidi="uk-UA"/>
        </w:rPr>
        <w:t>голова суду може призначити підготовче засідання.</w:t>
      </w:r>
      <w:r w:rsidRPr="00E937BE">
        <w:rPr>
          <w:rFonts w:ascii="Calibri" w:eastAsia="Calibri" w:hAnsi="Calibri" w:cs="Calibri"/>
          <w:color w:val="000000"/>
          <w:sz w:val="20"/>
          <w:szCs w:val="20"/>
          <w:lang w:val="uk-UA" w:bidi="uk-UA"/>
        </w:rPr>
        <w:t xml:space="preserve"> У разі призначення підготовчого засідання сторони та їхні представники зобов’язані взяти в ньому участь (ст. 205</w:t>
      </w:r>
      <w:r w:rsidRPr="00E937BE">
        <w:rPr>
          <w:rFonts w:ascii="Calibri" w:eastAsia="Calibri" w:hAnsi="Calibri" w:cs="Calibri"/>
          <w:color w:val="000000"/>
          <w:sz w:val="20"/>
          <w:szCs w:val="20"/>
          <w:vertAlign w:val="superscript"/>
          <w:lang w:val="uk-UA" w:bidi="uk-UA"/>
        </w:rPr>
        <w:t>4а</w:t>
      </w:r>
      <w:r w:rsidRPr="00E937BE">
        <w:rPr>
          <w:rFonts w:ascii="Calibri" w:eastAsia="Calibri" w:hAnsi="Calibri" w:cs="Calibri"/>
          <w:color w:val="000000"/>
          <w:sz w:val="20"/>
          <w:szCs w:val="20"/>
          <w:lang w:val="uk-UA" w:bidi="uk-UA"/>
        </w:rPr>
        <w:t xml:space="preserve"> § 1 п. 1 ЦПК). Голова суду може відмовитися від виклику сторони на підготовче засідання, якщо з обставин справи випливає, що участі повноважного представника буде достатньо. </w:t>
      </w:r>
    </w:p>
    <w:p w14:paraId="44B501C9" w14:textId="77777777" w:rsidR="00613662" w:rsidRPr="004257E0" w:rsidRDefault="009342EC" w:rsidP="00613662">
      <w:pPr>
        <w:pStyle w:val="zartzmartartykuempunktem"/>
        <w:spacing w:before="120" w:beforeAutospacing="0" w:after="0" w:afterAutospacing="0"/>
        <w:ind w:left="426"/>
        <w:jc w:val="both"/>
        <w:rPr>
          <w:rFonts w:ascii="Calibri" w:hAnsi="Calibri" w:cs="Calibri"/>
          <w:color w:val="000000"/>
          <w:sz w:val="20"/>
          <w:szCs w:val="20"/>
          <w:lang w:val="uk-UA"/>
        </w:rPr>
      </w:pPr>
      <w:r w:rsidRPr="00613662">
        <w:rPr>
          <w:rFonts w:ascii="Calibri" w:eastAsia="Calibri" w:hAnsi="Calibri" w:cs="Calibri"/>
          <w:b/>
          <w:color w:val="000000"/>
          <w:sz w:val="20"/>
          <w:szCs w:val="20"/>
          <w:lang w:val="uk-UA" w:bidi="uk-UA"/>
        </w:rPr>
        <w:t>Якщо відповідач не з’явиться на підготовче засідання</w:t>
      </w:r>
      <w:r w:rsidRPr="00613662">
        <w:rPr>
          <w:rFonts w:ascii="Calibri" w:eastAsia="Calibri" w:hAnsi="Calibri" w:cs="Calibri"/>
          <w:color w:val="000000"/>
          <w:sz w:val="20"/>
          <w:szCs w:val="20"/>
          <w:lang w:val="uk-UA" w:bidi="uk-UA"/>
        </w:rPr>
        <w:t>, план судового розгляду складається без його участі. Висновки, що містяться в плані судового розгляду, є обов’язковими для відповідача в подальшому ході провадження. У разі, якщо неявка відповідача була невиправданою, суд може, незалежно від результату справи, покласти на відповідача обов’язок відшкодувати витрати у більшій частині, ніж це вимагав би результат справи, або навіть відшкодувати витрати у повному обсязі (ст. 205</w:t>
      </w:r>
      <w:r w:rsidRPr="00613662">
        <w:rPr>
          <w:rFonts w:ascii="Calibri" w:eastAsia="Calibri" w:hAnsi="Calibri" w:cs="Calibri"/>
          <w:color w:val="000000"/>
          <w:sz w:val="20"/>
          <w:szCs w:val="20"/>
          <w:vertAlign w:val="superscript"/>
          <w:lang w:val="uk-UA" w:bidi="uk-UA"/>
        </w:rPr>
        <w:t>5</w:t>
      </w:r>
      <w:r w:rsidRPr="00613662">
        <w:rPr>
          <w:rFonts w:ascii="Calibri" w:eastAsia="Calibri" w:hAnsi="Calibri" w:cs="Calibri"/>
          <w:color w:val="000000"/>
          <w:sz w:val="20"/>
          <w:szCs w:val="20"/>
          <w:lang w:val="uk-UA" w:bidi="uk-UA"/>
        </w:rPr>
        <w:t xml:space="preserve"> § 6 ЦПК).</w:t>
      </w:r>
    </w:p>
    <w:p w14:paraId="6F12551B" w14:textId="77777777" w:rsidR="00613662" w:rsidRPr="004257E0" w:rsidRDefault="009342EC" w:rsidP="00613662">
      <w:pPr>
        <w:pStyle w:val="zartzmartartykuempunktem"/>
        <w:spacing w:before="120" w:beforeAutospacing="0" w:after="0" w:afterAutospacing="0"/>
        <w:ind w:left="426"/>
        <w:jc w:val="both"/>
        <w:rPr>
          <w:rFonts w:ascii="Calibri" w:hAnsi="Calibri" w:cs="Calibri"/>
          <w:color w:val="000000"/>
          <w:sz w:val="20"/>
          <w:szCs w:val="20"/>
          <w:lang w:val="ru-RU"/>
        </w:rPr>
      </w:pPr>
      <w:r w:rsidRPr="009342EC">
        <w:rPr>
          <w:rFonts w:ascii="Calibri" w:eastAsia="Calibri" w:hAnsi="Calibri" w:cs="Calibri"/>
          <w:color w:val="000000"/>
          <w:sz w:val="20"/>
          <w:szCs w:val="20"/>
          <w:lang w:val="uk-UA" w:bidi="uk-UA"/>
        </w:rPr>
        <w:t>На підготовчому засіданні голова суду визначає зі сторонами предмет спору та з’ясовує позиції сторін, у тому числі щодо правових аспектів спору. На цьому засіданні сторони можуть укласти мирову угоду. Якщо вирішити спір не вдається, на підготовчому засіданні за участю сторін складається план судового розгляду. Положення, що містяться в цьому плані, є обов’язковими для сторони навіть у разі її відсутності на засіданні (ст. 205</w:t>
      </w:r>
      <w:r w:rsidRPr="009342EC">
        <w:rPr>
          <w:rFonts w:ascii="Calibri" w:eastAsia="Calibri" w:hAnsi="Calibri" w:cs="Calibri"/>
          <w:color w:val="000000"/>
          <w:sz w:val="20"/>
          <w:szCs w:val="20"/>
          <w:vertAlign w:val="superscript"/>
          <w:lang w:val="uk-UA" w:bidi="uk-UA"/>
        </w:rPr>
        <w:t>6</w:t>
      </w:r>
      <w:r w:rsidRPr="009342EC">
        <w:rPr>
          <w:rFonts w:ascii="Calibri" w:eastAsia="Calibri" w:hAnsi="Calibri" w:cs="Calibri"/>
          <w:color w:val="000000"/>
          <w:sz w:val="20"/>
          <w:szCs w:val="20"/>
          <w:lang w:val="uk-UA" w:bidi="uk-UA"/>
        </w:rPr>
        <w:t xml:space="preserve"> ЦПК)</w:t>
      </w:r>
    </w:p>
    <w:p w14:paraId="2D57EBE3" w14:textId="77777777" w:rsidR="00E937BE" w:rsidRPr="004257E0" w:rsidRDefault="00E937BE" w:rsidP="00613662">
      <w:pPr>
        <w:pStyle w:val="zartzmartartykuempunktem"/>
        <w:spacing w:before="120" w:beforeAutospacing="0" w:after="0" w:afterAutospacing="0"/>
        <w:ind w:left="426"/>
        <w:jc w:val="both"/>
        <w:rPr>
          <w:rFonts w:ascii="Calibri" w:hAnsi="Calibri" w:cs="Calibri"/>
          <w:color w:val="000000"/>
          <w:sz w:val="20"/>
          <w:szCs w:val="20"/>
          <w:lang w:val="ru-RU"/>
        </w:rPr>
      </w:pPr>
      <w:r w:rsidRPr="00E937BE">
        <w:rPr>
          <w:rFonts w:ascii="Calibri" w:eastAsia="Calibri" w:hAnsi="Calibri" w:cs="Calibri"/>
          <w:color w:val="000000"/>
          <w:sz w:val="20"/>
          <w:szCs w:val="20"/>
          <w:lang w:val="uk-UA" w:bidi="uk-UA"/>
        </w:rPr>
        <w:t>Якщо обставини справи вказують на те, що проведення підготовчого засідання не сприятиме більш ефективному розгляду справи, голова суду може надати їй інший належний хід, зокрема направити її на розгляд, у тому числі на судовому засіданні</w:t>
      </w:r>
      <w:r w:rsidR="009B3C99" w:rsidRPr="009B3C99">
        <w:rPr>
          <w:lang w:val="uk-UA" w:bidi="uk-UA"/>
        </w:rPr>
        <w:t xml:space="preserve"> </w:t>
      </w:r>
      <w:r w:rsidR="009B3C99" w:rsidRPr="009B3C99">
        <w:rPr>
          <w:rFonts w:ascii="Calibri" w:eastAsia="Calibri" w:hAnsi="Calibri" w:cs="Calibri"/>
          <w:color w:val="000000"/>
          <w:sz w:val="20"/>
          <w:szCs w:val="20"/>
          <w:lang w:val="uk-UA" w:bidi="uk-UA"/>
        </w:rPr>
        <w:t>(ст. 205</w:t>
      </w:r>
      <w:r w:rsidR="009B3C99" w:rsidRPr="009B3C99">
        <w:rPr>
          <w:rFonts w:ascii="Calibri" w:eastAsia="Calibri" w:hAnsi="Calibri" w:cs="Calibri"/>
          <w:color w:val="000000"/>
          <w:sz w:val="20"/>
          <w:szCs w:val="20"/>
          <w:vertAlign w:val="superscript"/>
          <w:lang w:val="uk-UA" w:bidi="uk-UA"/>
        </w:rPr>
        <w:t>4</w:t>
      </w:r>
      <w:r w:rsidR="009B3C99" w:rsidRPr="009B3C99">
        <w:rPr>
          <w:rFonts w:ascii="Calibri" w:eastAsia="Calibri" w:hAnsi="Calibri" w:cs="Calibri"/>
          <w:color w:val="000000"/>
          <w:sz w:val="20"/>
          <w:szCs w:val="20"/>
          <w:lang w:val="uk-UA" w:bidi="uk-UA"/>
        </w:rPr>
        <w:t xml:space="preserve"> § 3 ЦПК) .</w:t>
      </w:r>
    </w:p>
    <w:p w14:paraId="21013FB4" w14:textId="77777777" w:rsidR="002D239B" w:rsidRPr="002D239B" w:rsidRDefault="002D239B">
      <w:pPr>
        <w:pStyle w:val="zartzmartartykuempunktem"/>
        <w:numPr>
          <w:ilvl w:val="0"/>
          <w:numId w:val="2"/>
        </w:numPr>
        <w:spacing w:before="120" w:beforeAutospacing="0" w:after="0" w:afterAutospacing="0"/>
        <w:ind w:left="426" w:hanging="284"/>
        <w:jc w:val="both"/>
        <w:rPr>
          <w:rFonts w:ascii="Calibri" w:hAnsi="Calibri" w:cs="Calibri"/>
          <w:color w:val="000000"/>
          <w:sz w:val="20"/>
          <w:szCs w:val="20"/>
        </w:rPr>
      </w:pPr>
      <w:r w:rsidRPr="002D239B">
        <w:rPr>
          <w:rFonts w:ascii="Calibri" w:eastAsia="Calibri" w:hAnsi="Calibri" w:cs="Calibri"/>
          <w:b/>
          <w:color w:val="000000"/>
          <w:sz w:val="20"/>
          <w:szCs w:val="20"/>
          <w:lang w:val="uk-UA" w:bidi="uk-UA"/>
        </w:rPr>
        <w:t>Тягар доведення факту</w:t>
      </w:r>
      <w:r w:rsidRPr="002D239B">
        <w:rPr>
          <w:rFonts w:ascii="Calibri" w:eastAsia="Calibri" w:hAnsi="Calibri" w:cs="Calibri"/>
          <w:color w:val="000000"/>
          <w:sz w:val="20"/>
          <w:szCs w:val="20"/>
          <w:lang w:val="uk-UA" w:bidi="uk-UA"/>
        </w:rPr>
        <w:t xml:space="preserve"> покладається на особу, яка визначає з цього факту правові наслідки</w:t>
      </w:r>
      <w:r w:rsidRPr="002D239B">
        <w:rPr>
          <w:lang w:val="uk-UA" w:bidi="uk-UA"/>
        </w:rPr>
        <w:t xml:space="preserve"> </w:t>
      </w:r>
      <w:r w:rsidRPr="002D239B">
        <w:rPr>
          <w:rFonts w:ascii="Calibri" w:eastAsia="Calibri" w:hAnsi="Calibri" w:cs="Calibri"/>
          <w:color w:val="000000"/>
          <w:sz w:val="20"/>
          <w:szCs w:val="20"/>
          <w:lang w:val="uk-UA" w:bidi="uk-UA"/>
        </w:rPr>
        <w:t>(ст. 6 Закону від 23 квітня 1964 р. Цивільний кодекс («Закон. Вісник».2025.1071, єд. текст).</w:t>
      </w:r>
    </w:p>
    <w:p w14:paraId="47F5A6DF" w14:textId="77777777" w:rsidR="00A6183F" w:rsidRPr="004257E0" w:rsidRDefault="00A6183F" w:rsidP="002D239B">
      <w:pPr>
        <w:pStyle w:val="zartzmartartykuempunktem"/>
        <w:spacing w:before="120" w:beforeAutospacing="0" w:after="0" w:afterAutospacing="0"/>
        <w:ind w:left="426"/>
        <w:jc w:val="both"/>
        <w:rPr>
          <w:rFonts w:ascii="Calibri" w:hAnsi="Calibri" w:cs="Calibri"/>
          <w:color w:val="000000"/>
          <w:sz w:val="20"/>
          <w:szCs w:val="20"/>
          <w:lang w:val="ru-RU"/>
        </w:rPr>
      </w:pPr>
      <w:r w:rsidRPr="00A6183F">
        <w:rPr>
          <w:rFonts w:ascii="Calibri" w:eastAsia="Calibri" w:hAnsi="Calibri" w:cs="Calibri"/>
          <w:b/>
          <w:color w:val="000000"/>
          <w:sz w:val="20"/>
          <w:szCs w:val="20"/>
          <w:lang w:val="uk-UA" w:bidi="uk-UA"/>
        </w:rPr>
        <w:t>Сторона, яка посилається на певний факт</w:t>
      </w:r>
      <w:r w:rsidRPr="00A6183F">
        <w:rPr>
          <w:rFonts w:ascii="Calibri" w:eastAsia="Calibri" w:hAnsi="Calibri" w:cs="Calibri"/>
          <w:color w:val="000000"/>
          <w:sz w:val="20"/>
          <w:szCs w:val="20"/>
          <w:lang w:val="uk-UA" w:bidi="uk-UA"/>
        </w:rPr>
        <w:t xml:space="preserve"> і визначає з нього вигідні для себе правові наслідки, </w:t>
      </w:r>
      <w:r w:rsidRPr="00A6183F">
        <w:rPr>
          <w:rFonts w:ascii="Calibri" w:eastAsia="Calibri" w:hAnsi="Calibri" w:cs="Calibri"/>
          <w:b/>
          <w:color w:val="000000"/>
          <w:sz w:val="20"/>
          <w:szCs w:val="20"/>
          <w:lang w:val="uk-UA" w:bidi="uk-UA"/>
        </w:rPr>
        <w:t>зобов’язана вказати докази для його встановлення</w:t>
      </w:r>
      <w:r w:rsidRPr="00A6183F">
        <w:rPr>
          <w:rFonts w:ascii="Calibri" w:eastAsia="Calibri" w:hAnsi="Calibri" w:cs="Calibri"/>
          <w:color w:val="000000"/>
          <w:sz w:val="20"/>
          <w:szCs w:val="20"/>
          <w:lang w:val="uk-UA" w:bidi="uk-UA"/>
        </w:rPr>
        <w:t xml:space="preserve"> (ст. 232 ЦПК).</w:t>
      </w:r>
    </w:p>
    <w:p w14:paraId="360F819E" w14:textId="77777777" w:rsidR="00AE7C70" w:rsidRPr="004257E0" w:rsidRDefault="00AE7C70" w:rsidP="00A6183F">
      <w:pPr>
        <w:pStyle w:val="zartzmartartykuempunktem"/>
        <w:spacing w:before="120" w:beforeAutospacing="0" w:after="0" w:afterAutospacing="0"/>
        <w:ind w:left="426"/>
        <w:jc w:val="both"/>
        <w:rPr>
          <w:rFonts w:ascii="Calibri" w:hAnsi="Calibri" w:cs="Calibri"/>
          <w:color w:val="000000"/>
          <w:sz w:val="20"/>
          <w:szCs w:val="20"/>
          <w:lang w:val="ru-RU"/>
        </w:rPr>
      </w:pPr>
      <w:r w:rsidRPr="00A6183F">
        <w:rPr>
          <w:rFonts w:ascii="Calibri" w:eastAsia="Calibri" w:hAnsi="Calibri" w:cs="Calibri"/>
          <w:color w:val="000000"/>
          <w:sz w:val="20"/>
          <w:szCs w:val="20"/>
          <w:lang w:val="uk-UA" w:bidi="uk-UA"/>
        </w:rPr>
        <w:t xml:space="preserve">Не потребують доказування </w:t>
      </w:r>
      <w:r w:rsidRPr="00A6183F">
        <w:rPr>
          <w:rFonts w:ascii="Calibri" w:eastAsia="Calibri" w:hAnsi="Calibri" w:cs="Calibri"/>
          <w:b/>
          <w:color w:val="000000"/>
          <w:sz w:val="20"/>
          <w:szCs w:val="20"/>
          <w:lang w:val="uk-UA" w:bidi="uk-UA"/>
        </w:rPr>
        <w:t>загальновідомі факти</w:t>
      </w:r>
      <w:r w:rsidRPr="00A6183F">
        <w:rPr>
          <w:rFonts w:ascii="Calibri" w:eastAsia="Calibri" w:hAnsi="Calibri" w:cs="Calibri"/>
          <w:color w:val="000000"/>
          <w:sz w:val="20"/>
          <w:szCs w:val="20"/>
          <w:lang w:val="uk-UA" w:bidi="uk-UA"/>
        </w:rPr>
        <w:t xml:space="preserve">, і суд бере їх до уваги навіть без посилання на них сторонами. Не потребують доказування також </w:t>
      </w:r>
      <w:r w:rsidRPr="00A6183F">
        <w:rPr>
          <w:rFonts w:ascii="Calibri" w:eastAsia="Calibri" w:hAnsi="Calibri" w:cs="Calibri"/>
          <w:b/>
          <w:color w:val="000000"/>
          <w:sz w:val="20"/>
          <w:szCs w:val="20"/>
          <w:lang w:val="uk-UA" w:bidi="uk-UA"/>
        </w:rPr>
        <w:t>факти, інформація про які є загальнодоступною</w:t>
      </w:r>
      <w:r w:rsidRPr="00A6183F">
        <w:rPr>
          <w:rFonts w:ascii="Calibri" w:eastAsia="Calibri" w:hAnsi="Calibri" w:cs="Calibri"/>
          <w:color w:val="000000"/>
          <w:sz w:val="20"/>
          <w:szCs w:val="20"/>
          <w:lang w:val="uk-UA" w:bidi="uk-UA"/>
        </w:rPr>
        <w:t>, та факти, відомі суду за службовим обов’язком (ст. 228 ЦПК).</w:t>
      </w:r>
    </w:p>
    <w:p w14:paraId="0BEC649E" w14:textId="77777777" w:rsidR="00AE7C70" w:rsidRPr="004257E0" w:rsidRDefault="00AE7C70" w:rsidP="0045435E">
      <w:pPr>
        <w:pStyle w:val="zartzmartartykuempunktem"/>
        <w:spacing w:before="120" w:beforeAutospacing="0" w:after="0" w:afterAutospacing="0"/>
        <w:ind w:left="426"/>
        <w:jc w:val="both"/>
        <w:rPr>
          <w:rFonts w:ascii="Calibri" w:hAnsi="Calibri" w:cs="Calibri"/>
          <w:color w:val="000000"/>
          <w:sz w:val="20"/>
          <w:szCs w:val="20"/>
          <w:lang w:val="ru-RU"/>
        </w:rPr>
      </w:pPr>
      <w:r>
        <w:rPr>
          <w:rFonts w:ascii="Calibri" w:eastAsia="Calibri" w:hAnsi="Calibri" w:cs="Calibri"/>
          <w:sz w:val="20"/>
          <w:szCs w:val="20"/>
          <w:lang w:val="uk-UA" w:bidi="uk-UA"/>
        </w:rPr>
        <w:t xml:space="preserve">Не потребують доказування </w:t>
      </w:r>
      <w:r>
        <w:rPr>
          <w:rFonts w:ascii="Calibri" w:eastAsia="Calibri" w:hAnsi="Calibri" w:cs="Calibri"/>
          <w:b/>
          <w:sz w:val="20"/>
          <w:szCs w:val="20"/>
          <w:lang w:val="uk-UA" w:bidi="uk-UA"/>
        </w:rPr>
        <w:t xml:space="preserve">факти, визнані в ході судового розгляду </w:t>
      </w:r>
      <w:r>
        <w:rPr>
          <w:rFonts w:ascii="Calibri" w:eastAsia="Calibri" w:hAnsi="Calibri" w:cs="Calibri"/>
          <w:sz w:val="20"/>
          <w:szCs w:val="20"/>
          <w:lang w:val="uk-UA" w:bidi="uk-UA"/>
        </w:rPr>
        <w:t>протилежною стороною, якщо таке визнання не викликає сумнівів (ст. 229 ЦПК).</w:t>
      </w:r>
    </w:p>
    <w:p w14:paraId="06DCA930" w14:textId="77777777" w:rsidR="00AE7C70" w:rsidRPr="004257E0" w:rsidRDefault="00AE7C70" w:rsidP="0045435E">
      <w:pPr>
        <w:tabs>
          <w:tab w:val="left" w:pos="426"/>
        </w:tabs>
        <w:spacing w:before="120"/>
        <w:ind w:left="426"/>
        <w:jc w:val="both"/>
        <w:rPr>
          <w:rFonts w:ascii="Calibri" w:hAnsi="Calibri" w:cs="Calibri"/>
          <w:sz w:val="20"/>
          <w:szCs w:val="20"/>
          <w:lang w:val="ru-RU"/>
        </w:rPr>
      </w:pPr>
      <w:r>
        <w:rPr>
          <w:rFonts w:ascii="Calibri" w:eastAsia="Calibri" w:hAnsi="Calibri" w:cs="Calibri"/>
          <w:sz w:val="20"/>
          <w:szCs w:val="20"/>
          <w:lang w:val="uk-UA" w:bidi="uk-UA"/>
        </w:rPr>
        <w:t xml:space="preserve">Якщо </w:t>
      </w:r>
      <w:r>
        <w:rPr>
          <w:rFonts w:ascii="Calibri" w:eastAsia="Calibri" w:hAnsi="Calibri" w:cs="Calibri"/>
          <w:b/>
          <w:sz w:val="20"/>
          <w:szCs w:val="20"/>
          <w:lang w:val="uk-UA" w:bidi="uk-UA"/>
        </w:rPr>
        <w:t>сторона не висловиться щодо тверджень протилежної сторони про факти</w:t>
      </w:r>
      <w:r>
        <w:rPr>
          <w:rFonts w:ascii="Calibri" w:eastAsia="Calibri" w:hAnsi="Calibri" w:cs="Calibri"/>
          <w:sz w:val="20"/>
          <w:szCs w:val="20"/>
          <w:lang w:val="uk-UA" w:bidi="uk-UA"/>
        </w:rPr>
        <w:t>, суд, зважаючи на результати всього судового розгляду, може визнати ці факти визнаними (ст. 230 ЦПК).</w:t>
      </w:r>
    </w:p>
    <w:p w14:paraId="5A535B38" w14:textId="77777777" w:rsidR="00D605D4" w:rsidRPr="004257E0" w:rsidRDefault="00D605D4" w:rsidP="00D605D4">
      <w:pPr>
        <w:widowControl w:val="0"/>
        <w:numPr>
          <w:ilvl w:val="0"/>
          <w:numId w:val="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Calibri" w:hAnsi="Calibri" w:cs="Calibri"/>
          <w:sz w:val="20"/>
          <w:szCs w:val="20"/>
          <w:lang w:val="ru-RU"/>
        </w:rPr>
      </w:pPr>
      <w:r>
        <w:rPr>
          <w:rFonts w:ascii="Calibri" w:eastAsia="Calibri" w:hAnsi="Calibri" w:cs="Calibri"/>
          <w:sz w:val="20"/>
          <w:szCs w:val="20"/>
          <w:lang w:val="uk-UA" w:bidi="uk-UA"/>
        </w:rPr>
        <w:t xml:space="preserve">Сторони та учасники провадження зобов’язані здійснювати процесуальні дії </w:t>
      </w:r>
      <w:r>
        <w:rPr>
          <w:rFonts w:ascii="Calibri" w:eastAsia="Calibri" w:hAnsi="Calibri" w:cs="Calibri"/>
          <w:b/>
          <w:sz w:val="20"/>
          <w:szCs w:val="20"/>
          <w:lang w:val="uk-UA" w:bidi="uk-UA"/>
        </w:rPr>
        <w:t>відповідно до належної практики</w:t>
      </w:r>
      <w:r>
        <w:rPr>
          <w:rFonts w:ascii="Calibri" w:eastAsia="Calibri" w:hAnsi="Calibri" w:cs="Calibri"/>
          <w:sz w:val="20"/>
          <w:szCs w:val="20"/>
          <w:lang w:val="uk-UA" w:bidi="uk-UA"/>
        </w:rPr>
        <w:t>, надавати правдиво та без приховування пояснення щодо обставин справи, а також надавати докази (ст. 3 ЦПК).</w:t>
      </w:r>
    </w:p>
    <w:p w14:paraId="4ADF69CE" w14:textId="77777777" w:rsidR="00D605D4" w:rsidRPr="004257E0" w:rsidRDefault="00D605D4" w:rsidP="00D605D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cs="Calibri"/>
          <w:color w:val="000000"/>
          <w:sz w:val="20"/>
          <w:szCs w:val="20"/>
          <w:lang w:val="ru-RU"/>
        </w:rPr>
      </w:pPr>
      <w:r>
        <w:rPr>
          <w:rFonts w:ascii="Calibri" w:eastAsia="Calibri" w:hAnsi="Calibri" w:cs="Calibri"/>
          <w:color w:val="000000"/>
          <w:sz w:val="20"/>
          <w:szCs w:val="20"/>
          <w:lang w:val="uk-UA" w:bidi="uk-UA"/>
        </w:rPr>
        <w:t>Сторони та учасники провадження не мають права використовувати передбачені процесуальними нормами повноваження не відповідно до мети, для якої вони були встановлені (</w:t>
      </w:r>
      <w:r>
        <w:rPr>
          <w:rFonts w:ascii="Calibri" w:eastAsia="Calibri" w:hAnsi="Calibri" w:cs="Calibri"/>
          <w:b/>
          <w:color w:val="000000"/>
          <w:sz w:val="20"/>
          <w:szCs w:val="20"/>
          <w:lang w:val="uk-UA" w:bidi="uk-UA"/>
        </w:rPr>
        <w:t>зловживання процесуальним правом</w:t>
      </w:r>
      <w:r>
        <w:rPr>
          <w:rFonts w:ascii="Calibri" w:eastAsia="Calibri" w:hAnsi="Calibri" w:cs="Calibri"/>
          <w:color w:val="000000"/>
          <w:sz w:val="20"/>
          <w:szCs w:val="20"/>
          <w:lang w:val="uk-UA" w:bidi="uk-UA"/>
        </w:rPr>
        <w:t>) (ст. 4</w:t>
      </w:r>
      <w:r>
        <w:rPr>
          <w:rStyle w:val="igindeksgrny"/>
          <w:rFonts w:ascii="Calibri" w:eastAsia="Calibri" w:hAnsi="Calibri" w:cs="Calibri"/>
          <w:color w:val="000000"/>
          <w:sz w:val="20"/>
          <w:szCs w:val="20"/>
          <w:vertAlign w:val="superscript"/>
          <w:lang w:val="uk-UA" w:bidi="uk-UA"/>
        </w:rPr>
        <w:t>1</w:t>
      </w:r>
      <w:r>
        <w:rPr>
          <w:rFonts w:ascii="Calibri" w:eastAsia="Calibri" w:hAnsi="Calibri" w:cs="Calibri"/>
          <w:color w:val="000000"/>
          <w:sz w:val="20"/>
          <w:szCs w:val="20"/>
          <w:lang w:val="uk-UA" w:bidi="uk-UA"/>
        </w:rPr>
        <w:t xml:space="preserve"> ЦПК).</w:t>
      </w:r>
    </w:p>
    <w:p w14:paraId="77EAE457" w14:textId="77777777" w:rsidR="000C5A8A" w:rsidRPr="004257E0" w:rsidRDefault="000C5A8A" w:rsidP="00613662">
      <w:pPr>
        <w:pStyle w:val="zartzmartartykuempunktem"/>
        <w:numPr>
          <w:ilvl w:val="0"/>
          <w:numId w:val="2"/>
        </w:numPr>
        <w:tabs>
          <w:tab w:val="left" w:pos="426"/>
        </w:tabs>
        <w:spacing w:before="120" w:beforeAutospacing="0" w:after="0" w:afterAutospacing="0"/>
        <w:ind w:left="426" w:hanging="284"/>
        <w:jc w:val="both"/>
        <w:rPr>
          <w:rFonts w:ascii="Calibri" w:hAnsi="Calibri" w:cs="Calibri"/>
          <w:color w:val="000000"/>
          <w:sz w:val="20"/>
          <w:szCs w:val="20"/>
          <w:lang w:val="uk-UA"/>
        </w:rPr>
      </w:pPr>
      <w:r w:rsidRPr="000C5A8A">
        <w:rPr>
          <w:rFonts w:ascii="Calibri" w:eastAsia="Calibri" w:hAnsi="Calibri" w:cs="Calibri"/>
          <w:b/>
          <w:color w:val="000000"/>
          <w:sz w:val="20"/>
          <w:szCs w:val="20"/>
          <w:lang w:val="uk-UA" w:bidi="uk-UA"/>
        </w:rPr>
        <w:lastRenderedPageBreak/>
        <w:t>Неявка сторони на судове засідання</w:t>
      </w:r>
      <w:r w:rsidRPr="000C5A8A">
        <w:rPr>
          <w:rFonts w:ascii="Calibri" w:eastAsia="Calibri" w:hAnsi="Calibri" w:cs="Calibri"/>
          <w:color w:val="000000"/>
          <w:sz w:val="20"/>
          <w:szCs w:val="20"/>
          <w:lang w:val="uk-UA" w:bidi="uk-UA"/>
        </w:rPr>
        <w:t xml:space="preserve"> не є перешкодою для проведення провадження. Якщо сторона не з’явилася на виклик суду і не обґрунтувала свою неявку, вона може бути зобов’язана сплатити судові витрати (ст. 103 § 3 п. 1 ЦПК). </w:t>
      </w:r>
      <w:r w:rsidRPr="000C5A8A">
        <w:rPr>
          <w:rFonts w:ascii="Calibri" w:eastAsia="Calibri" w:hAnsi="Calibri" w:cs="Calibri"/>
          <w:b/>
          <w:color w:val="000000"/>
          <w:sz w:val="20"/>
          <w:szCs w:val="20"/>
          <w:lang w:val="uk-UA" w:bidi="uk-UA"/>
        </w:rPr>
        <w:t>Обґрунтування неявки через хворобу</w:t>
      </w:r>
      <w:r w:rsidRPr="000C5A8A">
        <w:rPr>
          <w:rFonts w:ascii="Calibri" w:eastAsia="Calibri" w:hAnsi="Calibri" w:cs="Calibri"/>
          <w:color w:val="000000"/>
          <w:sz w:val="20"/>
          <w:szCs w:val="20"/>
          <w:lang w:val="uk-UA" w:bidi="uk-UA"/>
        </w:rPr>
        <w:t xml:space="preserve"> сторін, їхніх законних представників, повноважних представників, свідків та інших учасників провадження </w:t>
      </w:r>
      <w:r w:rsidRPr="000C5A8A">
        <w:rPr>
          <w:rFonts w:ascii="Calibri" w:eastAsia="Calibri" w:hAnsi="Calibri" w:cs="Calibri"/>
          <w:b/>
          <w:color w:val="000000"/>
          <w:sz w:val="20"/>
          <w:szCs w:val="20"/>
          <w:lang w:val="uk-UA" w:bidi="uk-UA"/>
        </w:rPr>
        <w:t>вимагає подання довідки</w:t>
      </w:r>
      <w:r w:rsidRPr="000C5A8A">
        <w:rPr>
          <w:rFonts w:ascii="Calibri" w:eastAsia="Calibri" w:hAnsi="Calibri" w:cs="Calibri"/>
          <w:color w:val="000000"/>
          <w:sz w:val="20"/>
          <w:szCs w:val="20"/>
          <w:lang w:val="uk-UA" w:bidi="uk-UA"/>
        </w:rPr>
        <w:t xml:space="preserve">, що підтверджує неможливість з’явитися на виклик або повідомлення суду, </w:t>
      </w:r>
      <w:r w:rsidRPr="000C5A8A">
        <w:rPr>
          <w:rFonts w:ascii="Calibri" w:eastAsia="Calibri" w:hAnsi="Calibri" w:cs="Calibri"/>
          <w:b/>
          <w:color w:val="000000"/>
          <w:sz w:val="20"/>
          <w:szCs w:val="20"/>
          <w:lang w:val="uk-UA" w:bidi="uk-UA"/>
        </w:rPr>
        <w:t>виданої судовим лікарем</w:t>
      </w:r>
      <w:r w:rsidRPr="000C5A8A">
        <w:rPr>
          <w:rFonts w:ascii="Calibri" w:eastAsia="Calibri" w:hAnsi="Calibri" w:cs="Calibri"/>
          <w:color w:val="000000"/>
          <w:sz w:val="20"/>
          <w:szCs w:val="20"/>
          <w:lang w:val="uk-UA" w:bidi="uk-UA"/>
        </w:rPr>
        <w:t xml:space="preserve"> (ст. 214</w:t>
      </w:r>
      <w:r w:rsidRPr="000C5A8A">
        <w:rPr>
          <w:rFonts w:ascii="Calibri" w:eastAsia="Calibri" w:hAnsi="Calibri" w:cs="Calibri"/>
          <w:color w:val="000000"/>
          <w:sz w:val="20"/>
          <w:szCs w:val="20"/>
          <w:vertAlign w:val="superscript"/>
          <w:lang w:val="uk-UA" w:bidi="uk-UA"/>
        </w:rPr>
        <w:t>1</w:t>
      </w:r>
      <w:r w:rsidRPr="000C5A8A">
        <w:rPr>
          <w:rFonts w:ascii="Calibri" w:eastAsia="Calibri" w:hAnsi="Calibri" w:cs="Calibri"/>
          <w:color w:val="000000"/>
          <w:sz w:val="20"/>
          <w:szCs w:val="20"/>
          <w:lang w:val="uk-UA" w:bidi="uk-UA"/>
        </w:rPr>
        <w:t xml:space="preserve"> § 1 ЦПК).</w:t>
      </w:r>
    </w:p>
    <w:p w14:paraId="0946DC03" w14:textId="77777777" w:rsidR="00AE7C70" w:rsidRDefault="00AE7C70" w:rsidP="00613662">
      <w:pPr>
        <w:pStyle w:val="zartzmartartykuempunktem"/>
        <w:numPr>
          <w:ilvl w:val="0"/>
          <w:numId w:val="2"/>
        </w:numPr>
        <w:tabs>
          <w:tab w:val="left" w:pos="426"/>
        </w:tabs>
        <w:spacing w:before="120" w:beforeAutospacing="0" w:after="0" w:afterAutospacing="0"/>
        <w:ind w:left="426" w:hanging="284"/>
        <w:jc w:val="both"/>
        <w:rPr>
          <w:rFonts w:ascii="Calibri" w:hAnsi="Calibri" w:cs="Calibri"/>
          <w:color w:val="000000"/>
          <w:sz w:val="20"/>
          <w:szCs w:val="20"/>
        </w:rPr>
      </w:pPr>
      <w:r>
        <w:rPr>
          <w:rFonts w:ascii="Calibri" w:eastAsia="Calibri" w:hAnsi="Calibri" w:cs="Calibri"/>
          <w:color w:val="000000"/>
          <w:sz w:val="20"/>
          <w:szCs w:val="20"/>
          <w:lang w:val="uk-UA" w:bidi="uk-UA"/>
        </w:rPr>
        <w:t xml:space="preserve">Сторона повинна </w:t>
      </w:r>
      <w:r>
        <w:rPr>
          <w:rFonts w:ascii="Calibri" w:eastAsia="Calibri" w:hAnsi="Calibri" w:cs="Calibri"/>
          <w:b/>
          <w:color w:val="000000"/>
          <w:sz w:val="20"/>
          <w:szCs w:val="20"/>
          <w:lang w:val="uk-UA" w:bidi="uk-UA"/>
        </w:rPr>
        <w:t>звернути увагу суду на порушення процесуальних норм</w:t>
      </w:r>
      <w:r>
        <w:rPr>
          <w:rFonts w:ascii="Calibri" w:eastAsia="Calibri" w:hAnsi="Calibri" w:cs="Calibri"/>
          <w:color w:val="000000"/>
          <w:sz w:val="20"/>
          <w:szCs w:val="20"/>
          <w:lang w:val="uk-UA" w:bidi="uk-UA"/>
        </w:rPr>
        <w:t>, подавши клопотання про внесення заперечення до протоколу. Заперечення можна подати не пізніше наступного засідання (ст. 162 § 1 ЦПК).</w:t>
      </w:r>
    </w:p>
    <w:p w14:paraId="7E73230C" w14:textId="77777777" w:rsidR="002F43BD" w:rsidRPr="004257E0" w:rsidRDefault="002F43BD" w:rsidP="0045435E">
      <w:pPr>
        <w:widowControl w:val="0"/>
        <w:numPr>
          <w:ilvl w:val="0"/>
          <w:numId w:val="2"/>
        </w:numPr>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hanging="284"/>
        <w:jc w:val="both"/>
        <w:rPr>
          <w:rFonts w:ascii="Calibri" w:hAnsi="Calibri"/>
          <w:sz w:val="20"/>
          <w:szCs w:val="20"/>
          <w:lang w:val="uk-UA"/>
        </w:rPr>
      </w:pPr>
      <w:r w:rsidRPr="00AE7C70">
        <w:rPr>
          <w:rFonts w:ascii="Calibri" w:eastAsia="Calibri" w:hAnsi="Calibri" w:cs="Calibri"/>
          <w:sz w:val="20"/>
          <w:szCs w:val="20"/>
          <w:lang w:val="uk-UA" w:bidi="uk-UA"/>
        </w:rPr>
        <w:t xml:space="preserve">Сторони та їхні представники </w:t>
      </w:r>
      <w:r w:rsidRPr="00AE7C70">
        <w:rPr>
          <w:rFonts w:ascii="Calibri" w:eastAsia="Calibri" w:hAnsi="Calibri" w:cs="Calibri"/>
          <w:b/>
          <w:sz w:val="20"/>
          <w:szCs w:val="20"/>
          <w:lang w:val="uk-UA" w:bidi="uk-UA"/>
        </w:rPr>
        <w:t>зобов’язані повідомляти суд про кожну зміну свого місця проживання</w:t>
      </w:r>
      <w:r w:rsidRPr="00AE7C70">
        <w:rPr>
          <w:rFonts w:ascii="Calibri" w:eastAsia="Calibri" w:hAnsi="Calibri" w:cs="Calibri"/>
          <w:sz w:val="20"/>
          <w:szCs w:val="20"/>
          <w:lang w:val="uk-UA" w:bidi="uk-UA"/>
        </w:rPr>
        <w:t xml:space="preserve">, а у випадку сторін, які не є фізичними особами, - </w:t>
      </w:r>
      <w:r w:rsidRPr="00AE7C70">
        <w:rPr>
          <w:rFonts w:ascii="Calibri" w:eastAsia="Calibri" w:hAnsi="Calibri" w:cs="Calibri"/>
          <w:b/>
          <w:sz w:val="20"/>
          <w:szCs w:val="20"/>
          <w:lang w:val="uk-UA" w:bidi="uk-UA"/>
        </w:rPr>
        <w:t>адреси головного офісу</w:t>
      </w:r>
      <w:r w:rsidRPr="00AE7C70">
        <w:rPr>
          <w:rFonts w:ascii="Calibri" w:eastAsia="Calibri" w:hAnsi="Calibri" w:cs="Calibri"/>
          <w:sz w:val="20"/>
          <w:szCs w:val="20"/>
          <w:lang w:val="uk-UA" w:bidi="uk-UA"/>
        </w:rPr>
        <w:t xml:space="preserve">. Сторона, яка є </w:t>
      </w:r>
      <w:r w:rsidRPr="00AE7C70">
        <w:rPr>
          <w:rFonts w:ascii="Calibri" w:eastAsia="Calibri" w:hAnsi="Calibri" w:cs="Calibri"/>
          <w:b/>
          <w:sz w:val="20"/>
          <w:szCs w:val="20"/>
          <w:lang w:val="uk-UA" w:bidi="uk-UA"/>
        </w:rPr>
        <w:t>підприємцем, зареєстрованим у Центральному реєстрі та Інформаційній системі про господарську діяльність</w:t>
      </w:r>
      <w:r w:rsidRPr="00AE7C70">
        <w:rPr>
          <w:rFonts w:ascii="Calibri" w:eastAsia="Calibri" w:hAnsi="Calibri" w:cs="Calibri"/>
          <w:sz w:val="20"/>
          <w:szCs w:val="20"/>
          <w:lang w:val="uk-UA" w:bidi="uk-UA"/>
        </w:rPr>
        <w:t>, зобов’язана повідомляти суд про кожну зміну адреси для поштових відправлень, зазначеної в цьому реєстрі.</w:t>
      </w:r>
    </w:p>
    <w:p w14:paraId="221479E6" w14:textId="77777777" w:rsidR="002F43BD" w:rsidRPr="004257E0" w:rsidRDefault="002F43BD" w:rsidP="0045435E">
      <w:pPr>
        <w:widowControl w:val="0"/>
        <w:tabs>
          <w:tab w:val="left" w:pos="426"/>
          <w:tab w:val="left" w:pos="4956"/>
          <w:tab w:val="left" w:pos="5664"/>
          <w:tab w:val="left" w:pos="6372"/>
          <w:tab w:val="left" w:pos="7080"/>
          <w:tab w:val="left" w:pos="7788"/>
          <w:tab w:val="left" w:pos="8496"/>
          <w:tab w:val="left" w:pos="9204"/>
          <w:tab w:val="left" w:pos="9912"/>
        </w:tabs>
        <w:autoSpaceDE w:val="0"/>
        <w:autoSpaceDN w:val="0"/>
        <w:adjustRightInd w:val="0"/>
        <w:spacing w:before="120"/>
        <w:ind w:left="426"/>
        <w:jc w:val="both"/>
        <w:rPr>
          <w:rFonts w:ascii="Calibri" w:hAnsi="Calibri"/>
          <w:sz w:val="20"/>
          <w:szCs w:val="20"/>
          <w:lang w:val="ru-RU"/>
        </w:rPr>
      </w:pPr>
      <w:r w:rsidRPr="00AE7C70">
        <w:rPr>
          <w:rFonts w:ascii="Calibri" w:eastAsia="Calibri" w:hAnsi="Calibri" w:cs="Calibri"/>
          <w:sz w:val="20"/>
          <w:szCs w:val="20"/>
          <w:lang w:val="uk-UA" w:bidi="uk-UA"/>
        </w:rPr>
        <w:t xml:space="preserve">У разі невиконання вищезазначених зобов'язань судовий документ залишається у справі та вважається врученим, якщо нова адреса не відома суду (ст. 136 § 2 ЦПК). </w:t>
      </w:r>
    </w:p>
    <w:sectPr w:rsidR="002F43BD" w:rsidRPr="004257E0" w:rsidSect="0056301A">
      <w:footerReference w:type="default" r:id="rId8"/>
      <w:pgSz w:w="12240" w:h="15840"/>
      <w:pgMar w:top="1440"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D1C" w14:textId="77777777" w:rsidR="008E5BE6" w:rsidRDefault="008E5BE6" w:rsidP="000922E4">
      <w:r>
        <w:separator/>
      </w:r>
    </w:p>
  </w:endnote>
  <w:endnote w:type="continuationSeparator" w:id="0">
    <w:p w14:paraId="2EC625DB" w14:textId="77777777" w:rsidR="008E5BE6" w:rsidRDefault="008E5BE6" w:rsidP="0009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B00E" w14:textId="77777777" w:rsidR="00791D41" w:rsidRDefault="00791D41">
    <w:pPr>
      <w:pStyle w:val="Stopka"/>
      <w:jc w:val="center"/>
    </w:pPr>
    <w:r>
      <w:rPr>
        <w:lang w:val="uk-UA" w:bidi="uk-UA"/>
      </w:rPr>
      <w:fldChar w:fldCharType="begin"/>
    </w:r>
    <w:r>
      <w:rPr>
        <w:lang w:val="uk-UA" w:bidi="uk-UA"/>
      </w:rPr>
      <w:instrText>PAGE   \* MERGEFORMAT</w:instrText>
    </w:r>
    <w:r>
      <w:rPr>
        <w:lang w:val="uk-UA" w:bidi="uk-UA"/>
      </w:rPr>
      <w:fldChar w:fldCharType="separate"/>
    </w:r>
    <w:r>
      <w:rPr>
        <w:lang w:val="uk-UA" w:bidi="uk-UA"/>
      </w:rPr>
      <w:t>2</w:t>
    </w:r>
    <w:r>
      <w:rPr>
        <w:lang w:val="uk-UA" w:bidi="uk-UA"/>
      </w:rPr>
      <w:fldChar w:fldCharType="end"/>
    </w:r>
  </w:p>
  <w:p w14:paraId="06DCFF41" w14:textId="77777777" w:rsidR="00791D41" w:rsidRDefault="00791D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69F0" w14:textId="77777777" w:rsidR="008E5BE6" w:rsidRDefault="008E5BE6" w:rsidP="000922E4">
      <w:r>
        <w:separator/>
      </w:r>
    </w:p>
  </w:footnote>
  <w:footnote w:type="continuationSeparator" w:id="0">
    <w:p w14:paraId="21794AC2" w14:textId="77777777" w:rsidR="008E5BE6" w:rsidRDefault="008E5BE6" w:rsidP="00092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B9D"/>
    <w:multiLevelType w:val="hybridMultilevel"/>
    <w:tmpl w:val="8D20804A"/>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9EF41A7"/>
    <w:multiLevelType w:val="hybridMultilevel"/>
    <w:tmpl w:val="AC2A6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A157F"/>
    <w:multiLevelType w:val="hybridMultilevel"/>
    <w:tmpl w:val="011E186E"/>
    <w:lvl w:ilvl="0" w:tplc="8594F7F6">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B2D06F0"/>
    <w:multiLevelType w:val="hybridMultilevel"/>
    <w:tmpl w:val="A88447EA"/>
    <w:lvl w:ilvl="0" w:tplc="61F2F6B6">
      <w:start w:val="1"/>
      <w:numFmt w:val="upperRoman"/>
      <w:lvlText w:val="%1."/>
      <w:lvlJc w:val="right"/>
      <w:pPr>
        <w:ind w:left="36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F91575B"/>
    <w:multiLevelType w:val="hybridMultilevel"/>
    <w:tmpl w:val="FA52E8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687A44"/>
    <w:multiLevelType w:val="hybridMultilevel"/>
    <w:tmpl w:val="C0C852EC"/>
    <w:lvl w:ilvl="0" w:tplc="524ED2C4">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7A6119"/>
    <w:multiLevelType w:val="hybridMultilevel"/>
    <w:tmpl w:val="7B1440C2"/>
    <w:lvl w:ilvl="0" w:tplc="DE8E880A">
      <w:start w:val="1"/>
      <w:numFmt w:val="upperRoman"/>
      <w:lvlText w:val="%1."/>
      <w:lvlJc w:val="right"/>
      <w:pPr>
        <w:ind w:left="360" w:hanging="360"/>
      </w:pPr>
      <w:rPr>
        <w:b w:val="0"/>
      </w:rPr>
    </w:lvl>
    <w:lvl w:ilvl="1" w:tplc="04150001">
      <w:start w:val="1"/>
      <w:numFmt w:val="bullet"/>
      <w:lvlText w:val=""/>
      <w:lvlJc w:val="left"/>
      <w:pPr>
        <w:ind w:left="928"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D550E5E"/>
    <w:multiLevelType w:val="hybridMultilevel"/>
    <w:tmpl w:val="DD8494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540B5F17"/>
    <w:multiLevelType w:val="hybridMultilevel"/>
    <w:tmpl w:val="CD3636BC"/>
    <w:lvl w:ilvl="0" w:tplc="4F90BCEA">
      <w:start w:val="1"/>
      <w:numFmt w:val="upperRoman"/>
      <w:lvlText w:val="%1."/>
      <w:lvlJc w:val="right"/>
      <w:pPr>
        <w:ind w:left="360" w:hanging="360"/>
      </w:pPr>
      <w:rPr>
        <w:rFonts w:ascii="Calibri" w:hAnsi="Calibri" w:hint="default"/>
        <w:b w:val="0"/>
        <w:sz w:val="20"/>
        <w:szCs w:val="20"/>
      </w:rPr>
    </w:lvl>
    <w:lvl w:ilvl="1" w:tplc="04150019">
      <w:start w:val="1"/>
      <w:numFmt w:val="lowerLetter"/>
      <w:lvlText w:val="%2."/>
      <w:lvlJc w:val="left"/>
      <w:pPr>
        <w:ind w:left="1800" w:hanging="360"/>
      </w:pPr>
    </w:lvl>
    <w:lvl w:ilvl="2" w:tplc="25D6D398">
      <w:start w:val="1"/>
      <w:numFmt w:val="lowerLetter"/>
      <w:lvlText w:val="%3)"/>
      <w:lvlJc w:val="left"/>
      <w:pPr>
        <w:ind w:left="2700" w:hanging="360"/>
      </w:pPr>
      <w:rPr>
        <w:rFonts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95D1BF7"/>
    <w:multiLevelType w:val="hybridMultilevel"/>
    <w:tmpl w:val="FD847284"/>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6B113864"/>
    <w:multiLevelType w:val="hybridMultilevel"/>
    <w:tmpl w:val="93083406"/>
    <w:lvl w:ilvl="0" w:tplc="0415000F">
      <w:start w:val="1"/>
      <w:numFmt w:val="upperRoman"/>
      <w:lvlText w:val="%1."/>
      <w:lvlJc w:val="left"/>
      <w:pPr>
        <w:ind w:left="720" w:hanging="7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203316F"/>
    <w:multiLevelType w:val="hybridMultilevel"/>
    <w:tmpl w:val="702CD5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60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74913CFB"/>
    <w:multiLevelType w:val="hybridMultilevel"/>
    <w:tmpl w:val="C78CF08E"/>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7">
      <w:start w:val="1"/>
      <w:numFmt w:val="lowerLetter"/>
      <w:lvlText w:val="%3)"/>
      <w:lvlJc w:val="left"/>
      <w:pPr>
        <w:ind w:left="606"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15:restartNumberingAfterBreak="0">
    <w:nsid w:val="7EF1354D"/>
    <w:multiLevelType w:val="hybridMultilevel"/>
    <w:tmpl w:val="CAEEBB50"/>
    <w:lvl w:ilvl="0" w:tplc="6C742AD4">
      <w:start w:val="1"/>
      <w:numFmt w:val="upperRoman"/>
      <w:lvlText w:val="%1."/>
      <w:lvlJc w:val="right"/>
      <w:pPr>
        <w:ind w:left="36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208224308">
    <w:abstractNumId w:val="5"/>
  </w:num>
  <w:num w:numId="2" w16cid:durableId="315577257">
    <w:abstractNumId w:val="8"/>
  </w:num>
  <w:num w:numId="3" w16cid:durableId="1344892772">
    <w:abstractNumId w:val="2"/>
  </w:num>
  <w:num w:numId="4" w16cid:durableId="28882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140890">
    <w:abstractNumId w:val="6"/>
  </w:num>
  <w:num w:numId="6" w16cid:durableId="1564566168">
    <w:abstractNumId w:val="9"/>
  </w:num>
  <w:num w:numId="7" w16cid:durableId="736053897">
    <w:abstractNumId w:val="0"/>
  </w:num>
  <w:num w:numId="8" w16cid:durableId="1093090637">
    <w:abstractNumId w:val="4"/>
  </w:num>
  <w:num w:numId="9" w16cid:durableId="1927960791">
    <w:abstractNumId w:val="13"/>
  </w:num>
  <w:num w:numId="10" w16cid:durableId="35936203">
    <w:abstractNumId w:val="12"/>
  </w:num>
  <w:num w:numId="11" w16cid:durableId="1157844218">
    <w:abstractNumId w:val="7"/>
  </w:num>
  <w:num w:numId="12" w16cid:durableId="1601450540">
    <w:abstractNumId w:val="11"/>
  </w:num>
  <w:num w:numId="13" w16cid:durableId="1998805733">
    <w:abstractNumId w:val="3"/>
  </w:num>
  <w:num w:numId="14" w16cid:durableId="1460999596">
    <w:abstractNumId w:val="10"/>
  </w:num>
  <w:num w:numId="15" w16cid:durableId="554700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72B88"/>
    <w:rsid w:val="00001F79"/>
    <w:rsid w:val="000104DA"/>
    <w:rsid w:val="00015859"/>
    <w:rsid w:val="00021C63"/>
    <w:rsid w:val="000221A0"/>
    <w:rsid w:val="000275C8"/>
    <w:rsid w:val="00036C62"/>
    <w:rsid w:val="00042EBC"/>
    <w:rsid w:val="00053C3F"/>
    <w:rsid w:val="00060ABD"/>
    <w:rsid w:val="00060D6A"/>
    <w:rsid w:val="0006194A"/>
    <w:rsid w:val="000922E4"/>
    <w:rsid w:val="00092333"/>
    <w:rsid w:val="00094891"/>
    <w:rsid w:val="00097367"/>
    <w:rsid w:val="00097517"/>
    <w:rsid w:val="000A7E18"/>
    <w:rsid w:val="000B2B88"/>
    <w:rsid w:val="000B5259"/>
    <w:rsid w:val="000C5920"/>
    <w:rsid w:val="000C5A8A"/>
    <w:rsid w:val="000D4F8F"/>
    <w:rsid w:val="000D6AB1"/>
    <w:rsid w:val="000F529C"/>
    <w:rsid w:val="00106297"/>
    <w:rsid w:val="001225BB"/>
    <w:rsid w:val="00124DF3"/>
    <w:rsid w:val="00133171"/>
    <w:rsid w:val="00137B0D"/>
    <w:rsid w:val="00140510"/>
    <w:rsid w:val="001518D4"/>
    <w:rsid w:val="00152B45"/>
    <w:rsid w:val="00161F41"/>
    <w:rsid w:val="00165B84"/>
    <w:rsid w:val="00171290"/>
    <w:rsid w:val="00190E27"/>
    <w:rsid w:val="00191A2D"/>
    <w:rsid w:val="001A22F0"/>
    <w:rsid w:val="001B0A11"/>
    <w:rsid w:val="001C570C"/>
    <w:rsid w:val="001E10ED"/>
    <w:rsid w:val="001E528D"/>
    <w:rsid w:val="001F24C3"/>
    <w:rsid w:val="001F7EAD"/>
    <w:rsid w:val="00230C62"/>
    <w:rsid w:val="002459D0"/>
    <w:rsid w:val="00251F7C"/>
    <w:rsid w:val="00261061"/>
    <w:rsid w:val="00263D9F"/>
    <w:rsid w:val="002874D9"/>
    <w:rsid w:val="0029326E"/>
    <w:rsid w:val="00297041"/>
    <w:rsid w:val="002B753E"/>
    <w:rsid w:val="002C6C78"/>
    <w:rsid w:val="002D239B"/>
    <w:rsid w:val="002D4B40"/>
    <w:rsid w:val="002E292D"/>
    <w:rsid w:val="002E6094"/>
    <w:rsid w:val="002F43BD"/>
    <w:rsid w:val="002F69C6"/>
    <w:rsid w:val="00326EDF"/>
    <w:rsid w:val="0033267A"/>
    <w:rsid w:val="00342474"/>
    <w:rsid w:val="00343704"/>
    <w:rsid w:val="00345A26"/>
    <w:rsid w:val="0035065E"/>
    <w:rsid w:val="00351608"/>
    <w:rsid w:val="00366614"/>
    <w:rsid w:val="003742A8"/>
    <w:rsid w:val="00377543"/>
    <w:rsid w:val="00397679"/>
    <w:rsid w:val="003A3E11"/>
    <w:rsid w:val="003A5BBF"/>
    <w:rsid w:val="003D571B"/>
    <w:rsid w:val="003E59EB"/>
    <w:rsid w:val="0040091A"/>
    <w:rsid w:val="00401755"/>
    <w:rsid w:val="00410BDD"/>
    <w:rsid w:val="00412E66"/>
    <w:rsid w:val="00413B66"/>
    <w:rsid w:val="004229A8"/>
    <w:rsid w:val="004257E0"/>
    <w:rsid w:val="00431391"/>
    <w:rsid w:val="00437F9D"/>
    <w:rsid w:val="00441A24"/>
    <w:rsid w:val="0044756F"/>
    <w:rsid w:val="00450982"/>
    <w:rsid w:val="0045435E"/>
    <w:rsid w:val="0045527A"/>
    <w:rsid w:val="00456E4F"/>
    <w:rsid w:val="004632F4"/>
    <w:rsid w:val="00472349"/>
    <w:rsid w:val="00483E54"/>
    <w:rsid w:val="004871E9"/>
    <w:rsid w:val="004A08D0"/>
    <w:rsid w:val="004B155B"/>
    <w:rsid w:val="004B5254"/>
    <w:rsid w:val="004C0B11"/>
    <w:rsid w:val="004D3480"/>
    <w:rsid w:val="004E621E"/>
    <w:rsid w:val="005005BA"/>
    <w:rsid w:val="00527FED"/>
    <w:rsid w:val="00552AC0"/>
    <w:rsid w:val="00554D27"/>
    <w:rsid w:val="00560157"/>
    <w:rsid w:val="005607EE"/>
    <w:rsid w:val="0056301A"/>
    <w:rsid w:val="00571066"/>
    <w:rsid w:val="005762D0"/>
    <w:rsid w:val="005763AB"/>
    <w:rsid w:val="005820C2"/>
    <w:rsid w:val="00593204"/>
    <w:rsid w:val="005B0C9C"/>
    <w:rsid w:val="005C19B0"/>
    <w:rsid w:val="005C2996"/>
    <w:rsid w:val="005C3422"/>
    <w:rsid w:val="005D750A"/>
    <w:rsid w:val="005E7BD2"/>
    <w:rsid w:val="005F1848"/>
    <w:rsid w:val="0060329F"/>
    <w:rsid w:val="00611290"/>
    <w:rsid w:val="00613662"/>
    <w:rsid w:val="00617E10"/>
    <w:rsid w:val="0062057D"/>
    <w:rsid w:val="0063413F"/>
    <w:rsid w:val="006369EE"/>
    <w:rsid w:val="006423C2"/>
    <w:rsid w:val="0064626A"/>
    <w:rsid w:val="00646855"/>
    <w:rsid w:val="00656CEE"/>
    <w:rsid w:val="006575E0"/>
    <w:rsid w:val="00672F1F"/>
    <w:rsid w:val="006735C8"/>
    <w:rsid w:val="00683EA6"/>
    <w:rsid w:val="00686A58"/>
    <w:rsid w:val="00693622"/>
    <w:rsid w:val="006B077D"/>
    <w:rsid w:val="006B0F1E"/>
    <w:rsid w:val="006D2749"/>
    <w:rsid w:val="006D3463"/>
    <w:rsid w:val="006D3989"/>
    <w:rsid w:val="006E0132"/>
    <w:rsid w:val="006E2C44"/>
    <w:rsid w:val="006F0327"/>
    <w:rsid w:val="007038A7"/>
    <w:rsid w:val="007140DF"/>
    <w:rsid w:val="007148F2"/>
    <w:rsid w:val="007160F5"/>
    <w:rsid w:val="00725655"/>
    <w:rsid w:val="00726BE9"/>
    <w:rsid w:val="00736459"/>
    <w:rsid w:val="00754971"/>
    <w:rsid w:val="00756913"/>
    <w:rsid w:val="007611E2"/>
    <w:rsid w:val="007615A6"/>
    <w:rsid w:val="00766A9C"/>
    <w:rsid w:val="00767C5F"/>
    <w:rsid w:val="00774782"/>
    <w:rsid w:val="00775AC7"/>
    <w:rsid w:val="00791D41"/>
    <w:rsid w:val="007C339F"/>
    <w:rsid w:val="007C3E59"/>
    <w:rsid w:val="007E1CB5"/>
    <w:rsid w:val="007E1E5B"/>
    <w:rsid w:val="007E2331"/>
    <w:rsid w:val="007E617E"/>
    <w:rsid w:val="007F1115"/>
    <w:rsid w:val="008009FA"/>
    <w:rsid w:val="0080407C"/>
    <w:rsid w:val="008049FE"/>
    <w:rsid w:val="00806B55"/>
    <w:rsid w:val="00823683"/>
    <w:rsid w:val="00824F3A"/>
    <w:rsid w:val="00826AAD"/>
    <w:rsid w:val="00832743"/>
    <w:rsid w:val="0084531A"/>
    <w:rsid w:val="00852201"/>
    <w:rsid w:val="0085423F"/>
    <w:rsid w:val="00856B43"/>
    <w:rsid w:val="0086061C"/>
    <w:rsid w:val="008627CB"/>
    <w:rsid w:val="00863ACE"/>
    <w:rsid w:val="00864AAE"/>
    <w:rsid w:val="00894697"/>
    <w:rsid w:val="008B24FC"/>
    <w:rsid w:val="008B7222"/>
    <w:rsid w:val="008C0D17"/>
    <w:rsid w:val="008D1F13"/>
    <w:rsid w:val="008E5BE6"/>
    <w:rsid w:val="008E6006"/>
    <w:rsid w:val="008E63E4"/>
    <w:rsid w:val="008E79A0"/>
    <w:rsid w:val="008E7AD7"/>
    <w:rsid w:val="008F1EAB"/>
    <w:rsid w:val="008F69D2"/>
    <w:rsid w:val="0091129D"/>
    <w:rsid w:val="00923980"/>
    <w:rsid w:val="00924438"/>
    <w:rsid w:val="00926266"/>
    <w:rsid w:val="009279BA"/>
    <w:rsid w:val="009342EC"/>
    <w:rsid w:val="0094239A"/>
    <w:rsid w:val="009457E2"/>
    <w:rsid w:val="009562A1"/>
    <w:rsid w:val="009575DF"/>
    <w:rsid w:val="009669FE"/>
    <w:rsid w:val="00970680"/>
    <w:rsid w:val="00971F73"/>
    <w:rsid w:val="00973251"/>
    <w:rsid w:val="00974348"/>
    <w:rsid w:val="00977FDC"/>
    <w:rsid w:val="00993E13"/>
    <w:rsid w:val="009959B1"/>
    <w:rsid w:val="009A345D"/>
    <w:rsid w:val="009A5914"/>
    <w:rsid w:val="009B3C99"/>
    <w:rsid w:val="009B5667"/>
    <w:rsid w:val="009C22F8"/>
    <w:rsid w:val="009C64A3"/>
    <w:rsid w:val="009F43A6"/>
    <w:rsid w:val="009F56AF"/>
    <w:rsid w:val="00A007BD"/>
    <w:rsid w:val="00A10954"/>
    <w:rsid w:val="00A1339F"/>
    <w:rsid w:val="00A16767"/>
    <w:rsid w:val="00A17812"/>
    <w:rsid w:val="00A27A95"/>
    <w:rsid w:val="00A3475B"/>
    <w:rsid w:val="00A52906"/>
    <w:rsid w:val="00A60DC3"/>
    <w:rsid w:val="00A6183F"/>
    <w:rsid w:val="00A7711F"/>
    <w:rsid w:val="00A91163"/>
    <w:rsid w:val="00A9520A"/>
    <w:rsid w:val="00A95BD8"/>
    <w:rsid w:val="00AA18AB"/>
    <w:rsid w:val="00AB24EC"/>
    <w:rsid w:val="00AB48C0"/>
    <w:rsid w:val="00AB6215"/>
    <w:rsid w:val="00AB7AA2"/>
    <w:rsid w:val="00AD1F73"/>
    <w:rsid w:val="00AE7C70"/>
    <w:rsid w:val="00AF0131"/>
    <w:rsid w:val="00AF3BA2"/>
    <w:rsid w:val="00B00454"/>
    <w:rsid w:val="00B00786"/>
    <w:rsid w:val="00B04461"/>
    <w:rsid w:val="00B0754D"/>
    <w:rsid w:val="00B07BD0"/>
    <w:rsid w:val="00B13433"/>
    <w:rsid w:val="00B17D5A"/>
    <w:rsid w:val="00B24949"/>
    <w:rsid w:val="00B26627"/>
    <w:rsid w:val="00B43E25"/>
    <w:rsid w:val="00B47D98"/>
    <w:rsid w:val="00B630D3"/>
    <w:rsid w:val="00B64AA3"/>
    <w:rsid w:val="00B76BF1"/>
    <w:rsid w:val="00B778ED"/>
    <w:rsid w:val="00B81212"/>
    <w:rsid w:val="00B82C95"/>
    <w:rsid w:val="00B91E27"/>
    <w:rsid w:val="00BB3C90"/>
    <w:rsid w:val="00BC3F6F"/>
    <w:rsid w:val="00BC692B"/>
    <w:rsid w:val="00BD5258"/>
    <w:rsid w:val="00BE40FD"/>
    <w:rsid w:val="00BF2A40"/>
    <w:rsid w:val="00BF2C53"/>
    <w:rsid w:val="00C01C04"/>
    <w:rsid w:val="00C02EF5"/>
    <w:rsid w:val="00C104CB"/>
    <w:rsid w:val="00C11692"/>
    <w:rsid w:val="00C11991"/>
    <w:rsid w:val="00C1481C"/>
    <w:rsid w:val="00C30CB4"/>
    <w:rsid w:val="00C343BC"/>
    <w:rsid w:val="00C5571A"/>
    <w:rsid w:val="00C607AB"/>
    <w:rsid w:val="00C668DF"/>
    <w:rsid w:val="00C80174"/>
    <w:rsid w:val="00C81F8A"/>
    <w:rsid w:val="00C84D44"/>
    <w:rsid w:val="00C85791"/>
    <w:rsid w:val="00C96502"/>
    <w:rsid w:val="00CB528D"/>
    <w:rsid w:val="00CB7E69"/>
    <w:rsid w:val="00CF0B80"/>
    <w:rsid w:val="00CF3479"/>
    <w:rsid w:val="00CF562F"/>
    <w:rsid w:val="00D020E9"/>
    <w:rsid w:val="00D10916"/>
    <w:rsid w:val="00D12720"/>
    <w:rsid w:val="00D30F63"/>
    <w:rsid w:val="00D35BFD"/>
    <w:rsid w:val="00D40F88"/>
    <w:rsid w:val="00D51E8F"/>
    <w:rsid w:val="00D52761"/>
    <w:rsid w:val="00D605D4"/>
    <w:rsid w:val="00D622D1"/>
    <w:rsid w:val="00D64768"/>
    <w:rsid w:val="00D65089"/>
    <w:rsid w:val="00D72F08"/>
    <w:rsid w:val="00D74148"/>
    <w:rsid w:val="00D76A87"/>
    <w:rsid w:val="00D82456"/>
    <w:rsid w:val="00D82B6E"/>
    <w:rsid w:val="00D865F0"/>
    <w:rsid w:val="00D903D9"/>
    <w:rsid w:val="00D9224D"/>
    <w:rsid w:val="00DA718D"/>
    <w:rsid w:val="00DB4BE3"/>
    <w:rsid w:val="00DB56EF"/>
    <w:rsid w:val="00DB652A"/>
    <w:rsid w:val="00DC55A1"/>
    <w:rsid w:val="00DE284D"/>
    <w:rsid w:val="00DE6EA1"/>
    <w:rsid w:val="00DF3F40"/>
    <w:rsid w:val="00DF4E60"/>
    <w:rsid w:val="00E12589"/>
    <w:rsid w:val="00E16298"/>
    <w:rsid w:val="00E168B1"/>
    <w:rsid w:val="00E2189C"/>
    <w:rsid w:val="00E2685F"/>
    <w:rsid w:val="00E40416"/>
    <w:rsid w:val="00E40807"/>
    <w:rsid w:val="00E4181D"/>
    <w:rsid w:val="00E54872"/>
    <w:rsid w:val="00E56394"/>
    <w:rsid w:val="00E5647D"/>
    <w:rsid w:val="00E6203F"/>
    <w:rsid w:val="00E633C3"/>
    <w:rsid w:val="00E6531D"/>
    <w:rsid w:val="00E66A44"/>
    <w:rsid w:val="00E72B88"/>
    <w:rsid w:val="00E772EA"/>
    <w:rsid w:val="00E869C9"/>
    <w:rsid w:val="00E90DE5"/>
    <w:rsid w:val="00E937BE"/>
    <w:rsid w:val="00EA3D33"/>
    <w:rsid w:val="00EC2BBF"/>
    <w:rsid w:val="00ED2E48"/>
    <w:rsid w:val="00ED582B"/>
    <w:rsid w:val="00EE1AD3"/>
    <w:rsid w:val="00EE7F7E"/>
    <w:rsid w:val="00EF1FC2"/>
    <w:rsid w:val="00EF33AB"/>
    <w:rsid w:val="00EF3A62"/>
    <w:rsid w:val="00F02506"/>
    <w:rsid w:val="00F134B7"/>
    <w:rsid w:val="00F35E91"/>
    <w:rsid w:val="00F52B5E"/>
    <w:rsid w:val="00F544A4"/>
    <w:rsid w:val="00F60042"/>
    <w:rsid w:val="00F6485D"/>
    <w:rsid w:val="00F70B3D"/>
    <w:rsid w:val="00F73F99"/>
    <w:rsid w:val="00F746B3"/>
    <w:rsid w:val="00F84407"/>
    <w:rsid w:val="00FB0435"/>
    <w:rsid w:val="00FB3FA2"/>
    <w:rsid w:val="00FE6068"/>
    <w:rsid w:val="00FE72B4"/>
    <w:rsid w:val="00FF373C"/>
    <w:rsid w:val="00FF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91C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B88"/>
    <w:rPr>
      <w:rFonts w:ascii="Times New Roman" w:eastAsia="Times New Roman" w:hAnsi="Times New Roman"/>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gindeksgrny">
    <w:name w:val="igindeksgrny"/>
    <w:rsid w:val="00E6531D"/>
  </w:style>
  <w:style w:type="paragraph" w:customStyle="1" w:styleId="zartzmartartykuempunktem">
    <w:name w:val="zartzmartartykuempunktem"/>
    <w:basedOn w:val="Normalny"/>
    <w:rsid w:val="001E528D"/>
    <w:pPr>
      <w:spacing w:before="100" w:beforeAutospacing="1" w:after="100" w:afterAutospacing="1"/>
    </w:pPr>
  </w:style>
  <w:style w:type="paragraph" w:customStyle="1" w:styleId="zustzmustartykuempunktem">
    <w:name w:val="zustzmustartykuempunktem"/>
    <w:basedOn w:val="Normalny"/>
    <w:rsid w:val="001E528D"/>
    <w:pPr>
      <w:spacing w:before="100" w:beforeAutospacing="1" w:after="100" w:afterAutospacing="1"/>
    </w:pPr>
  </w:style>
  <w:style w:type="paragraph" w:styleId="Tekstprzypisukocowego">
    <w:name w:val="endnote text"/>
    <w:basedOn w:val="Normalny"/>
    <w:link w:val="TekstprzypisukocowegoZnak"/>
    <w:uiPriority w:val="99"/>
    <w:semiHidden/>
    <w:unhideWhenUsed/>
    <w:rsid w:val="000922E4"/>
    <w:rPr>
      <w:sz w:val="20"/>
      <w:szCs w:val="20"/>
    </w:rPr>
  </w:style>
  <w:style w:type="character" w:customStyle="1" w:styleId="TekstprzypisukocowegoZnak">
    <w:name w:val="Tekst przypisu końcowego Znak"/>
    <w:link w:val="Tekstprzypisukocowego"/>
    <w:uiPriority w:val="99"/>
    <w:semiHidden/>
    <w:rsid w:val="000922E4"/>
    <w:rPr>
      <w:rFonts w:ascii="Times New Roman" w:eastAsia="Times New Roman" w:hAnsi="Times New Roman"/>
    </w:rPr>
  </w:style>
  <w:style w:type="character" w:styleId="Odwoanieprzypisukocowego">
    <w:name w:val="endnote reference"/>
    <w:uiPriority w:val="99"/>
    <w:semiHidden/>
    <w:unhideWhenUsed/>
    <w:rsid w:val="000922E4"/>
    <w:rPr>
      <w:vertAlign w:val="superscript"/>
    </w:rPr>
  </w:style>
  <w:style w:type="paragraph" w:styleId="Nagwek">
    <w:name w:val="header"/>
    <w:basedOn w:val="Normalny"/>
    <w:link w:val="NagwekZnak"/>
    <w:uiPriority w:val="99"/>
    <w:unhideWhenUsed/>
    <w:rsid w:val="00791D41"/>
    <w:pPr>
      <w:tabs>
        <w:tab w:val="center" w:pos="4536"/>
        <w:tab w:val="right" w:pos="9072"/>
      </w:tabs>
    </w:pPr>
  </w:style>
  <w:style w:type="character" w:customStyle="1" w:styleId="NagwekZnak">
    <w:name w:val="Nagłówek Znak"/>
    <w:link w:val="Nagwek"/>
    <w:uiPriority w:val="99"/>
    <w:rsid w:val="00791D41"/>
    <w:rPr>
      <w:rFonts w:ascii="Times New Roman" w:eastAsia="Times New Roman" w:hAnsi="Times New Roman"/>
      <w:sz w:val="24"/>
      <w:szCs w:val="24"/>
    </w:rPr>
  </w:style>
  <w:style w:type="paragraph" w:styleId="Stopka">
    <w:name w:val="footer"/>
    <w:basedOn w:val="Normalny"/>
    <w:link w:val="StopkaZnak"/>
    <w:uiPriority w:val="99"/>
    <w:unhideWhenUsed/>
    <w:rsid w:val="00791D41"/>
    <w:pPr>
      <w:tabs>
        <w:tab w:val="center" w:pos="4536"/>
        <w:tab w:val="right" w:pos="9072"/>
      </w:tabs>
    </w:pPr>
  </w:style>
  <w:style w:type="character" w:customStyle="1" w:styleId="StopkaZnak">
    <w:name w:val="Stopka Znak"/>
    <w:link w:val="Stopka"/>
    <w:uiPriority w:val="99"/>
    <w:rsid w:val="00791D41"/>
    <w:rPr>
      <w:rFonts w:ascii="Times New Roman" w:eastAsia="Times New Roman" w:hAnsi="Times New Roman"/>
      <w:sz w:val="24"/>
      <w:szCs w:val="24"/>
    </w:rPr>
  </w:style>
  <w:style w:type="paragraph" w:styleId="Akapitzlist">
    <w:name w:val="List Paragraph"/>
    <w:basedOn w:val="Normalny"/>
    <w:uiPriority w:val="34"/>
    <w:qFormat/>
    <w:rsid w:val="00F73F9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30234">
      <w:bodyDiv w:val="1"/>
      <w:marLeft w:val="0"/>
      <w:marRight w:val="0"/>
      <w:marTop w:val="0"/>
      <w:marBottom w:val="0"/>
      <w:divBdr>
        <w:top w:val="none" w:sz="0" w:space="0" w:color="auto"/>
        <w:left w:val="none" w:sz="0" w:space="0" w:color="auto"/>
        <w:bottom w:val="none" w:sz="0" w:space="0" w:color="auto"/>
        <w:right w:val="none" w:sz="0" w:space="0" w:color="auto"/>
      </w:divBdr>
    </w:div>
    <w:div w:id="460420120">
      <w:bodyDiv w:val="1"/>
      <w:marLeft w:val="0"/>
      <w:marRight w:val="0"/>
      <w:marTop w:val="0"/>
      <w:marBottom w:val="0"/>
      <w:divBdr>
        <w:top w:val="none" w:sz="0" w:space="0" w:color="auto"/>
        <w:left w:val="none" w:sz="0" w:space="0" w:color="auto"/>
        <w:bottom w:val="none" w:sz="0" w:space="0" w:color="auto"/>
        <w:right w:val="none" w:sz="0" w:space="0" w:color="auto"/>
      </w:divBdr>
    </w:div>
    <w:div w:id="495416250">
      <w:bodyDiv w:val="1"/>
      <w:marLeft w:val="0"/>
      <w:marRight w:val="0"/>
      <w:marTop w:val="0"/>
      <w:marBottom w:val="0"/>
      <w:divBdr>
        <w:top w:val="none" w:sz="0" w:space="0" w:color="auto"/>
        <w:left w:val="none" w:sz="0" w:space="0" w:color="auto"/>
        <w:bottom w:val="none" w:sz="0" w:space="0" w:color="auto"/>
        <w:right w:val="none" w:sz="0" w:space="0" w:color="auto"/>
      </w:divBdr>
    </w:div>
    <w:div w:id="804158680">
      <w:bodyDiv w:val="1"/>
      <w:marLeft w:val="0"/>
      <w:marRight w:val="0"/>
      <w:marTop w:val="0"/>
      <w:marBottom w:val="0"/>
      <w:divBdr>
        <w:top w:val="none" w:sz="0" w:space="0" w:color="auto"/>
        <w:left w:val="none" w:sz="0" w:space="0" w:color="auto"/>
        <w:bottom w:val="none" w:sz="0" w:space="0" w:color="auto"/>
        <w:right w:val="none" w:sz="0" w:space="0" w:color="auto"/>
      </w:divBdr>
    </w:div>
    <w:div w:id="1194030896">
      <w:bodyDiv w:val="1"/>
      <w:marLeft w:val="0"/>
      <w:marRight w:val="0"/>
      <w:marTop w:val="0"/>
      <w:marBottom w:val="0"/>
      <w:divBdr>
        <w:top w:val="none" w:sz="0" w:space="0" w:color="auto"/>
        <w:left w:val="none" w:sz="0" w:space="0" w:color="auto"/>
        <w:bottom w:val="none" w:sz="0" w:space="0" w:color="auto"/>
        <w:right w:val="none" w:sz="0" w:space="0" w:color="auto"/>
      </w:divBdr>
    </w:div>
    <w:div w:id="1501500990">
      <w:bodyDiv w:val="1"/>
      <w:marLeft w:val="0"/>
      <w:marRight w:val="0"/>
      <w:marTop w:val="0"/>
      <w:marBottom w:val="0"/>
      <w:divBdr>
        <w:top w:val="none" w:sz="0" w:space="0" w:color="auto"/>
        <w:left w:val="none" w:sz="0" w:space="0" w:color="auto"/>
        <w:bottom w:val="none" w:sz="0" w:space="0" w:color="auto"/>
        <w:right w:val="none" w:sz="0" w:space="0" w:color="auto"/>
      </w:divBdr>
    </w:div>
    <w:div w:id="1585995817">
      <w:bodyDiv w:val="1"/>
      <w:marLeft w:val="0"/>
      <w:marRight w:val="0"/>
      <w:marTop w:val="0"/>
      <w:marBottom w:val="0"/>
      <w:divBdr>
        <w:top w:val="none" w:sz="0" w:space="0" w:color="auto"/>
        <w:left w:val="none" w:sz="0" w:space="0" w:color="auto"/>
        <w:bottom w:val="none" w:sz="0" w:space="0" w:color="auto"/>
        <w:right w:val="none" w:sz="0" w:space="0" w:color="auto"/>
      </w:divBdr>
    </w:div>
    <w:div w:id="1910799612">
      <w:bodyDiv w:val="1"/>
      <w:marLeft w:val="0"/>
      <w:marRight w:val="0"/>
      <w:marTop w:val="0"/>
      <w:marBottom w:val="0"/>
      <w:divBdr>
        <w:top w:val="none" w:sz="0" w:space="0" w:color="auto"/>
        <w:left w:val="none" w:sz="0" w:space="0" w:color="auto"/>
        <w:bottom w:val="none" w:sz="0" w:space="0" w:color="auto"/>
        <w:right w:val="none" w:sz="0" w:space="0" w:color="auto"/>
      </w:divBdr>
    </w:div>
    <w:div w:id="20349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566B-F084-4CF4-9551-AEF7ADD1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2554</Words>
  <Characters>14921</Characters>
  <Application>Microsoft Office Word</Application>
  <DocSecurity>0</DocSecurity>
  <Lines>204</Lines>
  <Paragraphs>64</Paragraphs>
  <ScaleCrop>false</ScaleCrop>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2026-04-10T10:50:00Z</dcterms:created>
  <dcterms:modified xsi:type="dcterms:W3CDTF">2026-04-10T10:50:00Z</dcterms:modified>
</cp:coreProperties>
</file>