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EA335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77777777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15 </w:t>
      </w:r>
      <w:r w:rsidRPr="00B1122B">
        <w:rPr>
          <w:rFonts w:ascii="Arial" w:hAnsi="Arial" w:cs="Arial"/>
          <w:sz w:val="24"/>
          <w:szCs w:val="24"/>
        </w:rPr>
        <w:t xml:space="preserve">października 2021 r. </w:t>
      </w:r>
    </w:p>
    <w:p w14:paraId="307ED41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2C7163" w:rsidRPr="00B1122B">
        <w:rPr>
          <w:rStyle w:val="FontStyle15"/>
          <w:rFonts w:ascii="Arial" w:hAnsi="Arial" w:cs="Arial"/>
        </w:rPr>
        <w:t xml:space="preserve"> ukośnik 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36DDE88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2C7163" w:rsidRPr="00B1122B">
        <w:rPr>
          <w:rStyle w:val="FontStyle15"/>
          <w:rFonts w:ascii="Arial" w:hAnsi="Arial" w:cs="Arial"/>
        </w:rPr>
        <w:t xml:space="preserve"> myślnik I</w:t>
      </w:r>
      <w:r w:rsidRPr="00B1122B">
        <w:rPr>
          <w:rStyle w:val="FontStyle15"/>
          <w:rFonts w:ascii="Arial" w:hAnsi="Arial" w:cs="Arial"/>
        </w:rPr>
        <w:t>I.9130.18.2021</w:t>
      </w:r>
    </w:p>
    <w:p w14:paraId="527B1380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IK: 2615504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77777777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 U. z 2021 r. poz. 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warszawskich, wydanych z naruszeniem prawa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Dz.U. z 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wyznaczam nowy termin 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 czerwca 2014 r. nr 259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GK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DW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 xml:space="preserve">2014 dotyczącej dawnej nieruchomości </w:t>
      </w:r>
      <w:proofErr w:type="spellStart"/>
      <w:r w:rsidRPr="00B1122B">
        <w:rPr>
          <w:rStyle w:val="FontStyle11"/>
          <w:rFonts w:ascii="Arial" w:hAnsi="Arial" w:cs="Arial"/>
        </w:rPr>
        <w:t>ozn</w:t>
      </w:r>
      <w:proofErr w:type="spellEnd"/>
      <w:r w:rsidRPr="00B1122B">
        <w:rPr>
          <w:rStyle w:val="FontStyle11"/>
          <w:rFonts w:ascii="Arial" w:hAnsi="Arial" w:cs="Arial"/>
        </w:rPr>
        <w:t>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2C7163" w:rsidRPr="00B1122B">
        <w:rPr>
          <w:rStyle w:val="FontStyle11"/>
          <w:rFonts w:ascii="Arial" w:hAnsi="Arial" w:cs="Arial"/>
        </w:rPr>
        <w:t xml:space="preserve"> myślnik </w:t>
      </w:r>
      <w:r w:rsidRPr="00B1122B">
        <w:rPr>
          <w:rStyle w:val="FontStyle11"/>
          <w:rFonts w:ascii="Arial" w:hAnsi="Arial" w:cs="Arial"/>
        </w:rPr>
        <w:t xml:space="preserve">2752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>, 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7 w obrębie 0215, uregulowanej w KW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00334349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00342184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Lenartowicza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lastRenderedPageBreak/>
        <w:t>00505560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4</w:t>
      </w:r>
      <w:r w:rsidR="002C7163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 xml:space="preserve">oraz części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 xml:space="preserve"> 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00372305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 xml:space="preserve">7  </w:t>
      </w:r>
      <w:r w:rsidRPr="00B1122B">
        <w:rPr>
          <w:rFonts w:ascii="Arial" w:hAnsi="Arial" w:cs="Arial"/>
          <w:bCs/>
          <w:sz w:val="24"/>
          <w:szCs w:val="24"/>
        </w:rPr>
        <w:t>do dnia 21 grudnia 2021 r. 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odmowie dopuszczenia do udziału w postępowaniu rozpoznawczym jako strony postępowania KR III R 40/18, ul.Bracka 23, ul.Bracka, ul.Widok [Udostępniono w BIP 12.08.2021 r.]</vt:lpstr>
    </vt:vector>
  </TitlesOfParts>
  <Company>MS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10/21 wersja cyfrowa [udostępniono w BIP w dniu 21.10.2021 r.]</dc:title>
  <dc:creator>Dalkowska Anna  (DWOiP)</dc:creator>
  <cp:lastModifiedBy>Rzewińska Dorota  (DPA)</cp:lastModifiedBy>
  <cp:revision>2</cp:revision>
  <cp:lastPrinted>2019-08-06T10:26:00Z</cp:lastPrinted>
  <dcterms:created xsi:type="dcterms:W3CDTF">2021-10-19T11:03:00Z</dcterms:created>
  <dcterms:modified xsi:type="dcterms:W3CDTF">2021-10-19T11:03:00Z</dcterms:modified>
</cp:coreProperties>
</file>