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50CA" w14:textId="6389345E" w:rsidR="005850D6" w:rsidRPr="005850D6" w:rsidRDefault="005850D6" w:rsidP="007B7F51">
      <w:pPr>
        <w:rPr>
          <w:b/>
          <w:bCs/>
        </w:rPr>
      </w:pPr>
      <w:r>
        <w:rPr>
          <w:b/>
          <w:bCs/>
        </w:rPr>
        <w:t xml:space="preserve">Grupa Robocza OECD ds. Przekupstwa wyraża </w:t>
      </w:r>
      <w:r w:rsidR="00D33509">
        <w:rPr>
          <w:b/>
          <w:bCs/>
        </w:rPr>
        <w:t>głębokie</w:t>
      </w:r>
      <w:r>
        <w:rPr>
          <w:b/>
          <w:bCs/>
        </w:rPr>
        <w:t xml:space="preserve"> zaniepokojenie brakiem postępów Polski</w:t>
      </w:r>
      <w:r w:rsidR="007B7F51">
        <w:rPr>
          <w:b/>
          <w:bCs/>
        </w:rPr>
        <w:t xml:space="preserve"> w </w:t>
      </w:r>
      <w:r>
        <w:rPr>
          <w:b/>
          <w:bCs/>
        </w:rPr>
        <w:t xml:space="preserve">zwalczaniu przekupstwa </w:t>
      </w:r>
      <w:r w:rsidR="00D33509">
        <w:rPr>
          <w:b/>
          <w:bCs/>
        </w:rPr>
        <w:t>zagranicznych funkcjonariuszy publicznych</w:t>
      </w:r>
    </w:p>
    <w:p w14:paraId="2F690CC2" w14:textId="77777777" w:rsidR="005850D6" w:rsidRPr="005850D6" w:rsidRDefault="005850D6" w:rsidP="007B7F51">
      <w:r>
        <w:t>Informacja prasowa</w:t>
      </w:r>
    </w:p>
    <w:p w14:paraId="6C1B2ADE" w14:textId="77777777" w:rsidR="005850D6" w:rsidRPr="005850D6" w:rsidRDefault="005850D6" w:rsidP="007B7F51">
      <w:r>
        <w:t>20 grudnia 2024 r.</w:t>
      </w:r>
    </w:p>
    <w:p w14:paraId="631B27BB" w14:textId="68A9E08F" w:rsidR="005850D6" w:rsidRPr="005850D6" w:rsidRDefault="005850D6" w:rsidP="007B7F51">
      <w:r>
        <w:t>Na posiedzeniu</w:t>
      </w:r>
      <w:r w:rsidR="007B7F51">
        <w:t xml:space="preserve"> w </w:t>
      </w:r>
      <w:r>
        <w:t>grudniu 2024 r. Grupa Robocza OECD ds. Przekupstwa postanowiła zwrócić się do Polski</w:t>
      </w:r>
      <w:r w:rsidR="007B7F51">
        <w:t xml:space="preserve"> o </w:t>
      </w:r>
      <w:r>
        <w:t>pilne opracowanie planu działa</w:t>
      </w:r>
      <w:r w:rsidR="007B7F51">
        <w:t>ń w </w:t>
      </w:r>
      <w:r>
        <w:t>celu wyeliminowania niedociągnięć we wdrażaniu Konwencji OECD</w:t>
      </w:r>
      <w:r w:rsidR="007B7F51">
        <w:t xml:space="preserve"> o </w:t>
      </w:r>
      <w:r>
        <w:t>zwalczaniu przekupstwa zagranicznych funkcjonariuszy publicznych</w:t>
      </w:r>
      <w:r w:rsidR="007B7F51">
        <w:t xml:space="preserve"> w </w:t>
      </w:r>
      <w:r>
        <w:t xml:space="preserve">międzynarodowych transakcjach handlowych. </w:t>
      </w:r>
      <w:r w:rsidRPr="001D52A5">
        <w:t>Zgodnie</w:t>
      </w:r>
      <w:r w:rsidR="007B7F51">
        <w:t xml:space="preserve"> z </w:t>
      </w:r>
      <w:hyperlink r:id="rId7" w:tgtFrame="_blank" w:tooltip="nowe sprawozdanie z oceny następczej" w:history="1">
        <w:r w:rsidRPr="001D52A5">
          <w:rPr>
            <w:rStyle w:val="Hipercze"/>
          </w:rPr>
          <w:t xml:space="preserve">nowym </w:t>
        </w:r>
        <w:r w:rsidR="001D52A5">
          <w:rPr>
            <w:rStyle w:val="Hipercze"/>
          </w:rPr>
          <w:t>sprawozdaniem</w:t>
        </w:r>
        <w:r w:rsidR="00834C84">
          <w:rPr>
            <w:rStyle w:val="Hipercze"/>
          </w:rPr>
          <w:t xml:space="preserve"> uzupełniającym</w:t>
        </w:r>
      </w:hyperlink>
      <w:r>
        <w:t xml:space="preserve"> Polska poczyniła </w:t>
      </w:r>
      <w:r w:rsidR="007B7F51">
        <w:t>w ostatnich dwóch latach</w:t>
      </w:r>
      <w:r w:rsidR="007B7F51">
        <w:t xml:space="preserve"> </w:t>
      </w:r>
      <w:r>
        <w:t>niewystarczające postępy</w:t>
      </w:r>
      <w:r w:rsidR="007B7F51">
        <w:t xml:space="preserve"> w </w:t>
      </w:r>
      <w:r>
        <w:t>kluczowych obszarach,</w:t>
      </w:r>
      <w:r w:rsidR="007B7F51">
        <w:t xml:space="preserve"> a </w:t>
      </w:r>
      <w:r>
        <w:t>zdecydowana większość zaleceń Grupy Roboczej</w:t>
      </w:r>
      <w:r w:rsidR="007B7F51">
        <w:t xml:space="preserve"> z </w:t>
      </w:r>
      <w:r>
        <w:t>2022 r. nie została wdrożona</w:t>
      </w:r>
      <w:r w:rsidR="007B7F51">
        <w:t>.</w:t>
      </w:r>
    </w:p>
    <w:p w14:paraId="23D013B2" w14:textId="7A3AE0D6" w:rsidR="005850D6" w:rsidRPr="005850D6" w:rsidRDefault="005850D6" w:rsidP="007B7F51">
      <w:r>
        <w:t xml:space="preserve">Grupa Robocza jest poważnie zaniepokojona brakiem znaczących </w:t>
      </w:r>
      <w:r w:rsidR="007B7F51">
        <w:t>działań na rzecz</w:t>
      </w:r>
      <w:r>
        <w:t xml:space="preserve"> wdrożenia zaleceń dotyczących </w:t>
      </w:r>
      <w:r w:rsidR="00032330">
        <w:t>niezależności prokuratury</w:t>
      </w:r>
      <w:r w:rsidR="007B7F51">
        <w:t xml:space="preserve"> i </w:t>
      </w:r>
      <w:r w:rsidR="00032330">
        <w:t>sądownictwa</w:t>
      </w:r>
      <w:r w:rsidR="00B14805">
        <w:t xml:space="preserve"> </w:t>
      </w:r>
      <w:r w:rsidR="00EB2BCE">
        <w:t>wynikającej</w:t>
      </w:r>
      <w:r w:rsidR="007B7F51">
        <w:t xml:space="preserve"> z </w:t>
      </w:r>
      <w:r>
        <w:t xml:space="preserve">art. 5 Konwencji. Ustawa mająca na celu zapewnienie, </w:t>
      </w:r>
      <w:r w:rsidR="00EB2BCE">
        <w:t>by</w:t>
      </w:r>
      <w:r>
        <w:t xml:space="preserve"> większość Krajowej Rady Sądownictwa </w:t>
      </w:r>
      <w:r w:rsidR="00EB2BCE">
        <w:t xml:space="preserve">wybierano </w:t>
      </w:r>
      <w:r>
        <w:t>bez wpływu władzy wykonawczej</w:t>
      </w:r>
      <w:r w:rsidR="007B7F51">
        <w:t xml:space="preserve"> i </w:t>
      </w:r>
      <w:r>
        <w:t>ustawodawczej, została przyjęta</w:t>
      </w:r>
      <w:r w:rsidR="007B7F51">
        <w:t xml:space="preserve"> w </w:t>
      </w:r>
      <w:r>
        <w:t>lipcu 2024 r., ale nadal nie weszła</w:t>
      </w:r>
      <w:r w:rsidR="007B7F51">
        <w:t xml:space="preserve"> w </w:t>
      </w:r>
      <w:r>
        <w:t>życie</w:t>
      </w:r>
      <w:r w:rsidR="00EB2BCE">
        <w:t>,</w:t>
      </w:r>
      <w:r>
        <w:t xml:space="preserve"> </w:t>
      </w:r>
      <w:r w:rsidR="00EB2BCE">
        <w:t>ponieważ oczekuje na rozpatrzenie przez</w:t>
      </w:r>
      <w:r>
        <w:t xml:space="preserve"> Trybuna</w:t>
      </w:r>
      <w:r w:rsidR="00EB2BCE">
        <w:t>ł</w:t>
      </w:r>
      <w:r>
        <w:t xml:space="preserve"> Konstytucyjny, </w:t>
      </w:r>
      <w:r w:rsidR="00EB2BCE">
        <w:t>do którego skierował ją</w:t>
      </w:r>
      <w:r>
        <w:t xml:space="preserve"> Prezydent </w:t>
      </w:r>
      <w:r w:rsidR="00EB2BCE">
        <w:t>Rzeczypospolitej</w:t>
      </w:r>
      <w:r>
        <w:t>. Minister Sprawiedliwości pozostaje Prokuratorem Generalnym,</w:t>
      </w:r>
      <w:r w:rsidR="007B7F51">
        <w:t xml:space="preserve"> a </w:t>
      </w:r>
      <w:r>
        <w:t>zatem</w:t>
      </w:r>
      <w:r w:rsidR="007B7F51">
        <w:t xml:space="preserve"> w </w:t>
      </w:r>
      <w:r w:rsidR="00032330">
        <w:t>dalszym ciągu</w:t>
      </w:r>
      <w:r>
        <w:t xml:space="preserve"> </w:t>
      </w:r>
      <w:r w:rsidR="00A43EF6">
        <w:t>włada prokuraturą</w:t>
      </w:r>
      <w:r w:rsidR="007B7F51">
        <w:t xml:space="preserve"> i </w:t>
      </w:r>
      <w:r>
        <w:t xml:space="preserve">może wpływać na funkcjonowanie sądów. Nie podjęto żadnych </w:t>
      </w:r>
      <w:r w:rsidR="00EB2BCE">
        <w:t>działań, aby wykluczyć wpływ</w:t>
      </w:r>
      <w:r>
        <w:t xml:space="preserve"> władzy wykonawczej na mianowanie, dyscyplinowanie</w:t>
      </w:r>
      <w:r w:rsidR="007B7F51">
        <w:t xml:space="preserve"> i </w:t>
      </w:r>
      <w:r>
        <w:t>odwoływanie prokuratorów. Minister Sprawiedliwości nadal może ujawniać informacje</w:t>
      </w:r>
      <w:r w:rsidR="007B7F51">
        <w:t xml:space="preserve"> o </w:t>
      </w:r>
      <w:r>
        <w:t>toczących się postępowaniach przygotowawczych</w:t>
      </w:r>
      <w:r w:rsidR="00A43EF6">
        <w:t>,</w:t>
      </w:r>
      <w:r w:rsidR="007B7F51">
        <w:t xml:space="preserve"> z </w:t>
      </w:r>
      <w:r>
        <w:t>niejasno określonych powodów</w:t>
      </w:r>
      <w:r w:rsidR="007B7F51">
        <w:t xml:space="preserve"> i </w:t>
      </w:r>
      <w:r>
        <w:t>dowolnym odbiorcom.</w:t>
      </w:r>
    </w:p>
    <w:p w14:paraId="00904738" w14:textId="657D52E8" w:rsidR="005850D6" w:rsidRPr="005850D6" w:rsidRDefault="005850D6" w:rsidP="007B7F51">
      <w:r>
        <w:t xml:space="preserve">Równie niepokojące są </w:t>
      </w:r>
      <w:r w:rsidR="00A43EF6">
        <w:t>kolejne</w:t>
      </w:r>
      <w:r>
        <w:t xml:space="preserve"> nieusunięte niedociągnięcia, które poważnie podważają </w:t>
      </w:r>
      <w:r w:rsidR="001477F6" w:rsidRPr="001477F6">
        <w:t>przestrzeganie postanowień Konwencji przez Polskę</w:t>
      </w:r>
      <w:r>
        <w:t xml:space="preserve">. Zastosowanie odpowiedzialności </w:t>
      </w:r>
      <w:r w:rsidR="00A43EF6">
        <w:t>przedsiębiorstw</w:t>
      </w:r>
      <w:r>
        <w:t xml:space="preserve"> pozostaje praktycznie niemożliwe, ponieważ wymaga skazania osoby fizycznej. Polska nie posiada krajowej strategii zwalczania przekupstwa </w:t>
      </w:r>
      <w:r w:rsidR="00A43EF6" w:rsidRPr="00A43EF6">
        <w:t>zagranicznych funkcjonariuszy publicznych</w:t>
      </w:r>
      <w:r>
        <w:t>. Ministerstwo Spraw Zagranicznych wydaje się być niezainteresowane wykrywaniem</w:t>
      </w:r>
      <w:r w:rsidR="00A43EF6">
        <w:t xml:space="preserve"> przypadków takiego przekupstwa</w:t>
      </w:r>
      <w:r>
        <w:t xml:space="preserve"> lub zwiększaniem świadomości</w:t>
      </w:r>
      <w:r w:rsidR="00A43EF6">
        <w:t xml:space="preserve"> na jego temat</w:t>
      </w:r>
      <w:r>
        <w:t xml:space="preserve">. Środki </w:t>
      </w:r>
      <w:r w:rsidR="005528F1">
        <w:t>ochrony</w:t>
      </w:r>
      <w:r>
        <w:t xml:space="preserve"> sygnalistów, którzy ucierpieli</w:t>
      </w:r>
      <w:r w:rsidR="007B7F51">
        <w:t xml:space="preserve"> w </w:t>
      </w:r>
      <w:r>
        <w:t>wyniku działań odwetowych</w:t>
      </w:r>
      <w:r w:rsidR="004C0909">
        <w:t>,</w:t>
      </w:r>
      <w:r>
        <w:t xml:space="preserve"> </w:t>
      </w:r>
      <w:r w:rsidR="004C0909">
        <w:t>przewidziane</w:t>
      </w:r>
      <w:r w:rsidR="007B7F51">
        <w:t xml:space="preserve"> w </w:t>
      </w:r>
      <w:r>
        <w:t>nowej ustaw</w:t>
      </w:r>
      <w:r w:rsidR="004C0909">
        <w:t>ie</w:t>
      </w:r>
      <w:r w:rsidR="007B7F51">
        <w:t xml:space="preserve"> o </w:t>
      </w:r>
      <w:r w:rsidR="004C0909">
        <w:t>ochronie sygnalistów</w:t>
      </w:r>
      <w:r>
        <w:t>, są niewystarczające. </w:t>
      </w:r>
    </w:p>
    <w:p w14:paraId="1EADCFC6" w14:textId="0BACEA83" w:rsidR="004C0909" w:rsidRPr="005850D6" w:rsidRDefault="005850D6" w:rsidP="007B7F51">
      <w:r>
        <w:t xml:space="preserve">Pozytywnym aspektem jest fakt, że </w:t>
      </w:r>
      <w:r w:rsidR="004C0909" w:rsidRPr="004C0909">
        <w:t>polska jednostka analityki finansowej</w:t>
      </w:r>
      <w:r w:rsidR="004C0909">
        <w:t xml:space="preserve"> uwzględniła </w:t>
      </w:r>
      <w:r>
        <w:t xml:space="preserve">wszystkie zalecenia dotyczące prania pieniędzy </w:t>
      </w:r>
      <w:r w:rsidR="007B7F51">
        <w:t xml:space="preserve">wynikającego z </w:t>
      </w:r>
      <w:r w:rsidR="004C0909" w:rsidRPr="008A7F7C">
        <w:t>przekupstw</w:t>
      </w:r>
      <w:r w:rsidR="007B7F51">
        <w:t>a</w:t>
      </w:r>
      <w:r w:rsidR="004C0909" w:rsidRPr="008A7F7C">
        <w:t xml:space="preserve"> zagraniczny</w:t>
      </w:r>
      <w:r w:rsidR="007A537D">
        <w:t>ch</w:t>
      </w:r>
      <w:r w:rsidR="004C0909" w:rsidRPr="008A7F7C">
        <w:t xml:space="preserve"> funkcjonariuszy publicznych</w:t>
      </w:r>
      <w:r w:rsidRPr="004C0909">
        <w:t>. Znaczące kroki we wdrażaniu zaleceń</w:t>
      </w:r>
      <w:r>
        <w:t xml:space="preserve"> </w:t>
      </w:r>
      <w:r w:rsidR="007A537D">
        <w:t>poczynił</w:t>
      </w:r>
      <w:r w:rsidR="004C0909">
        <w:t xml:space="preserve"> </w:t>
      </w:r>
      <w:r>
        <w:t>Zastępc</w:t>
      </w:r>
      <w:r w:rsidR="004C0909">
        <w:t>a</w:t>
      </w:r>
      <w:r>
        <w:t xml:space="preserve"> Prokuratora Generalnego</w:t>
      </w:r>
      <w:r w:rsidR="004C0909">
        <w:t>,</w:t>
      </w:r>
      <w:r>
        <w:t xml:space="preserve"> </w:t>
      </w:r>
      <w:r w:rsidR="004C0909">
        <w:t xml:space="preserve">który wydał wytyczne </w:t>
      </w:r>
      <w:r>
        <w:t xml:space="preserve">dla prokuratorów </w:t>
      </w:r>
      <w:r w:rsidR="004C0909">
        <w:t>dotyczące</w:t>
      </w:r>
      <w:r>
        <w:t xml:space="preserve"> dochodzenia</w:t>
      </w:r>
      <w:r w:rsidR="007B7F51">
        <w:t xml:space="preserve"> i </w:t>
      </w:r>
      <w:r w:rsidR="004C0909">
        <w:t>ścigania</w:t>
      </w:r>
      <w:r>
        <w:t xml:space="preserve"> </w:t>
      </w:r>
      <w:r w:rsidR="004C0909" w:rsidRPr="004C0909">
        <w:t>przekupstwa zagranicznych funkcjonariuszy publicznych</w:t>
      </w:r>
      <w:r w:rsidR="004C0909">
        <w:t>.</w:t>
      </w:r>
    </w:p>
    <w:p w14:paraId="01C46609" w14:textId="754851CD" w:rsidR="005850D6" w:rsidRPr="005850D6" w:rsidRDefault="005850D6" w:rsidP="007B7F51">
      <w:r>
        <w:t>Podsumowując, Grupa Robocza postanowiła wezwać Polskę do opracowania planu działa</w:t>
      </w:r>
      <w:r w:rsidR="00BF22C1">
        <w:t>ń</w:t>
      </w:r>
      <w:r>
        <w:t xml:space="preserve"> </w:t>
      </w:r>
      <w:r w:rsidR="007A537D">
        <w:t xml:space="preserve">na rzecz </w:t>
      </w:r>
      <w:r>
        <w:t xml:space="preserve">wdrożenia priorytetowych zaleceń. </w:t>
      </w:r>
      <w:r w:rsidR="007A537D">
        <w:t>Zwrócenie się</w:t>
      </w:r>
      <w:r w:rsidR="007B7F51">
        <w:t xml:space="preserve"> o </w:t>
      </w:r>
      <w:r w:rsidR="007A537D">
        <w:t>plan</w:t>
      </w:r>
      <w:r>
        <w:t xml:space="preserve"> działa</w:t>
      </w:r>
      <w:r w:rsidR="00BF22C1">
        <w:t>ń</w:t>
      </w:r>
      <w:r>
        <w:t xml:space="preserve"> jest jednym</w:t>
      </w:r>
      <w:r w:rsidR="007B7F51">
        <w:t xml:space="preserve"> z </w:t>
      </w:r>
      <w:r w:rsidR="007A537D">
        <w:t>wielu</w:t>
      </w:r>
      <w:r>
        <w:t xml:space="preserve"> możliwych środków</w:t>
      </w:r>
      <w:r w:rsidR="007A537D">
        <w:t>, którymi</w:t>
      </w:r>
      <w:r>
        <w:t xml:space="preserve"> </w:t>
      </w:r>
      <w:r w:rsidR="007A537D">
        <w:t>Grupa Robocza może się posłużyć</w:t>
      </w:r>
      <w:r w:rsidR="007B7F51">
        <w:t xml:space="preserve"> w </w:t>
      </w:r>
      <w:r w:rsidR="007A537D">
        <w:t xml:space="preserve">ramach </w:t>
      </w:r>
      <w:hyperlink r:id="rId8" w:tgtFrame="_blank" w:tooltip="procedury monitorowania" w:history="1">
        <w:r w:rsidR="007A537D">
          <w:rPr>
            <w:rStyle w:val="Hipercze"/>
          </w:rPr>
          <w:t>procedur monitorowania</w:t>
        </w:r>
      </w:hyperlink>
      <w:r w:rsidR="007A537D">
        <w:t xml:space="preserve"> Grupy Roboczej dla czwartej rundy wzajemnych ocen</w:t>
      </w:r>
      <w:r w:rsidR="00BF22C1">
        <w:t>,</w:t>
      </w:r>
      <w:r w:rsidR="007B7F51">
        <w:t xml:space="preserve"> w </w:t>
      </w:r>
      <w:r>
        <w:t>przypadku ciągłego braku odpowiedniego wdrożenia Konwencji OECD</w:t>
      </w:r>
      <w:r w:rsidR="007B7F51">
        <w:t xml:space="preserve"> o </w:t>
      </w:r>
      <w:r w:rsidR="007A537D">
        <w:t xml:space="preserve">zwalczaniu przekupstwa. </w:t>
      </w:r>
      <w:r>
        <w:t>Grupa Robocza ds.</w:t>
      </w:r>
      <w:r w:rsidR="007A537D">
        <w:t> </w:t>
      </w:r>
      <w:r>
        <w:t>Przekupstwa oceni plan działa</w:t>
      </w:r>
      <w:r w:rsidR="00BF22C1">
        <w:t>ń</w:t>
      </w:r>
      <w:r>
        <w:t xml:space="preserve"> Polski na najbliższym posiedzeniu plenarnym</w:t>
      </w:r>
      <w:r w:rsidR="007B7F51">
        <w:t xml:space="preserve"> w </w:t>
      </w:r>
      <w:r>
        <w:t>marcu 2025</w:t>
      </w:r>
      <w:r w:rsidR="007A537D">
        <w:t> </w:t>
      </w:r>
      <w:r>
        <w:t>r.</w:t>
      </w:r>
    </w:p>
    <w:p w14:paraId="262B2BC6" w14:textId="77777777" w:rsidR="0054033F" w:rsidRPr="00AF7217" w:rsidRDefault="0054033F" w:rsidP="007B7F51"/>
    <w:sectPr w:rsidR="0054033F" w:rsidRPr="00AF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802D" w14:textId="77777777" w:rsidR="002A229C" w:rsidRDefault="002A229C" w:rsidP="003F20C8">
      <w:pPr>
        <w:spacing w:after="0" w:line="240" w:lineRule="auto"/>
      </w:pPr>
      <w:r>
        <w:separator/>
      </w:r>
    </w:p>
  </w:endnote>
  <w:endnote w:type="continuationSeparator" w:id="0">
    <w:p w14:paraId="0CDB55AA" w14:textId="77777777" w:rsidR="002A229C" w:rsidRDefault="002A229C" w:rsidP="003F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BFD7" w14:textId="77777777" w:rsidR="002A229C" w:rsidRDefault="002A229C" w:rsidP="003F20C8">
      <w:pPr>
        <w:spacing w:after="0" w:line="240" w:lineRule="auto"/>
      </w:pPr>
      <w:r>
        <w:separator/>
      </w:r>
    </w:p>
  </w:footnote>
  <w:footnote w:type="continuationSeparator" w:id="0">
    <w:p w14:paraId="249A5F01" w14:textId="77777777" w:rsidR="002A229C" w:rsidRDefault="002A229C" w:rsidP="003F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B6E4E"/>
    <w:multiLevelType w:val="multilevel"/>
    <w:tmpl w:val="E506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42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D6"/>
    <w:rsid w:val="000302C6"/>
    <w:rsid w:val="00032330"/>
    <w:rsid w:val="001477F6"/>
    <w:rsid w:val="001D52A5"/>
    <w:rsid w:val="00283F35"/>
    <w:rsid w:val="002A229C"/>
    <w:rsid w:val="003A6FD1"/>
    <w:rsid w:val="003C2FCA"/>
    <w:rsid w:val="003F20C8"/>
    <w:rsid w:val="004C0909"/>
    <w:rsid w:val="0054033F"/>
    <w:rsid w:val="005528F1"/>
    <w:rsid w:val="005850D6"/>
    <w:rsid w:val="007A537D"/>
    <w:rsid w:val="007B7F51"/>
    <w:rsid w:val="007D6C70"/>
    <w:rsid w:val="00834C84"/>
    <w:rsid w:val="00897288"/>
    <w:rsid w:val="008A7F7C"/>
    <w:rsid w:val="00A43EF6"/>
    <w:rsid w:val="00A815A1"/>
    <w:rsid w:val="00AA7449"/>
    <w:rsid w:val="00AF1FE5"/>
    <w:rsid w:val="00AF7217"/>
    <w:rsid w:val="00B14805"/>
    <w:rsid w:val="00B70FB9"/>
    <w:rsid w:val="00BF22C1"/>
    <w:rsid w:val="00C5218B"/>
    <w:rsid w:val="00CE5D89"/>
    <w:rsid w:val="00D258FA"/>
    <w:rsid w:val="00D33509"/>
    <w:rsid w:val="00D551A6"/>
    <w:rsid w:val="00EB2BCE"/>
    <w:rsid w:val="00EB377F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DB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0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50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50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350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52A5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20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C8"/>
  </w:style>
  <w:style w:type="paragraph" w:styleId="Stopka">
    <w:name w:val="footer"/>
    <w:basedOn w:val="Normalny"/>
    <w:link w:val="StopkaZnak"/>
    <w:uiPriority w:val="99"/>
    <w:unhideWhenUsed/>
    <w:rsid w:val="003F20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C8"/>
  </w:style>
  <w:style w:type="character" w:styleId="Odwoaniedokomentarza">
    <w:name w:val="annotation reference"/>
    <w:basedOn w:val="Domylnaczcionkaakapitu"/>
    <w:uiPriority w:val="99"/>
    <w:semiHidden/>
    <w:unhideWhenUsed/>
    <w:rsid w:val="00BF2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2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2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2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54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4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4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3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6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content/dam/oecd/en/topics/policy-sub-issues/fighting-foreign-bribery/phase-4-guide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en/publications/2024/12/oecd-anti-bribery-convention-phase-4-two-year-follow-up-report-on-poland_545b87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2025-01-21T11:05:00Z</dcterms:created>
  <dcterms:modified xsi:type="dcterms:W3CDTF">2025-02-05T11:24:00Z</dcterms:modified>
</cp:coreProperties>
</file>