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E6461" w14:textId="77777777" w:rsidR="00D31054" w:rsidRDefault="00D31054">
      <w:pPr>
        <w:pStyle w:val="Tekstpodstawowy"/>
        <w:spacing w:before="0"/>
        <w:ind w:left="0"/>
        <w:rPr>
          <w:rFonts w:ascii="Times New Roman"/>
          <w:sz w:val="28"/>
        </w:rPr>
      </w:pPr>
    </w:p>
    <w:p w14:paraId="74EDD113" w14:textId="77777777" w:rsidR="00D31054" w:rsidRDefault="00D31054">
      <w:pPr>
        <w:pStyle w:val="Tekstpodstawowy"/>
        <w:spacing w:before="66"/>
        <w:ind w:left="0"/>
        <w:rPr>
          <w:rFonts w:ascii="Times New Roman"/>
          <w:sz w:val="28"/>
        </w:rPr>
      </w:pPr>
    </w:p>
    <w:p w14:paraId="627ABF0F" w14:textId="77777777" w:rsidR="00D31054" w:rsidRPr="003E11E7" w:rsidRDefault="00000000">
      <w:pPr>
        <w:spacing w:line="339" w:lineRule="exact"/>
        <w:ind w:right="4"/>
        <w:jc w:val="right"/>
        <w:rPr>
          <w:b/>
          <w:sz w:val="28"/>
          <w:lang w:val="pl-PL"/>
        </w:rPr>
      </w:pPr>
      <w:r>
        <w:rPr>
          <w:b/>
          <w:noProof/>
          <w:sz w:val="28"/>
        </w:rPr>
        <w:drawing>
          <wp:anchor distT="0" distB="0" distL="0" distR="0" simplePos="0" relativeHeight="251660288" behindDoc="0" locked="0" layoutInCell="1" allowOverlap="1" wp14:anchorId="7554BE6E" wp14:editId="4F1A7E31">
            <wp:simplePos x="0" y="0"/>
            <wp:positionH relativeFrom="page">
              <wp:posOffset>486759</wp:posOffset>
            </wp:positionH>
            <wp:positionV relativeFrom="paragraph">
              <wp:posOffset>-449409</wp:posOffset>
            </wp:positionV>
            <wp:extent cx="2113088" cy="777948"/>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113088" cy="777948"/>
                    </a:xfrm>
                    <a:prstGeom prst="rect">
                      <a:avLst/>
                    </a:prstGeom>
                  </pic:spPr>
                </pic:pic>
              </a:graphicData>
            </a:graphic>
          </wp:anchor>
        </w:drawing>
      </w:r>
      <w:r w:rsidRPr="003E11E7">
        <w:rPr>
          <w:b/>
          <w:color w:val="002856"/>
          <w:spacing w:val="-5"/>
          <w:w w:val="115"/>
          <w:sz w:val="26"/>
          <w:lang w:val="pl-PL"/>
        </w:rPr>
        <w:t>ECHR-KS</w:t>
      </w:r>
    </w:p>
    <w:p w14:paraId="1A0097B7" w14:textId="1387E6A5" w:rsidR="00D31054" w:rsidRPr="003E11E7" w:rsidRDefault="00000000" w:rsidP="00AE71E6">
      <w:pPr>
        <w:spacing w:line="242" w:lineRule="exact"/>
        <w:ind w:left="3653"/>
        <w:jc w:val="right"/>
        <w:rPr>
          <w:i/>
          <w:sz w:val="20"/>
          <w:lang w:val="pl-PL"/>
        </w:rPr>
      </w:pPr>
      <w:r>
        <w:rPr>
          <w:i/>
          <w:noProof/>
          <w:sz w:val="20"/>
        </w:rPr>
        <mc:AlternateContent>
          <mc:Choice Requires="wps">
            <w:drawing>
              <wp:anchor distT="0" distB="0" distL="0" distR="0" simplePos="0" relativeHeight="251658240" behindDoc="0" locked="0" layoutInCell="1" allowOverlap="1" wp14:anchorId="4667FDEF" wp14:editId="1E859564">
                <wp:simplePos x="0" y="0"/>
                <wp:positionH relativeFrom="page">
                  <wp:posOffset>482600</wp:posOffset>
                </wp:positionH>
                <wp:positionV relativeFrom="paragraph">
                  <wp:posOffset>176276</wp:posOffset>
                </wp:positionV>
                <wp:extent cx="6624955" cy="1270"/>
                <wp:effectExtent l="0" t="0" r="0" b="0"/>
                <wp:wrapNone/>
                <wp:docPr id="2" name="Graphic 2"/>
                <wp:cNvGraphicFramePr/>
                <a:graphic xmlns:a="http://schemas.openxmlformats.org/drawingml/2006/main">
                  <a:graphicData uri="http://schemas.microsoft.com/office/word/2010/wordprocessingShape">
                    <wps:wsp>
                      <wps:cNvSpPr/>
                      <wps:spPr>
                        <a:xfrm>
                          <a:off x="0" y="0"/>
                          <a:ext cx="6624955" cy="1270"/>
                        </a:xfrm>
                        <a:custGeom>
                          <a:avLst/>
                          <a:gdLst/>
                          <a:ahLst/>
                          <a:cxnLst/>
                          <a:rect l="l" t="t" r="r" b="b"/>
                          <a:pathLst>
                            <a:path w="6624955">
                              <a:moveTo>
                                <a:pt x="0" y="0"/>
                              </a:moveTo>
                              <a:lnTo>
                                <a:pt x="6624955" y="0"/>
                              </a:lnTo>
                            </a:path>
                          </a:pathLst>
                        </a:custGeom>
                        <a:ln w="9525">
                          <a:solidFill>
                            <a:srgbClr val="949494"/>
                          </a:solidFill>
                          <a:prstDash val="solid"/>
                        </a:ln>
                      </wps:spPr>
                      <wps:bodyPr wrap="square" lIns="0" tIns="0" rIns="0" bIns="0" rtlCol="0">
                        <a:prstTxWarp prst="textNoShape">
                          <a:avLst/>
                        </a:prstTxWarp>
                      </wps:bodyPr>
                    </wps:wsp>
                  </a:graphicData>
                </a:graphic>
              </wp:anchor>
            </w:drawing>
          </mc:Choice>
          <mc:Fallback>
            <w:pict>
              <v:shape w14:anchorId="3F71F8FD" id="Graphic 2" o:spid="_x0000_s1026" style="position:absolute;margin-left:38pt;margin-top:13.9pt;width:521.6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6624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" path="m,l6624955,e" filled="f" strokecolor="#949494">
                <v:path arrowok="t"/>
                <w10:wrap anchorx="page"/>
              </v:shape>
            </w:pict>
          </mc:Fallback>
        </mc:AlternateContent>
      </w:r>
      <w:r w:rsidRPr="003E11E7">
        <w:rPr>
          <w:i/>
          <w:sz w:val="19"/>
          <w:lang w:val="pl-PL"/>
        </w:rPr>
        <w:t xml:space="preserve">Kluczowy temat </w:t>
      </w:r>
      <w:r w:rsidR="00AE71E6" w:rsidRPr="003E11E7">
        <w:rPr>
          <w:i/>
          <w:sz w:val="19"/>
          <w:lang w:val="pl-PL"/>
        </w:rPr>
        <w:t>–</w:t>
      </w:r>
      <w:r w:rsidRPr="003E11E7">
        <w:rPr>
          <w:i/>
          <w:sz w:val="19"/>
          <w:lang w:val="pl-PL"/>
        </w:rPr>
        <w:t xml:space="preserve"> </w:t>
      </w:r>
      <w:r w:rsidR="00AE71E6" w:rsidRPr="003E11E7">
        <w:rPr>
          <w:i/>
          <w:sz w:val="19"/>
          <w:lang w:val="pl-PL"/>
        </w:rPr>
        <w:t>art.</w:t>
      </w:r>
      <w:r w:rsidRPr="003E11E7">
        <w:rPr>
          <w:i/>
          <w:sz w:val="19"/>
          <w:lang w:val="pl-PL"/>
        </w:rPr>
        <w:t xml:space="preserve"> 1 Protokołu nr 1 Nabywcy </w:t>
      </w:r>
      <w:r w:rsidRPr="003E11E7">
        <w:rPr>
          <w:i/>
          <w:spacing w:val="-2"/>
          <w:sz w:val="19"/>
          <w:lang w:val="pl-PL"/>
        </w:rPr>
        <w:t xml:space="preserve">nieruchomości </w:t>
      </w:r>
      <w:r w:rsidRPr="003E11E7">
        <w:rPr>
          <w:sz w:val="19"/>
          <w:lang w:val="pl-PL"/>
        </w:rPr>
        <w:t xml:space="preserve">w </w:t>
      </w:r>
      <w:r w:rsidRPr="003E11E7">
        <w:rPr>
          <w:i/>
          <w:sz w:val="19"/>
          <w:lang w:val="pl-PL"/>
        </w:rPr>
        <w:t xml:space="preserve">dobrej </w:t>
      </w:r>
      <w:r w:rsidRPr="003E11E7">
        <w:rPr>
          <w:sz w:val="19"/>
          <w:lang w:val="pl-PL"/>
        </w:rPr>
        <w:t xml:space="preserve">wierze </w:t>
      </w:r>
    </w:p>
    <w:p w14:paraId="730DF9E2" w14:textId="77777777" w:rsidR="003E11E7" w:rsidRPr="003E11E7" w:rsidRDefault="003E11E7">
      <w:pPr>
        <w:pStyle w:val="Tekstpodstawowy"/>
        <w:spacing w:before="39"/>
        <w:ind w:left="0"/>
        <w:rPr>
          <w:i/>
          <w:sz w:val="32"/>
          <w:lang w:val="pl-PL"/>
        </w:rPr>
      </w:pPr>
    </w:p>
    <w:p w14:paraId="71DA28F5" w14:textId="77777777" w:rsidR="00D31054" w:rsidRPr="003E11E7" w:rsidRDefault="00000000">
      <w:pPr>
        <w:pStyle w:val="Nagwek1"/>
        <w:ind w:left="1"/>
        <w:rPr>
          <w:lang w:val="pl-PL"/>
        </w:rPr>
      </w:pPr>
      <w:r w:rsidRPr="003E11E7">
        <w:rPr>
          <w:color w:val="2F2F2F"/>
          <w:sz w:val="30"/>
          <w:lang w:val="pl-PL"/>
        </w:rPr>
        <w:t xml:space="preserve">KLUCZOWY </w:t>
      </w:r>
      <w:r w:rsidRPr="003E11E7">
        <w:rPr>
          <w:color w:val="2F2F2F"/>
          <w:spacing w:val="-2"/>
          <w:sz w:val="30"/>
          <w:lang w:val="pl-PL"/>
        </w:rPr>
        <w:t>TEMAT</w:t>
      </w:r>
      <w:r w:rsidRPr="003E11E7">
        <w:rPr>
          <w:color w:val="2F2F2F"/>
          <w:spacing w:val="-2"/>
          <w:sz w:val="30"/>
          <w:vertAlign w:val="superscript"/>
          <w:lang w:val="pl-PL"/>
        </w:rPr>
        <w:t>1</w:t>
      </w:r>
    </w:p>
    <w:p w14:paraId="59622342" w14:textId="09671135" w:rsidR="00D31054" w:rsidRPr="003E11E7" w:rsidRDefault="00000000">
      <w:pPr>
        <w:ind w:right="1"/>
        <w:jc w:val="center"/>
        <w:rPr>
          <w:b/>
          <w:sz w:val="32"/>
          <w:lang w:val="pl-PL"/>
        </w:rPr>
      </w:pPr>
      <w:r w:rsidRPr="003E11E7">
        <w:rPr>
          <w:b/>
          <w:color w:val="2F2F2F"/>
          <w:sz w:val="30"/>
          <w:lang w:val="pl-PL"/>
        </w:rPr>
        <w:t>Art</w:t>
      </w:r>
      <w:r w:rsidR="00AE71E6" w:rsidRPr="003E11E7">
        <w:rPr>
          <w:b/>
          <w:color w:val="2F2F2F"/>
          <w:sz w:val="30"/>
          <w:lang w:val="pl-PL"/>
        </w:rPr>
        <w:t>.</w:t>
      </w:r>
      <w:r w:rsidRPr="003E11E7">
        <w:rPr>
          <w:b/>
          <w:color w:val="2F2F2F"/>
          <w:sz w:val="30"/>
          <w:lang w:val="pl-PL"/>
        </w:rPr>
        <w:t xml:space="preserve"> 1 Protokołu nr </w:t>
      </w:r>
      <w:r w:rsidRPr="003E11E7">
        <w:rPr>
          <w:b/>
          <w:color w:val="2F2F2F"/>
          <w:spacing w:val="-10"/>
          <w:sz w:val="30"/>
          <w:lang w:val="pl-PL"/>
        </w:rPr>
        <w:t>1</w:t>
      </w:r>
    </w:p>
    <w:p w14:paraId="24EF7651" w14:textId="3ACCC158" w:rsidR="00D31054" w:rsidRPr="003E11E7" w:rsidRDefault="000F37B4">
      <w:pPr>
        <w:ind w:left="1" w:right="1"/>
        <w:jc w:val="center"/>
        <w:rPr>
          <w:b/>
          <w:sz w:val="32"/>
          <w:lang w:val="pl-PL"/>
        </w:rPr>
      </w:pPr>
      <w:r w:rsidRPr="003E11E7">
        <w:rPr>
          <w:b/>
          <w:i/>
          <w:iCs/>
          <w:color w:val="2F2F2F"/>
          <w:spacing w:val="-4"/>
          <w:sz w:val="30"/>
          <w:lang w:val="pl-PL"/>
        </w:rPr>
        <w:t xml:space="preserve">Bona </w:t>
      </w:r>
      <w:proofErr w:type="spellStart"/>
      <w:r w:rsidRPr="003E11E7">
        <w:rPr>
          <w:b/>
          <w:i/>
          <w:iCs/>
          <w:color w:val="2F2F2F"/>
          <w:spacing w:val="-4"/>
          <w:sz w:val="30"/>
          <w:lang w:val="pl-PL"/>
        </w:rPr>
        <w:t>fide</w:t>
      </w:r>
      <w:proofErr w:type="spellEnd"/>
      <w:r w:rsidRPr="003E11E7">
        <w:rPr>
          <w:b/>
          <w:color w:val="2F2F2F"/>
          <w:spacing w:val="-4"/>
          <w:sz w:val="30"/>
          <w:lang w:val="pl-PL"/>
        </w:rPr>
        <w:t xml:space="preserve"> / Nabywcy nieruchomośc</w:t>
      </w:r>
      <w:r w:rsidR="00AE71E6" w:rsidRPr="003E11E7">
        <w:rPr>
          <w:b/>
          <w:color w:val="2F2F2F"/>
          <w:spacing w:val="-4"/>
          <w:sz w:val="30"/>
          <w:lang w:val="pl-PL"/>
        </w:rPr>
        <w:t>i w dobrej wierze</w:t>
      </w:r>
    </w:p>
    <w:p w14:paraId="119AC504" w14:textId="01A7A7D9" w:rsidR="00D31054" w:rsidRPr="003E11E7" w:rsidRDefault="00000000">
      <w:pPr>
        <w:pStyle w:val="Nagwek4"/>
        <w:spacing w:before="240"/>
        <w:ind w:left="1" w:right="1" w:firstLine="0"/>
        <w:jc w:val="center"/>
        <w:rPr>
          <w:lang w:val="pl-PL"/>
        </w:rPr>
      </w:pPr>
      <w:r w:rsidRPr="003E11E7">
        <w:rPr>
          <w:color w:val="2F2F2F"/>
          <w:sz w:val="22"/>
          <w:lang w:val="pl-PL"/>
        </w:rPr>
        <w:t xml:space="preserve">(Ostatnia aktualizacja: </w:t>
      </w:r>
      <w:r w:rsidRPr="003E11E7">
        <w:rPr>
          <w:color w:val="2F2F2F"/>
          <w:spacing w:val="-2"/>
          <w:sz w:val="22"/>
          <w:lang w:val="pl-PL"/>
        </w:rPr>
        <w:t>28/02/2025)</w:t>
      </w:r>
    </w:p>
    <w:p w14:paraId="7984D7C8" w14:textId="77777777" w:rsidR="00D31054" w:rsidRDefault="00000000">
      <w:pPr>
        <w:pStyle w:val="Nagwek2"/>
        <w:spacing w:before="280"/>
      </w:pPr>
      <w:r>
        <w:rPr>
          <w:noProof/>
        </w:rPr>
        <mc:AlternateContent>
          <mc:Choice Requires="wps">
            <w:drawing>
              <wp:anchor distT="0" distB="0" distL="0" distR="0" simplePos="0" relativeHeight="251661312" behindDoc="1" locked="0" layoutInCell="1" allowOverlap="1" wp14:anchorId="05C0CF76" wp14:editId="50E382D6">
                <wp:simplePos x="0" y="0"/>
                <wp:positionH relativeFrom="page">
                  <wp:posOffset>895985</wp:posOffset>
                </wp:positionH>
                <wp:positionV relativeFrom="paragraph">
                  <wp:posOffset>417216</wp:posOffset>
                </wp:positionV>
                <wp:extent cx="5768975" cy="1270"/>
                <wp:effectExtent l="0" t="0" r="0" b="0"/>
                <wp:wrapTopAndBottom/>
                <wp:docPr id="3" name="Graphic 3"/>
                <wp:cNvGraphicFramePr/>
                <a:graphic xmlns:a="http://schemas.openxmlformats.org/drawingml/2006/main">
                  <a:graphicData uri="http://schemas.microsoft.com/office/word/2010/wordprocessingShape">
                    <wps:wsp>
                      <wps:cNvSpPr/>
                      <wps:spPr>
                        <a:xfrm>
                          <a:off x="0" y="0"/>
                          <a:ext cx="5768975" cy="1270"/>
                        </a:xfrm>
                        <a:custGeom>
                          <a:avLst/>
                          <a:gdLst/>
                          <a:ahLst/>
                          <a:cxnLst/>
                          <a:rect l="l" t="t" r="r" b="b"/>
                          <a:pathLst>
                            <a:path w="5768975">
                              <a:moveTo>
                                <a:pt x="0" y="0"/>
                              </a:moveTo>
                              <a:lnTo>
                                <a:pt x="5768974" y="0"/>
                              </a:lnTo>
                            </a:path>
                          </a:pathLst>
                        </a:custGeom>
                        <a:ln w="19050">
                          <a:solidFill>
                            <a:srgbClr val="949494"/>
                          </a:solidFill>
                          <a:prstDash val="solid"/>
                        </a:ln>
                      </wps:spPr>
                      <wps:bodyPr wrap="square" lIns="0" tIns="0" rIns="0" bIns="0" rtlCol="0">
                        <a:prstTxWarp prst="textNoShape">
                          <a:avLst/>
                        </a:prstTxWarp>
                      </wps:bodyPr>
                    </wps:wsp>
                  </a:graphicData>
                </a:graphic>
              </wp:anchor>
            </w:drawing>
          </mc:Choice>
          <mc:Fallback>
            <w:pict>
              <v:shape w14:anchorId="1A108684" id="Graphic 3" o:spid="_x0000_s1026" style="position:absolute;margin-left:70.55pt;margin-top:32.85pt;width:454.2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5768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" path="m,l5768974,e" filled="f" strokecolor="#949494" strokeweight="1.5pt">
                <v:path arrowok="t"/>
                <w10:wrap type="topAndBottom" anchorx="page"/>
              </v:shape>
            </w:pict>
          </mc:Fallback>
        </mc:AlternateContent>
      </w:r>
      <w:r w:rsidRPr="003E11E7">
        <w:rPr>
          <w:color w:val="2F2F2F"/>
          <w:spacing w:val="-2"/>
          <w:sz w:val="26"/>
          <w:lang w:val="pl-PL"/>
        </w:rPr>
        <w:t>Wprowadzenie</w:t>
      </w:r>
    </w:p>
    <w:p w14:paraId="78570FBC" w14:textId="77777777" w:rsidR="00D31054" w:rsidRPr="003E11E7" w:rsidRDefault="00000000" w:rsidP="00265519">
      <w:pPr>
        <w:pStyle w:val="Tekstpodstawowy"/>
        <w:ind w:left="732" w:right="713"/>
        <w:jc w:val="both"/>
        <w:rPr>
          <w:lang w:val="pl-PL"/>
        </w:rPr>
      </w:pPr>
      <w:r w:rsidRPr="003E11E7">
        <w:rPr>
          <w:sz w:val="20"/>
          <w:lang w:val="pl-PL"/>
        </w:rPr>
        <w:t xml:space="preserve">Niniejszy Temat Kluczowy zawiera szczegółowy przegląd orzecznictwa </w:t>
      </w:r>
      <w:r w:rsidRPr="003E11E7">
        <w:rPr>
          <w:spacing w:val="-2"/>
          <w:sz w:val="20"/>
          <w:lang w:val="pl-PL"/>
        </w:rPr>
        <w:t xml:space="preserve">dotyczącego nabywców </w:t>
      </w:r>
      <w:r w:rsidRPr="003E11E7">
        <w:rPr>
          <w:sz w:val="20"/>
          <w:lang w:val="pl-PL"/>
        </w:rPr>
        <w:t>działających w dobrej wierze</w:t>
      </w:r>
      <w:r w:rsidRPr="003E11E7">
        <w:rPr>
          <w:spacing w:val="-2"/>
          <w:sz w:val="20"/>
          <w:lang w:val="pl-PL"/>
        </w:rPr>
        <w:t>.</w:t>
      </w:r>
    </w:p>
    <w:p w14:paraId="3F0397B5" w14:textId="2F1E8BCF" w:rsidR="00D31054" w:rsidRPr="003E11E7" w:rsidRDefault="00000000">
      <w:pPr>
        <w:pStyle w:val="Tekstpodstawowy"/>
        <w:spacing w:line="242" w:lineRule="auto"/>
        <w:ind w:left="732" w:right="729"/>
        <w:jc w:val="both"/>
        <w:rPr>
          <w:lang w:val="pl-PL"/>
        </w:rPr>
      </w:pPr>
      <w:r w:rsidRPr="003E11E7">
        <w:rPr>
          <w:sz w:val="20"/>
          <w:lang w:val="pl-PL"/>
        </w:rPr>
        <w:t xml:space="preserve">Termin </w:t>
      </w:r>
      <w:r w:rsidR="00265519" w:rsidRPr="003E11E7">
        <w:rPr>
          <w:lang w:val="pl-PL"/>
        </w:rPr>
        <w:t>„</w:t>
      </w:r>
      <w:r w:rsidRPr="003E11E7">
        <w:rPr>
          <w:sz w:val="20"/>
          <w:lang w:val="pl-PL"/>
        </w:rPr>
        <w:t>nabywca w dobrej wierze" (lub nabywca</w:t>
      </w:r>
      <w:r w:rsidR="009D3E12" w:rsidRPr="003E11E7">
        <w:rPr>
          <w:sz w:val="20"/>
          <w:lang w:val="pl-PL"/>
        </w:rPr>
        <w:t xml:space="preserve"> </w:t>
      </w:r>
      <w:r w:rsidR="00265519" w:rsidRPr="003E11E7">
        <w:rPr>
          <w:i/>
          <w:sz w:val="20"/>
          <w:lang w:val="pl-PL"/>
        </w:rPr>
        <w:t>bona fide</w:t>
      </w:r>
      <w:r w:rsidRPr="003E11E7">
        <w:rPr>
          <w:sz w:val="20"/>
          <w:vertAlign w:val="superscript"/>
          <w:lang w:val="pl-PL"/>
        </w:rPr>
        <w:t>2</w:t>
      </w:r>
      <w:r w:rsidRPr="003E11E7">
        <w:rPr>
          <w:sz w:val="20"/>
          <w:lang w:val="pl-PL"/>
        </w:rPr>
        <w:t xml:space="preserve">) jest powszechnie stosowany w przepisach dotyczących nieruchomości bez standardowej definicji. Opierając </w:t>
      </w:r>
      <w:r w:rsidR="00FB6E79" w:rsidRPr="003E11E7">
        <w:rPr>
          <w:sz w:val="20"/>
          <w:lang w:val="pl-PL"/>
        </w:rPr>
        <w:t>s</w:t>
      </w:r>
      <w:r w:rsidRPr="003E11E7">
        <w:rPr>
          <w:sz w:val="20"/>
          <w:lang w:val="pl-PL"/>
        </w:rPr>
        <w:t>ię na odpowiednich przepisach krajowych państw członkowskich</w:t>
      </w:r>
      <w:r w:rsidRPr="003E11E7">
        <w:rPr>
          <w:sz w:val="20"/>
          <w:vertAlign w:val="superscript"/>
          <w:lang w:val="pl-PL"/>
        </w:rPr>
        <w:t>3</w:t>
      </w:r>
      <w:r w:rsidRPr="003E11E7">
        <w:rPr>
          <w:sz w:val="20"/>
          <w:lang w:val="pl-PL"/>
        </w:rPr>
        <w:t xml:space="preserve">, niniejszy Kluczowy Temat używa go w odniesieniu do </w:t>
      </w:r>
      <w:r w:rsidR="00415055" w:rsidRPr="003E11E7">
        <w:rPr>
          <w:sz w:val="20"/>
          <w:lang w:val="pl-PL"/>
        </w:rPr>
        <w:t>skarżących</w:t>
      </w:r>
      <w:r w:rsidRPr="003E11E7">
        <w:rPr>
          <w:sz w:val="20"/>
          <w:lang w:val="pl-PL"/>
        </w:rPr>
        <w:t>, którzy zostali wywłaszczeni z nieruchomości nabytej w drodze legalnej transakcji, będąc nieświadomymi - bez braku staranności z ich strony - wady w tytule własności istniejącej w momencie nabycia (na przykład, jeśli nieruchomość została nabyta</w:t>
      </w:r>
      <w:r w:rsidR="009D3E12" w:rsidRPr="003E11E7">
        <w:rPr>
          <w:sz w:val="20"/>
          <w:lang w:val="pl-PL"/>
        </w:rPr>
        <w:t xml:space="preserve"> </w:t>
      </w:r>
      <w:r w:rsidRPr="003E11E7">
        <w:rPr>
          <w:sz w:val="20"/>
          <w:lang w:val="pl-PL"/>
        </w:rPr>
        <w:t>od osoby, która nie miała prawa jej sprzedać lub z powodu błędu ze strony organu państwowego).</w:t>
      </w:r>
    </w:p>
    <w:p w14:paraId="07DFD0B3" w14:textId="77777777" w:rsidR="00D31054" w:rsidRPr="003E11E7" w:rsidRDefault="00000000">
      <w:pPr>
        <w:pStyle w:val="Tekstpodstawowy"/>
        <w:spacing w:before="115"/>
        <w:ind w:left="732" w:right="729"/>
        <w:jc w:val="both"/>
        <w:rPr>
          <w:lang w:val="pl-PL"/>
        </w:rPr>
      </w:pPr>
      <w:r w:rsidRPr="003E11E7">
        <w:rPr>
          <w:sz w:val="20"/>
          <w:lang w:val="pl-PL"/>
        </w:rPr>
        <w:t>Niniejszy dokument określa zasady orzecznictwa dotyczące sporów między domniemanymi nabywcami w dobrej wierze a prawowitymi właścicielami (podmiotami publicznymi lub osobami prywatnymi), domagającymi się zwrotu nieruchomości. Zawiera on również orzecznictwo wypracowane w odniesieniu do odbiorców świadczeń socjalnych i świadczeń z tytułu zatrudnienia, których wypłaty przekroczyły należne im kwoty z powodu błędów w obliczeniach, których nie byli w stanie zidentyfikować, gdzie stosowane są podobne zasady.</w:t>
      </w:r>
    </w:p>
    <w:p w14:paraId="3056239E" w14:textId="77777777" w:rsidR="00D31054" w:rsidRPr="003E11E7" w:rsidRDefault="00D31054">
      <w:pPr>
        <w:pStyle w:val="Tekstpodstawowy"/>
        <w:spacing w:before="12"/>
        <w:ind w:left="0"/>
        <w:rPr>
          <w:lang w:val="pl-PL"/>
        </w:rPr>
      </w:pPr>
    </w:p>
    <w:p w14:paraId="73A12DE6" w14:textId="77777777" w:rsidR="00D31054" w:rsidRPr="003E11E7" w:rsidRDefault="00000000">
      <w:pPr>
        <w:pStyle w:val="Nagwek2"/>
        <w:rPr>
          <w:lang w:val="pl-PL"/>
        </w:rPr>
      </w:pPr>
      <w:r>
        <w:rPr>
          <w:noProof/>
        </w:rPr>
        <mc:AlternateContent>
          <mc:Choice Requires="wps">
            <w:drawing>
              <wp:anchor distT="0" distB="0" distL="0" distR="0" simplePos="0" relativeHeight="251663360" behindDoc="1" locked="0" layoutInCell="1" allowOverlap="1" wp14:anchorId="431F2296" wp14:editId="1C7E9BFA">
                <wp:simplePos x="0" y="0"/>
                <wp:positionH relativeFrom="page">
                  <wp:posOffset>895985</wp:posOffset>
                </wp:positionH>
                <wp:positionV relativeFrom="paragraph">
                  <wp:posOffset>239328</wp:posOffset>
                </wp:positionV>
                <wp:extent cx="5768975" cy="1270"/>
                <wp:effectExtent l="0" t="0" r="0" b="0"/>
                <wp:wrapTopAndBottom/>
                <wp:docPr id="4" name="Graphic 4"/>
                <wp:cNvGraphicFramePr/>
                <a:graphic xmlns:a="http://schemas.openxmlformats.org/drawingml/2006/main">
                  <a:graphicData uri="http://schemas.microsoft.com/office/word/2010/wordprocessingShape">
                    <wps:wsp>
                      <wps:cNvSpPr/>
                      <wps:spPr>
                        <a:xfrm>
                          <a:off x="0" y="0"/>
                          <a:ext cx="5768975" cy="1270"/>
                        </a:xfrm>
                        <a:custGeom>
                          <a:avLst/>
                          <a:gdLst/>
                          <a:ahLst/>
                          <a:cxnLst/>
                          <a:rect l="l" t="t" r="r" b="b"/>
                          <a:pathLst>
                            <a:path w="5768975">
                              <a:moveTo>
                                <a:pt x="0" y="0"/>
                              </a:moveTo>
                              <a:lnTo>
                                <a:pt x="5768974" y="0"/>
                              </a:lnTo>
                            </a:path>
                          </a:pathLst>
                        </a:custGeom>
                        <a:ln w="19050">
                          <a:solidFill>
                            <a:srgbClr val="949494"/>
                          </a:solidFill>
                          <a:prstDash val="solid"/>
                        </a:ln>
                      </wps:spPr>
                      <wps:bodyPr wrap="square" lIns="0" tIns="0" rIns="0" bIns="0" rtlCol="0">
                        <a:prstTxWarp prst="textNoShape">
                          <a:avLst/>
                        </a:prstTxWarp>
                      </wps:bodyPr>
                    </wps:wsp>
                  </a:graphicData>
                </a:graphic>
              </wp:anchor>
            </w:drawing>
          </mc:Choice>
          <mc:Fallback>
            <w:pict>
              <v:shape w14:anchorId="65A62A4F" id="Graphic 4" o:spid="_x0000_s1026" style="position:absolute;margin-left:70.55pt;margin-top:18.85pt;width:454.2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5768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" path="m,l5768974,e" filled="f" strokecolor="#949494" strokeweight="1.5pt">
                <v:path arrowok="t"/>
                <w10:wrap type="topAndBottom" anchorx="page"/>
              </v:shape>
            </w:pict>
          </mc:Fallback>
        </mc:AlternateContent>
      </w:r>
      <w:r w:rsidRPr="003E11E7">
        <w:rPr>
          <w:color w:val="2F2F2F"/>
          <w:sz w:val="26"/>
          <w:lang w:val="pl-PL"/>
        </w:rPr>
        <w:t xml:space="preserve">Zasady wynikające z aktualnego </w:t>
      </w:r>
      <w:r w:rsidRPr="003E11E7">
        <w:rPr>
          <w:color w:val="2F2F2F"/>
          <w:spacing w:val="-5"/>
          <w:sz w:val="26"/>
          <w:lang w:val="pl-PL"/>
        </w:rPr>
        <w:t>orzecznictwa</w:t>
      </w:r>
    </w:p>
    <w:p w14:paraId="096AD807" w14:textId="77777777" w:rsidR="00D31054" w:rsidRPr="003E11E7" w:rsidRDefault="00000000">
      <w:pPr>
        <w:pStyle w:val="Nagwek3"/>
        <w:spacing w:before="284"/>
        <w:jc w:val="both"/>
        <w:rPr>
          <w:lang w:val="pl-PL"/>
        </w:rPr>
      </w:pPr>
      <w:r w:rsidRPr="003E11E7">
        <w:rPr>
          <w:color w:val="2F2F2F"/>
          <w:w w:val="85"/>
          <w:sz w:val="26"/>
          <w:lang w:val="pl-PL"/>
        </w:rPr>
        <w:t xml:space="preserve">Zastosowanie art. 1 Protokołu nr </w:t>
      </w:r>
      <w:r w:rsidRPr="003E11E7">
        <w:rPr>
          <w:color w:val="2F2F2F"/>
          <w:spacing w:val="-7"/>
          <w:w w:val="85"/>
          <w:sz w:val="26"/>
          <w:lang w:val="pl-PL"/>
        </w:rPr>
        <w:t>1:</w:t>
      </w:r>
    </w:p>
    <w:p w14:paraId="62EE479A" w14:textId="60633D7A" w:rsidR="00D31054" w:rsidRPr="003E11E7" w:rsidRDefault="00000000">
      <w:pPr>
        <w:pStyle w:val="Tekstpodstawowy"/>
        <w:spacing w:before="136"/>
        <w:ind w:left="732" w:right="729"/>
        <w:jc w:val="both"/>
        <w:rPr>
          <w:lang w:val="pl-PL"/>
        </w:rPr>
      </w:pPr>
      <w:r w:rsidRPr="003E11E7">
        <w:rPr>
          <w:sz w:val="20"/>
          <w:lang w:val="pl-PL"/>
        </w:rPr>
        <w:t>Art</w:t>
      </w:r>
      <w:r w:rsidR="009D3E12" w:rsidRPr="003E11E7">
        <w:rPr>
          <w:sz w:val="20"/>
          <w:lang w:val="pl-PL"/>
        </w:rPr>
        <w:t>.</w:t>
      </w:r>
      <w:r w:rsidRPr="003E11E7">
        <w:rPr>
          <w:sz w:val="20"/>
          <w:lang w:val="pl-PL"/>
        </w:rPr>
        <w:t xml:space="preserve"> 1 Protokołu nr </w:t>
      </w:r>
      <w:r w:rsidRPr="003E11E7">
        <w:rPr>
          <w:spacing w:val="-1"/>
          <w:sz w:val="20"/>
          <w:lang w:val="pl-PL"/>
        </w:rPr>
        <w:t xml:space="preserve">1 </w:t>
      </w:r>
      <w:r w:rsidRPr="003E11E7">
        <w:rPr>
          <w:sz w:val="20"/>
          <w:lang w:val="pl-PL"/>
        </w:rPr>
        <w:t>ma zastosowanie do unieważnienia tytułu prawnego nabywców działających w dobrej wierze na mocy orzeczenia sądowego, niezależnie od tego, czy wynika on z roszczeń podmiotów publicznych, czy prywatnych, oraz niezależnie od tego, czy wada tytułu prawnego powstała w wyniku błędu administracyjnego organu państwowego, czy też oszustwa osoby trzeciej. Zakres kontroli Trybunału będzie jednak różny w tych sytuacjach (zob. poniżej: Zakres kontroli: kontekst publicznoprawny i prywatnoprawny).</w:t>
      </w:r>
    </w:p>
    <w:p w14:paraId="6A3DCE96" w14:textId="77777777" w:rsidR="00D31054" w:rsidRPr="003E11E7" w:rsidRDefault="00D31054">
      <w:pPr>
        <w:pStyle w:val="Tekstpodstawowy"/>
        <w:spacing w:before="15"/>
        <w:ind w:left="0"/>
        <w:rPr>
          <w:lang w:val="pl-PL"/>
        </w:rPr>
      </w:pPr>
    </w:p>
    <w:p w14:paraId="602B430E" w14:textId="3E8821E1" w:rsidR="00D31054" w:rsidRPr="003E11E7" w:rsidRDefault="00BC1E56">
      <w:pPr>
        <w:pStyle w:val="Nagwek3"/>
        <w:jc w:val="both"/>
        <w:rPr>
          <w:lang w:val="pl-PL"/>
        </w:rPr>
      </w:pPr>
      <w:r w:rsidRPr="003E11E7">
        <w:rPr>
          <w:color w:val="2F2F2F"/>
          <w:w w:val="85"/>
          <w:sz w:val="26"/>
          <w:lang w:val="pl-PL"/>
        </w:rPr>
        <w:t>Istnienie „</w:t>
      </w:r>
      <w:r w:rsidRPr="003E11E7">
        <w:rPr>
          <w:color w:val="2F2F2F"/>
          <w:spacing w:val="-2"/>
          <w:w w:val="85"/>
          <w:sz w:val="26"/>
          <w:lang w:val="pl-PL"/>
        </w:rPr>
        <w:t>stanu posiadania":</w:t>
      </w:r>
    </w:p>
    <w:p w14:paraId="76B865DF" w14:textId="62BFD595" w:rsidR="00D31054" w:rsidRPr="003E11E7" w:rsidRDefault="00000000">
      <w:pPr>
        <w:pStyle w:val="Tekstpodstawowy"/>
        <w:spacing w:before="136"/>
        <w:ind w:left="732" w:right="730"/>
        <w:jc w:val="both"/>
        <w:rPr>
          <w:lang w:val="pl-PL"/>
        </w:rPr>
      </w:pPr>
      <w:r w:rsidRPr="003E11E7">
        <w:rPr>
          <w:sz w:val="20"/>
          <w:lang w:val="pl-PL"/>
        </w:rPr>
        <w:t xml:space="preserve">Sam fakt, że prawo własności podlega uchyleniu w pewnych okolicznościach, nie </w:t>
      </w:r>
      <w:r w:rsidR="00B92C39" w:rsidRPr="003E11E7">
        <w:rPr>
          <w:sz w:val="20"/>
          <w:lang w:val="pl-PL"/>
        </w:rPr>
        <w:t>pozbawia go charakteru</w:t>
      </w:r>
      <w:r w:rsidR="001642A9" w:rsidRPr="003E11E7">
        <w:rPr>
          <w:sz w:val="20"/>
          <w:lang w:val="pl-PL"/>
        </w:rPr>
        <w:t xml:space="preserve"> </w:t>
      </w:r>
      <w:r w:rsidR="00B92C39" w:rsidRPr="003E11E7">
        <w:rPr>
          <w:sz w:val="20"/>
          <w:lang w:val="pl-PL"/>
        </w:rPr>
        <w:t>„</w:t>
      </w:r>
      <w:r w:rsidRPr="003E11E7">
        <w:rPr>
          <w:sz w:val="20"/>
          <w:lang w:val="pl-PL"/>
        </w:rPr>
        <w:t>posiadani</w:t>
      </w:r>
      <w:r w:rsidR="00B92C39" w:rsidRPr="003E11E7">
        <w:rPr>
          <w:sz w:val="20"/>
          <w:lang w:val="pl-PL"/>
        </w:rPr>
        <w:t>a</w:t>
      </w:r>
      <w:r w:rsidRPr="003E11E7">
        <w:rPr>
          <w:sz w:val="20"/>
          <w:lang w:val="pl-PL"/>
        </w:rPr>
        <w:t xml:space="preserve">" w rozumieniu </w:t>
      </w:r>
      <w:r w:rsidR="00B92C39" w:rsidRPr="003E11E7">
        <w:rPr>
          <w:sz w:val="20"/>
          <w:lang w:val="pl-PL"/>
        </w:rPr>
        <w:t>art.</w:t>
      </w:r>
      <w:r w:rsidRPr="003E11E7">
        <w:rPr>
          <w:sz w:val="20"/>
          <w:lang w:val="pl-PL"/>
        </w:rPr>
        <w:t xml:space="preserve"> 1 Protokołu nr </w:t>
      </w:r>
      <w:r w:rsidRPr="003E11E7">
        <w:rPr>
          <w:spacing w:val="-2"/>
          <w:sz w:val="20"/>
          <w:lang w:val="pl-PL"/>
        </w:rPr>
        <w:t>1</w:t>
      </w:r>
      <w:r w:rsidRPr="003E11E7">
        <w:rPr>
          <w:sz w:val="20"/>
          <w:lang w:val="pl-PL"/>
        </w:rPr>
        <w:t>, przynajmniej do czasu jego uchylenia (</w:t>
      </w:r>
      <w:proofErr w:type="spellStart"/>
      <w:r w:rsidR="00D31054">
        <w:fldChar w:fldCharType="begin"/>
      </w:r>
      <w:r w:rsidR="00D31054" w:rsidRPr="003E11E7">
        <w:rPr>
          <w:lang w:val="pl-PL"/>
        </w:rPr>
        <w:instrText>HYPERLINK "https://hudoc.echr.coe.int/eng?i=001-58832" \h</w:instrText>
      </w:r>
      <w:r w:rsidR="00D31054">
        <w:fldChar w:fldCharType="separate"/>
      </w:r>
      <w:r w:rsidR="00D31054" w:rsidRPr="003E11E7">
        <w:rPr>
          <w:i/>
          <w:color w:val="0072BC"/>
          <w:sz w:val="20"/>
          <w:lang w:val="pl-PL"/>
        </w:rPr>
        <w:t>Beyeler</w:t>
      </w:r>
      <w:proofErr w:type="spellEnd"/>
      <w:r w:rsidR="00D31054" w:rsidRPr="003E11E7">
        <w:rPr>
          <w:i/>
          <w:color w:val="0072BC"/>
          <w:sz w:val="20"/>
          <w:lang w:val="pl-PL"/>
        </w:rPr>
        <w:t xml:space="preserve"> przeciwko Włochom </w:t>
      </w:r>
      <w:r w:rsidR="00D31054">
        <w:fldChar w:fldCharType="end"/>
      </w:r>
      <w:r w:rsidRPr="003E11E7">
        <w:rPr>
          <w:sz w:val="20"/>
          <w:lang w:val="pl-PL"/>
        </w:rPr>
        <w:t>[</w:t>
      </w:r>
      <w:r w:rsidR="00B92C39" w:rsidRPr="003E11E7">
        <w:rPr>
          <w:sz w:val="20"/>
          <w:lang w:val="pl-PL"/>
        </w:rPr>
        <w:t>WI</w:t>
      </w:r>
      <w:r w:rsidRPr="003E11E7">
        <w:rPr>
          <w:sz w:val="20"/>
          <w:lang w:val="pl-PL"/>
        </w:rPr>
        <w:t>], 2000</w:t>
      </w:r>
      <w:r w:rsidR="00B92C39" w:rsidRPr="003E11E7">
        <w:rPr>
          <w:sz w:val="20"/>
          <w:lang w:val="pl-PL"/>
        </w:rPr>
        <w:t xml:space="preserve"> r.</w:t>
      </w:r>
      <w:r w:rsidRPr="003E11E7">
        <w:rPr>
          <w:sz w:val="20"/>
          <w:lang w:val="pl-PL"/>
        </w:rPr>
        <w:t>, § 105).</w:t>
      </w:r>
    </w:p>
    <w:p w14:paraId="1B290A89" w14:textId="77777777" w:rsidR="00D31054" w:rsidRPr="003E11E7" w:rsidRDefault="00D31054">
      <w:pPr>
        <w:pStyle w:val="Tekstpodstawowy"/>
        <w:spacing w:before="0"/>
        <w:ind w:left="0"/>
        <w:rPr>
          <w:sz w:val="20"/>
          <w:lang w:val="pl-PL"/>
        </w:rPr>
      </w:pPr>
    </w:p>
    <w:p w14:paraId="1085DA40" w14:textId="77777777" w:rsidR="00D31054" w:rsidRPr="003E11E7" w:rsidRDefault="00D31054">
      <w:pPr>
        <w:pStyle w:val="Tekstpodstawowy"/>
        <w:spacing w:before="0"/>
        <w:ind w:left="0"/>
        <w:rPr>
          <w:sz w:val="20"/>
          <w:lang w:val="pl-PL"/>
        </w:rPr>
      </w:pPr>
    </w:p>
    <w:p w14:paraId="7A1290BA" w14:textId="77777777" w:rsidR="00D31054" w:rsidRPr="003E11E7" w:rsidRDefault="00000000">
      <w:pPr>
        <w:pStyle w:val="Tekstpodstawowy"/>
        <w:spacing w:before="41"/>
        <w:ind w:left="0"/>
        <w:rPr>
          <w:sz w:val="20"/>
          <w:lang w:val="pl-PL"/>
        </w:rPr>
      </w:pPr>
      <w:r>
        <w:rPr>
          <w:noProof/>
          <w:sz w:val="20"/>
        </w:rPr>
        <mc:AlternateContent>
          <mc:Choice Requires="wps">
            <w:drawing>
              <wp:anchor distT="0" distB="0" distL="0" distR="0" simplePos="0" relativeHeight="251665408" behindDoc="1" locked="0" layoutInCell="1" allowOverlap="1" wp14:anchorId="4032843C" wp14:editId="6D07D766">
                <wp:simplePos x="0" y="0"/>
                <wp:positionH relativeFrom="page">
                  <wp:posOffset>914400</wp:posOffset>
                </wp:positionH>
                <wp:positionV relativeFrom="paragraph">
                  <wp:posOffset>196456</wp:posOffset>
                </wp:positionV>
                <wp:extent cx="1822450" cy="1270"/>
                <wp:effectExtent l="0" t="0" r="0" b="0"/>
                <wp:wrapTopAndBottom/>
                <wp:docPr id="5" name="Graphic 5"/>
                <wp:cNvGraphicFramePr/>
                <a:graphic xmlns:a="http://schemas.openxmlformats.org/drawingml/2006/main">
                  <a:graphicData uri="http://schemas.microsoft.com/office/word/2010/wordprocessingShape">
                    <wps:wsp>
                      <wps:cNvSpPr/>
                      <wps:spPr>
                        <a:xfrm>
                          <a:off x="0" y="0"/>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w14:anchorId="708D2CA3" id="Graphic 5" o:spid="_x0000_s1026" style="position:absolute;margin-left:1in;margin-top:15.45pt;width:143.5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" path="m,l1822450,e" filled="f" strokeweight=".72pt">
                <v:path arrowok="t"/>
                <w10:wrap type="topAndBottom" anchorx="page"/>
              </v:shape>
            </w:pict>
          </mc:Fallback>
        </mc:AlternateContent>
      </w:r>
    </w:p>
    <w:p w14:paraId="35473AB7" w14:textId="77777777" w:rsidR="00D31054" w:rsidRPr="003E11E7" w:rsidRDefault="00D31054">
      <w:pPr>
        <w:pStyle w:val="Tekstpodstawowy"/>
        <w:spacing w:before="4"/>
        <w:ind w:left="0"/>
        <w:rPr>
          <w:sz w:val="20"/>
          <w:lang w:val="pl-PL"/>
        </w:rPr>
      </w:pPr>
    </w:p>
    <w:p w14:paraId="08A43DCC" w14:textId="49C04641" w:rsidR="00D31054" w:rsidRPr="003E11E7" w:rsidRDefault="00000000" w:rsidP="00E56E7E">
      <w:pPr>
        <w:spacing w:before="1"/>
        <w:ind w:left="732"/>
        <w:jc w:val="both"/>
        <w:rPr>
          <w:sz w:val="20"/>
          <w:lang w:val="pl-PL"/>
        </w:rPr>
      </w:pPr>
      <w:r w:rsidRPr="003E11E7">
        <w:rPr>
          <w:position w:val="6"/>
          <w:sz w:val="12"/>
          <w:lang w:val="pl-PL"/>
        </w:rPr>
        <w:t xml:space="preserve">1 </w:t>
      </w:r>
      <w:r w:rsidRPr="003E11E7">
        <w:rPr>
          <w:sz w:val="19"/>
          <w:lang w:val="pl-PL"/>
        </w:rPr>
        <w:t xml:space="preserve">Przygotowane przez Kancelarię. Nie wiąże </w:t>
      </w:r>
      <w:r w:rsidRPr="003E11E7">
        <w:rPr>
          <w:spacing w:val="-2"/>
          <w:sz w:val="19"/>
          <w:lang w:val="pl-PL"/>
        </w:rPr>
        <w:t>Trybunału.</w:t>
      </w:r>
    </w:p>
    <w:p w14:paraId="1FE3813F" w14:textId="7DB5115F" w:rsidR="00D31054" w:rsidRPr="003E11E7" w:rsidRDefault="00000000" w:rsidP="00E56E7E">
      <w:pPr>
        <w:spacing w:before="144" w:line="242" w:lineRule="auto"/>
        <w:ind w:left="732" w:right="729"/>
        <w:jc w:val="both"/>
        <w:rPr>
          <w:sz w:val="20"/>
          <w:lang w:val="pl-PL"/>
        </w:rPr>
      </w:pPr>
      <w:r w:rsidRPr="003E11E7">
        <w:rPr>
          <w:sz w:val="19"/>
          <w:vertAlign w:val="superscript"/>
          <w:lang w:val="pl-PL"/>
        </w:rPr>
        <w:t>2</w:t>
      </w:r>
      <w:hyperlink r:id="rId8">
        <w:r w:rsidR="00D31054" w:rsidRPr="003E11E7">
          <w:rPr>
            <w:i/>
            <w:color w:val="0072BC"/>
            <w:sz w:val="19"/>
            <w:lang w:val="pl-PL"/>
          </w:rPr>
          <w:t>Velikovi i Inni przeciwko Bułgarii</w:t>
        </w:r>
      </w:hyperlink>
      <w:r w:rsidRPr="003E11E7">
        <w:rPr>
          <w:sz w:val="19"/>
          <w:lang w:val="pl-PL"/>
        </w:rPr>
        <w:t>, 2007</w:t>
      </w:r>
      <w:r w:rsidR="00B92C39" w:rsidRPr="003E11E7">
        <w:rPr>
          <w:sz w:val="19"/>
          <w:lang w:val="pl-PL"/>
        </w:rPr>
        <w:t xml:space="preserve"> r.</w:t>
      </w:r>
      <w:r w:rsidRPr="003E11E7">
        <w:rPr>
          <w:sz w:val="19"/>
          <w:lang w:val="pl-PL"/>
        </w:rPr>
        <w:t xml:space="preserve">, §§ 116 i 244; inne używane terminy obejmują </w:t>
      </w:r>
      <w:r w:rsidR="00B92C39" w:rsidRPr="003E11E7">
        <w:rPr>
          <w:sz w:val="20"/>
          <w:lang w:val="pl-PL"/>
        </w:rPr>
        <w:t>„</w:t>
      </w:r>
      <w:r w:rsidRPr="003E11E7">
        <w:rPr>
          <w:sz w:val="19"/>
          <w:lang w:val="pl-PL"/>
        </w:rPr>
        <w:t>nabywcę w dobrej wierze" (</w:t>
      </w:r>
      <w:proofErr w:type="spellStart"/>
      <w:r w:rsidR="00D31054">
        <w:fldChar w:fldCharType="begin"/>
      </w:r>
      <w:r w:rsidR="00D31054" w:rsidRPr="003E11E7">
        <w:rPr>
          <w:lang w:val="pl-PL"/>
        </w:rPr>
        <w:instrText>HYPERLINK "https://hudoc.echr.coe.int/eng?i=001-107713" \h</w:instrText>
      </w:r>
      <w:r w:rsidR="00D31054">
        <w:fldChar w:fldCharType="separate"/>
      </w:r>
      <w:r w:rsidR="00D31054" w:rsidRPr="003E11E7">
        <w:rPr>
          <w:i/>
          <w:color w:val="0072BC"/>
          <w:sz w:val="19"/>
          <w:lang w:val="pl-PL"/>
        </w:rPr>
        <w:t>Gladysheva</w:t>
      </w:r>
      <w:proofErr w:type="spellEnd"/>
      <w:r w:rsidR="00D31054" w:rsidRPr="003E11E7">
        <w:rPr>
          <w:i/>
          <w:color w:val="0072BC"/>
          <w:sz w:val="19"/>
          <w:lang w:val="pl-PL"/>
        </w:rPr>
        <w:t xml:space="preserve"> przeciwko Rosji</w:t>
      </w:r>
      <w:r w:rsidR="00D31054">
        <w:fldChar w:fldCharType="end"/>
      </w:r>
      <w:r w:rsidRPr="003E11E7">
        <w:rPr>
          <w:sz w:val="19"/>
          <w:lang w:val="pl-PL"/>
        </w:rPr>
        <w:t>, 2011</w:t>
      </w:r>
      <w:r w:rsidR="00B92C39" w:rsidRPr="003E11E7">
        <w:rPr>
          <w:sz w:val="19"/>
          <w:lang w:val="pl-PL"/>
        </w:rPr>
        <w:t xml:space="preserve"> r.</w:t>
      </w:r>
      <w:r w:rsidRPr="003E11E7">
        <w:rPr>
          <w:sz w:val="19"/>
          <w:lang w:val="pl-PL"/>
        </w:rPr>
        <w:t xml:space="preserve">, § 35), </w:t>
      </w:r>
      <w:r w:rsidR="00B92C39" w:rsidRPr="003E11E7">
        <w:rPr>
          <w:sz w:val="20"/>
          <w:lang w:val="pl-PL"/>
        </w:rPr>
        <w:t>„</w:t>
      </w:r>
      <w:r w:rsidR="006F3946" w:rsidRPr="003E11E7">
        <w:rPr>
          <w:sz w:val="19"/>
          <w:lang w:val="pl-PL"/>
        </w:rPr>
        <w:t>kupujący</w:t>
      </w:r>
      <w:r w:rsidRPr="003E11E7">
        <w:rPr>
          <w:sz w:val="19"/>
          <w:lang w:val="pl-PL"/>
        </w:rPr>
        <w:t xml:space="preserve"> w dobrej wierze" (</w:t>
      </w:r>
      <w:proofErr w:type="spellStart"/>
      <w:r w:rsidR="00D31054">
        <w:fldChar w:fldCharType="begin"/>
      </w:r>
      <w:r w:rsidR="00D31054" w:rsidRPr="003E11E7">
        <w:rPr>
          <w:lang w:val="pl-PL"/>
        </w:rPr>
        <w:instrText>HYPERLINK "https://hudoc.echr.coe.int/eng?i=001-168700" \h</w:instrText>
      </w:r>
      <w:r w:rsidR="00D31054">
        <w:fldChar w:fldCharType="separate"/>
      </w:r>
      <w:r w:rsidR="00D31054" w:rsidRPr="003E11E7">
        <w:rPr>
          <w:i/>
          <w:color w:val="0072BC"/>
          <w:sz w:val="19"/>
          <w:lang w:val="pl-PL"/>
        </w:rPr>
        <w:t>Alentseva</w:t>
      </w:r>
      <w:proofErr w:type="spellEnd"/>
      <w:r w:rsidR="00D31054" w:rsidRPr="003E11E7">
        <w:rPr>
          <w:i/>
          <w:color w:val="0072BC"/>
          <w:sz w:val="19"/>
          <w:lang w:val="pl-PL"/>
        </w:rPr>
        <w:t xml:space="preserve"> przeciwko Rosji</w:t>
      </w:r>
      <w:r w:rsidR="00D31054">
        <w:fldChar w:fldCharType="end"/>
      </w:r>
      <w:r w:rsidRPr="003E11E7">
        <w:rPr>
          <w:sz w:val="19"/>
          <w:lang w:val="pl-PL"/>
        </w:rPr>
        <w:t>, 2016</w:t>
      </w:r>
      <w:r w:rsidR="001642A9" w:rsidRPr="003E11E7">
        <w:rPr>
          <w:sz w:val="19"/>
          <w:lang w:val="pl-PL"/>
        </w:rPr>
        <w:t xml:space="preserve"> r.</w:t>
      </w:r>
      <w:r w:rsidRPr="003E11E7">
        <w:rPr>
          <w:sz w:val="19"/>
          <w:lang w:val="pl-PL"/>
        </w:rPr>
        <w:t xml:space="preserve">, § 26), </w:t>
      </w:r>
      <w:r w:rsidR="00BF2447" w:rsidRPr="003E11E7">
        <w:rPr>
          <w:lang w:val="pl-PL"/>
        </w:rPr>
        <w:t>„</w:t>
      </w:r>
      <w:r w:rsidRPr="003E11E7">
        <w:rPr>
          <w:sz w:val="19"/>
          <w:lang w:val="pl-PL"/>
        </w:rPr>
        <w:t xml:space="preserve">właściciela </w:t>
      </w:r>
      <w:r w:rsidR="006F3946" w:rsidRPr="003E11E7">
        <w:rPr>
          <w:i/>
          <w:iCs/>
          <w:sz w:val="19"/>
          <w:lang w:val="pl-PL"/>
        </w:rPr>
        <w:t>w dobrej wierze</w:t>
      </w:r>
      <w:r w:rsidRPr="003E11E7">
        <w:rPr>
          <w:sz w:val="19"/>
          <w:lang w:val="pl-PL"/>
        </w:rPr>
        <w:t>" (</w:t>
      </w:r>
      <w:proofErr w:type="spellStart"/>
      <w:r w:rsidR="00D31054">
        <w:fldChar w:fldCharType="begin"/>
      </w:r>
      <w:r w:rsidR="00D31054" w:rsidRPr="003E11E7">
        <w:rPr>
          <w:lang w:val="pl-PL"/>
        </w:rPr>
        <w:instrText>HYPERLINK "https://hudoc.echr.coe.int/eng?i=001-128040" \h</w:instrText>
      </w:r>
      <w:r w:rsidR="00D31054">
        <w:fldChar w:fldCharType="separate"/>
      </w:r>
      <w:r w:rsidR="00D31054" w:rsidRPr="003E11E7">
        <w:rPr>
          <w:i/>
          <w:color w:val="0072BC"/>
          <w:sz w:val="19"/>
          <w:lang w:val="pl-PL"/>
        </w:rPr>
        <w:t>Pyrantienė</w:t>
      </w:r>
      <w:proofErr w:type="spellEnd"/>
      <w:r w:rsidR="00D31054" w:rsidRPr="003E11E7">
        <w:rPr>
          <w:i/>
          <w:color w:val="0072BC"/>
          <w:sz w:val="19"/>
          <w:lang w:val="pl-PL"/>
        </w:rPr>
        <w:t xml:space="preserve"> przeciwko Litwie</w:t>
      </w:r>
      <w:r w:rsidR="00D31054">
        <w:fldChar w:fldCharType="end"/>
      </w:r>
      <w:r w:rsidRPr="003E11E7">
        <w:rPr>
          <w:sz w:val="19"/>
          <w:lang w:val="pl-PL"/>
        </w:rPr>
        <w:t>, 2013</w:t>
      </w:r>
      <w:r w:rsidR="001642A9" w:rsidRPr="003E11E7">
        <w:rPr>
          <w:sz w:val="19"/>
          <w:lang w:val="pl-PL"/>
        </w:rPr>
        <w:t xml:space="preserve"> r.</w:t>
      </w:r>
      <w:r w:rsidRPr="003E11E7">
        <w:rPr>
          <w:sz w:val="19"/>
          <w:lang w:val="pl-PL"/>
        </w:rPr>
        <w:t xml:space="preserve">, § 69), </w:t>
      </w:r>
      <w:r w:rsidR="00BF2447" w:rsidRPr="003E11E7">
        <w:rPr>
          <w:lang w:val="pl-PL"/>
        </w:rPr>
        <w:t>„</w:t>
      </w:r>
      <w:r w:rsidRPr="003E11E7">
        <w:rPr>
          <w:sz w:val="19"/>
          <w:lang w:val="pl-PL"/>
        </w:rPr>
        <w:t xml:space="preserve">posiadacza </w:t>
      </w:r>
      <w:r w:rsidR="006F3946" w:rsidRPr="003E11E7">
        <w:rPr>
          <w:i/>
          <w:iCs/>
          <w:sz w:val="19"/>
          <w:lang w:val="pl-PL"/>
        </w:rPr>
        <w:t>w dobrej wierze</w:t>
      </w:r>
      <w:r w:rsidRPr="003E11E7">
        <w:rPr>
          <w:sz w:val="19"/>
          <w:lang w:val="pl-PL"/>
        </w:rPr>
        <w:t>" (</w:t>
      </w:r>
      <w:proofErr w:type="spellStart"/>
      <w:r w:rsidR="00D31054">
        <w:fldChar w:fldCharType="begin"/>
      </w:r>
      <w:r w:rsidR="00D31054" w:rsidRPr="003E11E7">
        <w:rPr>
          <w:lang w:val="pl-PL"/>
        </w:rPr>
        <w:instrText>HYPERLINK "https://hudoc.echr.coe.int/eng?i=001-170461" \h</w:instrText>
      </w:r>
      <w:r w:rsidR="00D31054">
        <w:fldChar w:fldCharType="separate"/>
      </w:r>
      <w:r w:rsidR="00D31054" w:rsidRPr="003E11E7">
        <w:rPr>
          <w:i/>
          <w:color w:val="0072BC"/>
          <w:sz w:val="19"/>
          <w:lang w:val="pl-PL"/>
        </w:rPr>
        <w:t>Dzirnis</w:t>
      </w:r>
      <w:proofErr w:type="spellEnd"/>
      <w:r w:rsidR="00D31054" w:rsidRPr="003E11E7">
        <w:rPr>
          <w:i/>
          <w:color w:val="0072BC"/>
          <w:sz w:val="19"/>
          <w:lang w:val="pl-PL"/>
        </w:rPr>
        <w:t xml:space="preserve"> przeciwko Łotwie</w:t>
      </w:r>
      <w:r w:rsidR="00D31054">
        <w:fldChar w:fldCharType="end"/>
      </w:r>
      <w:r w:rsidRPr="003E11E7">
        <w:rPr>
          <w:sz w:val="19"/>
          <w:lang w:val="pl-PL"/>
        </w:rPr>
        <w:t>, 2017</w:t>
      </w:r>
      <w:r w:rsidR="001642A9" w:rsidRPr="003E11E7">
        <w:rPr>
          <w:sz w:val="19"/>
          <w:lang w:val="pl-PL"/>
        </w:rPr>
        <w:t xml:space="preserve"> r.</w:t>
      </w:r>
      <w:r w:rsidRPr="003E11E7">
        <w:rPr>
          <w:sz w:val="19"/>
          <w:lang w:val="pl-PL"/>
        </w:rPr>
        <w:t>, § 80).</w:t>
      </w:r>
    </w:p>
    <w:p w14:paraId="75E201F5" w14:textId="388F1430" w:rsidR="00D31054" w:rsidRPr="003E11E7" w:rsidRDefault="00000000" w:rsidP="00E56E7E">
      <w:pPr>
        <w:spacing w:before="118"/>
        <w:ind w:left="732"/>
        <w:jc w:val="both"/>
        <w:rPr>
          <w:sz w:val="20"/>
          <w:lang w:val="pl-PL"/>
        </w:rPr>
      </w:pPr>
      <w:r w:rsidRPr="003E11E7">
        <w:rPr>
          <w:position w:val="6"/>
          <w:sz w:val="12"/>
          <w:lang w:val="pl-PL"/>
        </w:rPr>
        <w:t xml:space="preserve">3 </w:t>
      </w:r>
      <w:hyperlink r:id="rId9">
        <w:proofErr w:type="spellStart"/>
        <w:r w:rsidR="00D31054" w:rsidRPr="003E11E7">
          <w:rPr>
            <w:i/>
            <w:color w:val="0072BC"/>
            <w:sz w:val="19"/>
            <w:lang w:val="pl-PL"/>
          </w:rPr>
          <w:t>Velikovi</w:t>
        </w:r>
        <w:proofErr w:type="spellEnd"/>
        <w:r w:rsidR="00D31054" w:rsidRPr="003E11E7">
          <w:rPr>
            <w:i/>
            <w:color w:val="0072BC"/>
            <w:sz w:val="19"/>
            <w:lang w:val="pl-PL"/>
          </w:rPr>
          <w:t xml:space="preserve"> i Inni przeciwko Bułgarii</w:t>
        </w:r>
      </w:hyperlink>
      <w:r w:rsidRPr="003E11E7">
        <w:rPr>
          <w:sz w:val="19"/>
          <w:lang w:val="pl-PL"/>
        </w:rPr>
        <w:t>, 2007</w:t>
      </w:r>
      <w:r w:rsidR="001642A9" w:rsidRPr="003E11E7">
        <w:rPr>
          <w:sz w:val="19"/>
          <w:lang w:val="pl-PL"/>
        </w:rPr>
        <w:t xml:space="preserve"> r.</w:t>
      </w:r>
      <w:r w:rsidRPr="003E11E7">
        <w:rPr>
          <w:sz w:val="19"/>
          <w:lang w:val="pl-PL"/>
        </w:rPr>
        <w:t xml:space="preserve">, § 116; </w:t>
      </w:r>
      <w:hyperlink r:id="rId10">
        <w:proofErr w:type="spellStart"/>
        <w:r w:rsidR="00D31054" w:rsidRPr="003E11E7">
          <w:rPr>
            <w:i/>
            <w:color w:val="0072BC"/>
            <w:sz w:val="19"/>
            <w:lang w:val="pl-PL"/>
          </w:rPr>
          <w:t>Gladysheva</w:t>
        </w:r>
        <w:proofErr w:type="spellEnd"/>
        <w:r w:rsidR="00D31054" w:rsidRPr="003E11E7">
          <w:rPr>
            <w:i/>
            <w:color w:val="0072BC"/>
            <w:sz w:val="19"/>
            <w:lang w:val="pl-PL"/>
          </w:rPr>
          <w:t xml:space="preserve"> przeciwko Rosji</w:t>
        </w:r>
      </w:hyperlink>
      <w:r w:rsidRPr="003E11E7">
        <w:rPr>
          <w:sz w:val="19"/>
          <w:lang w:val="pl-PL"/>
        </w:rPr>
        <w:t>, 2011</w:t>
      </w:r>
      <w:r w:rsidR="001642A9" w:rsidRPr="003E11E7">
        <w:rPr>
          <w:sz w:val="19"/>
          <w:lang w:val="pl-PL"/>
        </w:rPr>
        <w:t xml:space="preserve"> r.</w:t>
      </w:r>
      <w:r w:rsidRPr="003E11E7">
        <w:rPr>
          <w:sz w:val="19"/>
          <w:lang w:val="pl-PL"/>
        </w:rPr>
        <w:t xml:space="preserve">, § </w:t>
      </w:r>
      <w:r w:rsidRPr="003E11E7">
        <w:rPr>
          <w:spacing w:val="-5"/>
          <w:sz w:val="19"/>
          <w:lang w:val="pl-PL"/>
        </w:rPr>
        <w:t>35.</w:t>
      </w:r>
    </w:p>
    <w:p w14:paraId="7A721D6B" w14:textId="77777777" w:rsidR="00D31054" w:rsidRPr="003E11E7" w:rsidRDefault="00000000">
      <w:pPr>
        <w:pStyle w:val="Tekstpodstawowy"/>
        <w:spacing w:before="0"/>
        <w:ind w:left="0"/>
        <w:rPr>
          <w:sz w:val="15"/>
          <w:lang w:val="pl-PL"/>
        </w:rPr>
      </w:pPr>
      <w:r>
        <w:rPr>
          <w:noProof/>
          <w:sz w:val="15"/>
        </w:rPr>
        <w:drawing>
          <wp:anchor distT="0" distB="0" distL="0" distR="0" simplePos="0" relativeHeight="251667456" behindDoc="1" locked="0" layoutInCell="1" allowOverlap="1" wp14:anchorId="60DF4995" wp14:editId="7116B7C3">
            <wp:simplePos x="0" y="0"/>
            <wp:positionH relativeFrom="page">
              <wp:posOffset>3402458</wp:posOffset>
            </wp:positionH>
            <wp:positionV relativeFrom="paragraph">
              <wp:posOffset>132006</wp:posOffset>
            </wp:positionV>
            <wp:extent cx="730883" cy="585692"/>
            <wp:effectExtent l="0" t="0" r="0" b="0"/>
            <wp:wrapTopAndBottom/>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730883" cy="585692"/>
                    </a:xfrm>
                    <a:prstGeom prst="rect">
                      <a:avLst/>
                    </a:prstGeom>
                  </pic:spPr>
                </pic:pic>
              </a:graphicData>
            </a:graphic>
          </wp:anchor>
        </w:drawing>
      </w:r>
    </w:p>
    <w:p w14:paraId="06DF972C" w14:textId="77777777" w:rsidR="00D31054" w:rsidRPr="003E11E7" w:rsidRDefault="00D31054">
      <w:pPr>
        <w:pStyle w:val="Tekstpodstawowy"/>
        <w:rPr>
          <w:sz w:val="15"/>
          <w:lang w:val="pl-PL"/>
        </w:rPr>
        <w:sectPr w:rsidR="00D31054" w:rsidRPr="003E11E7">
          <w:type w:val="continuous"/>
          <w:pgSz w:w="11910" w:h="16840"/>
          <w:pgMar w:top="740" w:right="708" w:bottom="280" w:left="708" w:header="708" w:footer="708" w:gutter="0"/>
          <w:cols w:space="708"/>
        </w:sectPr>
      </w:pPr>
    </w:p>
    <w:p w14:paraId="4AB72BDB" w14:textId="77777777" w:rsidR="00D31054" w:rsidRPr="003E11E7" w:rsidRDefault="00D31054">
      <w:pPr>
        <w:pStyle w:val="Tekstpodstawowy"/>
        <w:spacing w:before="146"/>
        <w:ind w:left="0"/>
        <w:rPr>
          <w:lang w:val="pl-PL"/>
        </w:rPr>
      </w:pPr>
    </w:p>
    <w:p w14:paraId="701A453A" w14:textId="06E43057" w:rsidR="00D31054" w:rsidRPr="003E11E7" w:rsidRDefault="00000000">
      <w:pPr>
        <w:pStyle w:val="Tekstpodstawowy"/>
        <w:spacing w:before="0"/>
        <w:ind w:left="732" w:right="730"/>
        <w:jc w:val="both"/>
        <w:rPr>
          <w:lang w:val="pl-PL"/>
        </w:rPr>
      </w:pPr>
      <w:r w:rsidRPr="003E11E7">
        <w:rPr>
          <w:sz w:val="20"/>
          <w:lang w:val="pl-PL"/>
        </w:rPr>
        <w:t xml:space="preserve">Tytuł prawny do nieruchomości, po jego formalnym uznaniu, jest uważany za </w:t>
      </w:r>
      <w:r w:rsidR="00BB640F" w:rsidRPr="003E11E7">
        <w:rPr>
          <w:sz w:val="20"/>
          <w:lang w:val="pl-PL"/>
        </w:rPr>
        <w:t>„</w:t>
      </w:r>
      <w:r w:rsidRPr="003E11E7">
        <w:rPr>
          <w:sz w:val="20"/>
          <w:lang w:val="pl-PL"/>
        </w:rPr>
        <w:t>posiadanie", w szczególności jeśli został oficjalnie zarejestrowany (</w:t>
      </w:r>
      <w:proofErr w:type="spellStart"/>
      <w:r w:rsidR="00D31054">
        <w:fldChar w:fldCharType="begin"/>
      </w:r>
      <w:r w:rsidR="00D31054" w:rsidRPr="003E11E7">
        <w:rPr>
          <w:lang w:val="pl-PL"/>
        </w:rPr>
        <w:instrText>HYPERLINK "https://hudoc.echr.coe.int/eng?i=001-204582" \h</w:instrText>
      </w:r>
      <w:r w:rsidR="00D31054">
        <w:fldChar w:fldCharType="separate"/>
      </w:r>
      <w:r w:rsidR="00D31054" w:rsidRPr="003E11E7">
        <w:rPr>
          <w:i/>
          <w:color w:val="0072BC"/>
          <w:sz w:val="20"/>
          <w:lang w:val="pl-PL"/>
        </w:rPr>
        <w:t>Belova</w:t>
      </w:r>
      <w:proofErr w:type="spellEnd"/>
      <w:r w:rsidR="00D31054" w:rsidRPr="003E11E7">
        <w:rPr>
          <w:i/>
          <w:color w:val="0072BC"/>
          <w:sz w:val="20"/>
          <w:lang w:val="pl-PL"/>
        </w:rPr>
        <w:t xml:space="preserve"> przeciwko Rosji</w:t>
      </w:r>
      <w:r w:rsidR="00D31054">
        <w:fldChar w:fldCharType="end"/>
      </w:r>
      <w:r w:rsidRPr="003E11E7">
        <w:rPr>
          <w:sz w:val="20"/>
          <w:lang w:val="pl-PL"/>
        </w:rPr>
        <w:t>, 2020</w:t>
      </w:r>
      <w:r w:rsidR="00BB640F" w:rsidRPr="003E11E7">
        <w:rPr>
          <w:sz w:val="20"/>
          <w:lang w:val="pl-PL"/>
        </w:rPr>
        <w:t xml:space="preserve"> r.</w:t>
      </w:r>
      <w:r w:rsidRPr="003E11E7">
        <w:rPr>
          <w:sz w:val="20"/>
          <w:lang w:val="pl-PL"/>
        </w:rPr>
        <w:t xml:space="preserve">, § 32). Trybunał uznał, że skarżący posiadał </w:t>
      </w:r>
      <w:r w:rsidR="00BB640F" w:rsidRPr="003E11E7">
        <w:rPr>
          <w:sz w:val="20"/>
          <w:lang w:val="pl-PL"/>
        </w:rPr>
        <w:t>„</w:t>
      </w:r>
      <w:r w:rsidR="001C1B75" w:rsidRPr="003E11E7">
        <w:rPr>
          <w:sz w:val="20"/>
          <w:lang w:val="pl-PL"/>
        </w:rPr>
        <w:t>mienie</w:t>
      </w:r>
      <w:r w:rsidRPr="003E11E7">
        <w:rPr>
          <w:sz w:val="20"/>
          <w:lang w:val="pl-PL"/>
        </w:rPr>
        <w:t xml:space="preserve">" w rozumieniu art. 1 Protokołu nr </w:t>
      </w:r>
      <w:r w:rsidRPr="003E11E7">
        <w:rPr>
          <w:spacing w:val="-3"/>
          <w:sz w:val="20"/>
          <w:lang w:val="pl-PL"/>
        </w:rPr>
        <w:t>1</w:t>
      </w:r>
      <w:r w:rsidRPr="003E11E7">
        <w:rPr>
          <w:sz w:val="20"/>
          <w:lang w:val="pl-PL"/>
        </w:rPr>
        <w:t xml:space="preserve">, nawet jeśli jego tytuł został uznany za nieważny </w:t>
      </w:r>
      <w:r w:rsidRPr="003E11E7">
        <w:rPr>
          <w:i/>
          <w:sz w:val="20"/>
          <w:lang w:val="pl-PL"/>
        </w:rPr>
        <w:t>ab initio</w:t>
      </w:r>
      <w:r w:rsidRPr="003E11E7">
        <w:rPr>
          <w:sz w:val="20"/>
          <w:lang w:val="pl-PL"/>
        </w:rPr>
        <w:t>, zauważając, że posiadał przedmiotowe mieszkanie przez około dwadzieścia lat i był uważany za jego właściciela do wszystkich celów prawnych (</w:t>
      </w:r>
      <w:proofErr w:type="spellStart"/>
      <w:r w:rsidR="00D31054">
        <w:fldChar w:fldCharType="begin"/>
      </w:r>
      <w:r w:rsidR="00D31054" w:rsidRPr="003E11E7">
        <w:rPr>
          <w:lang w:val="pl-PL"/>
        </w:rPr>
        <w:instrText>HYPERLINK "https://hudoc.echr.coe.int/eng?i=001-163347" \h</w:instrText>
      </w:r>
      <w:r w:rsidR="00D31054">
        <w:fldChar w:fldCharType="separate"/>
      </w:r>
      <w:r w:rsidR="00D31054" w:rsidRPr="003E11E7">
        <w:rPr>
          <w:i/>
          <w:color w:val="0072BC"/>
          <w:sz w:val="20"/>
          <w:lang w:val="pl-PL"/>
        </w:rPr>
        <w:t>Vukušić</w:t>
      </w:r>
      <w:proofErr w:type="spellEnd"/>
      <w:r w:rsidR="00D31054" w:rsidRPr="003E11E7">
        <w:rPr>
          <w:i/>
          <w:color w:val="0072BC"/>
          <w:sz w:val="20"/>
          <w:lang w:val="pl-PL"/>
        </w:rPr>
        <w:t xml:space="preserve"> przeciwko Chorwacji</w:t>
      </w:r>
      <w:r w:rsidR="00D31054">
        <w:fldChar w:fldCharType="end"/>
      </w:r>
      <w:r w:rsidRPr="003E11E7">
        <w:rPr>
          <w:sz w:val="20"/>
          <w:lang w:val="pl-PL"/>
        </w:rPr>
        <w:t>, 2016</w:t>
      </w:r>
      <w:r w:rsidR="00BB640F" w:rsidRPr="003E11E7">
        <w:rPr>
          <w:sz w:val="20"/>
          <w:lang w:val="pl-PL"/>
        </w:rPr>
        <w:t xml:space="preserve"> r.</w:t>
      </w:r>
      <w:r w:rsidRPr="003E11E7">
        <w:rPr>
          <w:sz w:val="20"/>
          <w:lang w:val="pl-PL"/>
        </w:rPr>
        <w:t>, § 38).</w:t>
      </w:r>
    </w:p>
    <w:p w14:paraId="3ADEA5A7" w14:textId="415A82E2" w:rsidR="00D31054" w:rsidRPr="003E11E7" w:rsidRDefault="00000000">
      <w:pPr>
        <w:pStyle w:val="Tekstpodstawowy"/>
        <w:ind w:left="732" w:right="729"/>
        <w:jc w:val="both"/>
        <w:rPr>
          <w:lang w:val="pl-PL"/>
        </w:rPr>
      </w:pPr>
      <w:r w:rsidRPr="003E11E7">
        <w:rPr>
          <w:sz w:val="20"/>
          <w:lang w:val="pl-PL"/>
        </w:rPr>
        <w:t xml:space="preserve">Jeśli chodzi o tytuł prawny do korzyści ekonomicznej, decyzja o przyznaniu świadczenia w określonej wysokości może stanowić </w:t>
      </w:r>
      <w:r w:rsidR="00BB640F" w:rsidRPr="003E11E7">
        <w:rPr>
          <w:sz w:val="20"/>
          <w:lang w:val="pl-PL"/>
        </w:rPr>
        <w:t>„</w:t>
      </w:r>
      <w:r w:rsidRPr="003E11E7">
        <w:rPr>
          <w:sz w:val="20"/>
          <w:lang w:val="pl-PL"/>
        </w:rPr>
        <w:t xml:space="preserve">posiadanie". Tak więc w sprawie </w:t>
      </w:r>
      <w:hyperlink r:id="rId12">
        <w:r w:rsidR="00D31054" w:rsidRPr="003E11E7">
          <w:rPr>
            <w:i/>
            <w:color w:val="0072BC"/>
            <w:sz w:val="20"/>
            <w:lang w:val="pl-PL"/>
          </w:rPr>
          <w:t xml:space="preserve">Moskal przeciwko Polsce </w:t>
        </w:r>
      </w:hyperlink>
      <w:r w:rsidRPr="003E11E7">
        <w:rPr>
          <w:sz w:val="20"/>
          <w:lang w:val="pl-PL"/>
        </w:rPr>
        <w:t xml:space="preserve">z 2009 r., w kontekście sprostowania błędu popełnionego przez organ władzy publicznej, Trybunał stwierdził, że prawo własności powstało w wyniku pozytywnej oceny dokumentacji skarżącej dołączonej do wniosku o emeryturę, który został złożony w dobrej wierze, oraz w wyniku uznania tego prawa przez właściwy organ: uznał, że skarżąca miała zatem </w:t>
      </w:r>
      <w:r w:rsidR="00BB640F" w:rsidRPr="003E11E7">
        <w:rPr>
          <w:sz w:val="20"/>
          <w:lang w:val="pl-PL"/>
        </w:rPr>
        <w:t>„</w:t>
      </w:r>
      <w:r w:rsidRPr="003E11E7">
        <w:rPr>
          <w:sz w:val="20"/>
          <w:lang w:val="pl-PL"/>
        </w:rPr>
        <w:t xml:space="preserve">interes materialny" chroniony na mocy art. 1 Protokołu nr 1 (§§ 45-46). Podobnie w sprawie </w:t>
      </w:r>
      <w:hyperlink r:id="rId13">
        <w:proofErr w:type="spellStart"/>
        <w:r w:rsidR="00D31054" w:rsidRPr="003E11E7">
          <w:rPr>
            <w:i/>
            <w:color w:val="0072BC"/>
            <w:sz w:val="20"/>
            <w:lang w:val="pl-PL"/>
          </w:rPr>
          <w:t>Casarin</w:t>
        </w:r>
        <w:proofErr w:type="spellEnd"/>
        <w:r w:rsidR="00D31054" w:rsidRPr="003E11E7">
          <w:rPr>
            <w:i/>
            <w:color w:val="0072BC"/>
            <w:sz w:val="20"/>
            <w:lang w:val="pl-PL"/>
          </w:rPr>
          <w:t xml:space="preserve"> przeciwko Włochom</w:t>
        </w:r>
      </w:hyperlink>
      <w:r w:rsidRPr="003E11E7">
        <w:rPr>
          <w:sz w:val="20"/>
          <w:lang w:val="pl-PL"/>
        </w:rPr>
        <w:t>, 2021</w:t>
      </w:r>
      <w:r w:rsidR="00BB640F" w:rsidRPr="003E11E7">
        <w:rPr>
          <w:sz w:val="20"/>
          <w:lang w:val="pl-PL"/>
        </w:rPr>
        <w:t xml:space="preserve"> r.</w:t>
      </w:r>
      <w:r w:rsidRPr="003E11E7">
        <w:rPr>
          <w:sz w:val="20"/>
          <w:lang w:val="pl-PL"/>
        </w:rPr>
        <w:t xml:space="preserve">, Trybunał orzekł, że skarżący miał </w:t>
      </w:r>
      <w:r w:rsidR="00BB640F" w:rsidRPr="003E11E7">
        <w:rPr>
          <w:sz w:val="20"/>
          <w:lang w:val="pl-PL"/>
        </w:rPr>
        <w:t>„</w:t>
      </w:r>
      <w:r w:rsidRPr="003E11E7">
        <w:rPr>
          <w:sz w:val="20"/>
          <w:lang w:val="pl-PL"/>
        </w:rPr>
        <w:t xml:space="preserve">uzasadnione oczekiwanie" możliwości zatrzymania kwot już otrzymanych </w:t>
      </w:r>
      <w:r w:rsidR="00BB640F" w:rsidRPr="003E11E7">
        <w:rPr>
          <w:sz w:val="20"/>
          <w:lang w:val="pl-PL"/>
        </w:rPr>
        <w:t>„</w:t>
      </w:r>
      <w:r w:rsidRPr="003E11E7">
        <w:rPr>
          <w:sz w:val="20"/>
          <w:lang w:val="pl-PL"/>
        </w:rPr>
        <w:t xml:space="preserve">w dobrej wierze" w ramach systemu zabezpieczenia społecznego, a zatem mógł być uznany za posiadacza wystarczająco uznanego i ważnego interesu majątkowego, aby stanowić </w:t>
      </w:r>
      <w:r w:rsidR="00BB640F" w:rsidRPr="003E11E7">
        <w:rPr>
          <w:sz w:val="20"/>
          <w:lang w:val="pl-PL"/>
        </w:rPr>
        <w:t>„</w:t>
      </w:r>
      <w:r w:rsidRPr="003E11E7">
        <w:rPr>
          <w:sz w:val="20"/>
          <w:lang w:val="pl-PL"/>
        </w:rPr>
        <w:t>posiadanie" w rozumieniu zasady wyrażonej w pierwszym zdaniu art. 1 Protokołu nr 1 (§§ 38-42).</w:t>
      </w:r>
    </w:p>
    <w:p w14:paraId="0A85BA95" w14:textId="77777777" w:rsidR="00D31054" w:rsidRPr="003E11E7" w:rsidRDefault="00D31054">
      <w:pPr>
        <w:pStyle w:val="Tekstpodstawowy"/>
        <w:spacing w:before="15"/>
        <w:ind w:left="0"/>
        <w:rPr>
          <w:lang w:val="pl-PL"/>
        </w:rPr>
      </w:pPr>
    </w:p>
    <w:p w14:paraId="4753A179" w14:textId="77777777" w:rsidR="00D31054" w:rsidRPr="003E11E7" w:rsidRDefault="00000000">
      <w:pPr>
        <w:pStyle w:val="Nagwek3"/>
        <w:spacing w:before="1"/>
        <w:jc w:val="both"/>
        <w:rPr>
          <w:lang w:val="pl-PL"/>
        </w:rPr>
      </w:pPr>
      <w:r w:rsidRPr="003E11E7">
        <w:rPr>
          <w:color w:val="2F2F2F"/>
          <w:w w:val="85"/>
          <w:sz w:val="26"/>
          <w:lang w:val="pl-PL"/>
        </w:rPr>
        <w:t xml:space="preserve">Ingerencja i obowiązująca </w:t>
      </w:r>
      <w:r w:rsidRPr="003E11E7">
        <w:rPr>
          <w:color w:val="2F2F2F"/>
          <w:spacing w:val="-2"/>
          <w:w w:val="85"/>
          <w:sz w:val="26"/>
          <w:lang w:val="pl-PL"/>
        </w:rPr>
        <w:t>zasada:</w:t>
      </w:r>
    </w:p>
    <w:p w14:paraId="6B660517" w14:textId="21EEB2BB" w:rsidR="00D31054" w:rsidRPr="003E11E7" w:rsidRDefault="00000000" w:rsidP="00BB640F">
      <w:pPr>
        <w:spacing w:before="136"/>
        <w:ind w:left="732" w:right="729"/>
        <w:jc w:val="both"/>
        <w:rPr>
          <w:lang w:val="pl-PL"/>
        </w:rPr>
      </w:pPr>
      <w:r w:rsidRPr="003E11E7">
        <w:rPr>
          <w:sz w:val="20"/>
          <w:lang w:val="pl-PL"/>
        </w:rPr>
        <w:t xml:space="preserve">Uznanie tytułu własności za nieważny stanowi </w:t>
      </w:r>
      <w:r w:rsidRPr="003E11E7">
        <w:rPr>
          <w:b/>
          <w:sz w:val="20"/>
          <w:lang w:val="pl-PL"/>
        </w:rPr>
        <w:t xml:space="preserve">ingerencję </w:t>
      </w:r>
      <w:r w:rsidRPr="003E11E7">
        <w:rPr>
          <w:sz w:val="20"/>
          <w:lang w:val="pl-PL"/>
        </w:rPr>
        <w:t xml:space="preserve">w prawo do spokojnego korzystania z własności, które należy zbadać na podstawie art. 1 akapit pierwszy zdanie drugie Protokołu nr 1, ponieważ jest równoznaczne </w:t>
      </w:r>
      <w:r w:rsidRPr="003E11E7">
        <w:rPr>
          <w:b/>
          <w:sz w:val="20"/>
          <w:lang w:val="pl-PL"/>
        </w:rPr>
        <w:t xml:space="preserve">z pozbawieniem własności </w:t>
      </w:r>
      <w:r w:rsidRPr="003E11E7">
        <w:rPr>
          <w:sz w:val="20"/>
          <w:lang w:val="pl-PL"/>
        </w:rPr>
        <w:t>(</w:t>
      </w:r>
      <w:proofErr w:type="spellStart"/>
      <w:r w:rsidR="00D31054">
        <w:fldChar w:fldCharType="begin"/>
      </w:r>
      <w:r w:rsidR="00D31054" w:rsidRPr="003E11E7">
        <w:rPr>
          <w:lang w:val="pl-PL"/>
        </w:rPr>
        <w:instrText>HYPERLINK "https://hudoc.echr.coe.int/eng?i=001-79790" \h</w:instrText>
      </w:r>
      <w:r w:rsidR="00D31054">
        <w:fldChar w:fldCharType="separate"/>
      </w:r>
      <w:r w:rsidR="00D31054" w:rsidRPr="003E11E7">
        <w:rPr>
          <w:i/>
          <w:color w:val="0072BC"/>
          <w:sz w:val="20"/>
          <w:lang w:val="pl-PL"/>
        </w:rPr>
        <w:t>Velikovi</w:t>
      </w:r>
      <w:proofErr w:type="spellEnd"/>
      <w:r w:rsidR="00D31054" w:rsidRPr="003E11E7">
        <w:rPr>
          <w:i/>
          <w:color w:val="0072BC"/>
          <w:sz w:val="20"/>
          <w:lang w:val="pl-PL"/>
        </w:rPr>
        <w:t xml:space="preserve"> i Inni przeciwko Bułgarii</w:t>
      </w:r>
      <w:r w:rsidR="00D31054">
        <w:fldChar w:fldCharType="end"/>
      </w:r>
      <w:r w:rsidRPr="003E11E7">
        <w:rPr>
          <w:sz w:val="20"/>
          <w:lang w:val="pl-PL"/>
        </w:rPr>
        <w:t>, 2007</w:t>
      </w:r>
      <w:r w:rsidR="00BB640F" w:rsidRPr="003E11E7">
        <w:rPr>
          <w:sz w:val="20"/>
          <w:lang w:val="pl-PL"/>
        </w:rPr>
        <w:t xml:space="preserve"> r.</w:t>
      </w:r>
      <w:r w:rsidRPr="003E11E7">
        <w:rPr>
          <w:sz w:val="20"/>
          <w:lang w:val="pl-PL"/>
        </w:rPr>
        <w:t>,</w:t>
      </w:r>
      <w:r w:rsidR="00BB640F" w:rsidRPr="003E11E7">
        <w:rPr>
          <w:lang w:val="pl-PL"/>
        </w:rPr>
        <w:t xml:space="preserve"> </w:t>
      </w:r>
      <w:r w:rsidRPr="003E11E7">
        <w:rPr>
          <w:sz w:val="20"/>
          <w:lang w:val="pl-PL"/>
        </w:rPr>
        <w:t xml:space="preserve">§§ 159-160; </w:t>
      </w:r>
      <w:hyperlink r:id="rId14">
        <w:proofErr w:type="spellStart"/>
        <w:r w:rsidR="00D31054" w:rsidRPr="003E11E7">
          <w:rPr>
            <w:i/>
            <w:color w:val="0072BC"/>
            <w:sz w:val="20"/>
            <w:lang w:val="pl-PL"/>
          </w:rPr>
          <w:t>Vukušić</w:t>
        </w:r>
        <w:proofErr w:type="spellEnd"/>
        <w:r w:rsidR="00D31054" w:rsidRPr="003E11E7">
          <w:rPr>
            <w:i/>
            <w:color w:val="0072BC"/>
            <w:sz w:val="20"/>
            <w:lang w:val="pl-PL"/>
          </w:rPr>
          <w:t xml:space="preserve"> przeciwko Chorwacji</w:t>
        </w:r>
      </w:hyperlink>
      <w:r w:rsidRPr="003E11E7">
        <w:rPr>
          <w:sz w:val="20"/>
          <w:lang w:val="pl-PL"/>
        </w:rPr>
        <w:t>, 2016</w:t>
      </w:r>
      <w:r w:rsidR="00BB640F" w:rsidRPr="003E11E7">
        <w:rPr>
          <w:sz w:val="20"/>
          <w:lang w:val="pl-PL"/>
        </w:rPr>
        <w:t xml:space="preserve"> r.</w:t>
      </w:r>
      <w:r w:rsidRPr="003E11E7">
        <w:rPr>
          <w:sz w:val="20"/>
          <w:lang w:val="pl-PL"/>
        </w:rPr>
        <w:t>, § 50). To samo dotyczy unieważnienia z mocą wsteczną ważnego tytułu własności dochodzonego przez prawowitego właściciela (</w:t>
      </w:r>
      <w:proofErr w:type="spellStart"/>
      <w:r w:rsidR="00D31054">
        <w:fldChar w:fldCharType="begin"/>
      </w:r>
      <w:r w:rsidR="00D31054" w:rsidRPr="003E11E7">
        <w:rPr>
          <w:lang w:val="pl-PL"/>
        </w:rPr>
        <w:instrText>HYPERLINK "https://hudoc.echr.coe.int/eng?i=001-208947" \h</w:instrText>
      </w:r>
      <w:r w:rsidR="00D31054">
        <w:fldChar w:fldCharType="separate"/>
      </w:r>
      <w:r w:rsidR="00D31054" w:rsidRPr="003E11E7">
        <w:rPr>
          <w:i/>
          <w:color w:val="0072BC"/>
          <w:sz w:val="20"/>
          <w:lang w:val="pl-PL"/>
        </w:rPr>
        <w:t>Seregin</w:t>
      </w:r>
      <w:proofErr w:type="spellEnd"/>
      <w:r w:rsidR="00D31054" w:rsidRPr="003E11E7">
        <w:rPr>
          <w:i/>
          <w:color w:val="0072BC"/>
          <w:sz w:val="20"/>
          <w:lang w:val="pl-PL"/>
        </w:rPr>
        <w:t xml:space="preserve"> i Inni przeciwko Rosji</w:t>
      </w:r>
      <w:r w:rsidR="00D31054">
        <w:fldChar w:fldCharType="end"/>
      </w:r>
      <w:r w:rsidRPr="003E11E7">
        <w:rPr>
          <w:sz w:val="20"/>
          <w:lang w:val="pl-PL"/>
        </w:rPr>
        <w:t>, 2021</w:t>
      </w:r>
      <w:r w:rsidR="00E35125" w:rsidRPr="003E11E7">
        <w:rPr>
          <w:sz w:val="20"/>
          <w:lang w:val="pl-PL"/>
        </w:rPr>
        <w:t xml:space="preserve"> </w:t>
      </w:r>
      <w:r w:rsidR="00BB640F" w:rsidRPr="003E11E7">
        <w:rPr>
          <w:sz w:val="20"/>
          <w:lang w:val="pl-PL"/>
        </w:rPr>
        <w:t>r.</w:t>
      </w:r>
      <w:r w:rsidRPr="003E11E7">
        <w:rPr>
          <w:sz w:val="20"/>
          <w:lang w:val="pl-PL"/>
        </w:rPr>
        <w:t>, §§ 80 i 89).</w:t>
      </w:r>
    </w:p>
    <w:p w14:paraId="43DE3911" w14:textId="222929CA" w:rsidR="00D31054" w:rsidRPr="003E11E7" w:rsidRDefault="00000000">
      <w:pPr>
        <w:pStyle w:val="Tekstpodstawowy"/>
        <w:ind w:left="732" w:right="729"/>
        <w:jc w:val="both"/>
        <w:rPr>
          <w:lang w:val="pl-PL"/>
        </w:rPr>
      </w:pPr>
      <w:r w:rsidRPr="003E11E7">
        <w:rPr>
          <w:sz w:val="20"/>
          <w:lang w:val="pl-PL"/>
        </w:rPr>
        <w:t>Z drugiej strony, w kwestii ingerencji, jeżeli Trybunał uzna, że złożoność prawna i faktyczna sytuacji uniemożliwia zakwalifikowanie jej do konkretnej kategorii, może zbadać ją zgodnie z ogólną zasadą zawartą w art. 1 akapit pierwszy zdanie pierwsze Protokołu nr 1</w:t>
      </w:r>
      <w:r w:rsidR="009C54EF" w:rsidRPr="003E11E7">
        <w:rPr>
          <w:sz w:val="20"/>
          <w:lang w:val="pl-PL"/>
        </w:rPr>
        <w:t xml:space="preserve"> </w:t>
      </w:r>
      <w:r w:rsidRPr="003E11E7">
        <w:rPr>
          <w:sz w:val="20"/>
          <w:lang w:val="pl-PL"/>
        </w:rPr>
        <w:t>(</w:t>
      </w:r>
      <w:proofErr w:type="spellStart"/>
      <w:r w:rsidR="00D31054">
        <w:fldChar w:fldCharType="begin"/>
      </w:r>
      <w:r w:rsidR="00D31054" w:rsidRPr="003E11E7">
        <w:rPr>
          <w:lang w:val="pl-PL"/>
        </w:rPr>
        <w:instrText>HYPERLINK "https://hudoc.echr.coe.int/eng?i=001-107713" \h</w:instrText>
      </w:r>
      <w:r w:rsidR="00D31054">
        <w:fldChar w:fldCharType="separate"/>
      </w:r>
      <w:r w:rsidR="00D31054" w:rsidRPr="003E11E7">
        <w:rPr>
          <w:i/>
          <w:color w:val="0072BC"/>
          <w:sz w:val="20"/>
          <w:lang w:val="pl-PL"/>
        </w:rPr>
        <w:t>Gladysheva</w:t>
      </w:r>
      <w:proofErr w:type="spellEnd"/>
      <w:r w:rsidR="00D31054" w:rsidRPr="003E11E7">
        <w:rPr>
          <w:i/>
          <w:color w:val="0072BC"/>
          <w:sz w:val="20"/>
          <w:lang w:val="pl-PL"/>
        </w:rPr>
        <w:t xml:space="preserve"> przeciwko Rosji</w:t>
      </w:r>
      <w:r w:rsidR="00D31054">
        <w:fldChar w:fldCharType="end"/>
      </w:r>
      <w:r w:rsidRPr="003E11E7">
        <w:rPr>
          <w:sz w:val="20"/>
          <w:lang w:val="pl-PL"/>
        </w:rPr>
        <w:t>, 2011</w:t>
      </w:r>
      <w:r w:rsidR="00BB640F" w:rsidRPr="003E11E7">
        <w:rPr>
          <w:sz w:val="20"/>
          <w:lang w:val="pl-PL"/>
        </w:rPr>
        <w:t xml:space="preserve"> r.</w:t>
      </w:r>
      <w:r w:rsidRPr="003E11E7">
        <w:rPr>
          <w:sz w:val="20"/>
          <w:lang w:val="pl-PL"/>
        </w:rPr>
        <w:t xml:space="preserve">, § 71; </w:t>
      </w:r>
      <w:hyperlink r:id="rId15">
        <w:proofErr w:type="spellStart"/>
        <w:r w:rsidR="00D31054" w:rsidRPr="003E11E7">
          <w:rPr>
            <w:i/>
            <w:color w:val="0072BC"/>
            <w:sz w:val="20"/>
            <w:lang w:val="pl-PL"/>
          </w:rPr>
          <w:t>Dzirnis</w:t>
        </w:r>
        <w:proofErr w:type="spellEnd"/>
        <w:r w:rsidR="00D31054" w:rsidRPr="003E11E7">
          <w:rPr>
            <w:i/>
            <w:color w:val="0072BC"/>
            <w:sz w:val="20"/>
            <w:lang w:val="pl-PL"/>
          </w:rPr>
          <w:t xml:space="preserve"> przeciwko Łotwie</w:t>
        </w:r>
      </w:hyperlink>
      <w:r w:rsidRPr="003E11E7">
        <w:rPr>
          <w:sz w:val="20"/>
          <w:lang w:val="pl-PL"/>
        </w:rPr>
        <w:t>, 2017</w:t>
      </w:r>
      <w:r w:rsidR="00BB640F" w:rsidRPr="003E11E7">
        <w:rPr>
          <w:sz w:val="20"/>
          <w:lang w:val="pl-PL"/>
        </w:rPr>
        <w:t xml:space="preserve"> r.</w:t>
      </w:r>
      <w:r w:rsidRPr="003E11E7">
        <w:rPr>
          <w:sz w:val="20"/>
          <w:lang w:val="pl-PL"/>
        </w:rPr>
        <w:t>, § 74).</w:t>
      </w:r>
    </w:p>
    <w:p w14:paraId="3F4028CD" w14:textId="77777777" w:rsidR="00D31054" w:rsidRPr="003E11E7" w:rsidRDefault="00D31054">
      <w:pPr>
        <w:pStyle w:val="Tekstpodstawowy"/>
        <w:spacing w:before="11"/>
        <w:ind w:left="0"/>
        <w:rPr>
          <w:lang w:val="pl-PL"/>
        </w:rPr>
      </w:pPr>
    </w:p>
    <w:p w14:paraId="1B6A2255" w14:textId="5FE407BE" w:rsidR="00D31054" w:rsidRPr="003E11E7" w:rsidRDefault="00000000">
      <w:pPr>
        <w:ind w:left="732"/>
        <w:jc w:val="both"/>
        <w:rPr>
          <w:rFonts w:ascii="Arial"/>
          <w:b/>
          <w:i/>
          <w:sz w:val="28"/>
          <w:lang w:val="pl-PL"/>
        </w:rPr>
      </w:pPr>
      <w:r w:rsidRPr="003E11E7">
        <w:rPr>
          <w:rFonts w:ascii="Arial"/>
          <w:b/>
          <w:iCs/>
          <w:color w:val="2F2F2F"/>
          <w:spacing w:val="-2"/>
          <w:sz w:val="26"/>
          <w:lang w:val="pl-PL"/>
        </w:rPr>
        <w:t>Status</w:t>
      </w:r>
      <w:r w:rsidRPr="003E11E7">
        <w:rPr>
          <w:rFonts w:ascii="Arial"/>
          <w:b/>
          <w:i/>
          <w:color w:val="2F2F2F"/>
          <w:spacing w:val="-2"/>
          <w:sz w:val="26"/>
          <w:lang w:val="pl-PL"/>
        </w:rPr>
        <w:t xml:space="preserve"> </w:t>
      </w:r>
      <w:r w:rsidR="00F2700B" w:rsidRPr="003E11E7">
        <w:rPr>
          <w:b/>
          <w:i/>
          <w:iCs/>
          <w:color w:val="2F2F2F"/>
          <w:sz w:val="26"/>
          <w:lang w:val="pl-PL"/>
        </w:rPr>
        <w:t xml:space="preserve">Bona </w:t>
      </w:r>
      <w:proofErr w:type="spellStart"/>
      <w:r w:rsidR="00FD03AE" w:rsidRPr="003E11E7">
        <w:rPr>
          <w:b/>
          <w:i/>
          <w:iCs/>
          <w:color w:val="2F2F2F"/>
          <w:sz w:val="26"/>
          <w:lang w:val="pl-PL"/>
        </w:rPr>
        <w:t>fide</w:t>
      </w:r>
      <w:proofErr w:type="spellEnd"/>
      <w:r w:rsidR="00FD03AE" w:rsidRPr="003E11E7">
        <w:rPr>
          <w:b/>
          <w:color w:val="2F2F2F"/>
          <w:sz w:val="26"/>
          <w:lang w:val="pl-PL"/>
        </w:rPr>
        <w:t>:</w:t>
      </w:r>
    </w:p>
    <w:p w14:paraId="51B3D2E5" w14:textId="1808849C" w:rsidR="00D31054" w:rsidRPr="003E11E7" w:rsidRDefault="00000000">
      <w:pPr>
        <w:spacing w:before="120"/>
        <w:ind w:left="732" w:right="730"/>
        <w:jc w:val="both"/>
        <w:rPr>
          <w:lang w:val="pl-PL"/>
        </w:rPr>
      </w:pPr>
      <w:r w:rsidRPr="003E11E7">
        <w:rPr>
          <w:sz w:val="20"/>
          <w:lang w:val="pl-PL"/>
        </w:rPr>
        <w:t>Trybunał zazwyczaj akceptuje ustalenia sądów krajowych co do tego, czy tytuł prawny został nabyty w dobrej wierze, z wyjątkiem sytuacji, gdy odmawiają one takiego statusu w dobrej wierze bez odpowiedniego uzasadnienia (</w:t>
      </w:r>
      <w:proofErr w:type="spellStart"/>
      <w:r w:rsidR="00D31054">
        <w:fldChar w:fldCharType="begin"/>
      </w:r>
      <w:r w:rsidR="00D31054" w:rsidRPr="003E11E7">
        <w:rPr>
          <w:lang w:val="pl-PL"/>
        </w:rPr>
        <w:instrText>HYPERLINK "https://hudoc.echr.coe.int/eng?i=001-208947" \h</w:instrText>
      </w:r>
      <w:r w:rsidR="00D31054">
        <w:fldChar w:fldCharType="separate"/>
      </w:r>
      <w:r w:rsidR="00D31054" w:rsidRPr="003E11E7">
        <w:rPr>
          <w:i/>
          <w:color w:val="0072BC"/>
          <w:sz w:val="20"/>
          <w:lang w:val="pl-PL"/>
        </w:rPr>
        <w:t>Seregin</w:t>
      </w:r>
      <w:proofErr w:type="spellEnd"/>
      <w:r w:rsidR="00D31054" w:rsidRPr="003E11E7">
        <w:rPr>
          <w:i/>
          <w:color w:val="0072BC"/>
          <w:sz w:val="20"/>
          <w:lang w:val="pl-PL"/>
        </w:rPr>
        <w:t xml:space="preserve"> </w:t>
      </w:r>
      <w:r w:rsidR="00D31054">
        <w:fldChar w:fldCharType="end"/>
      </w:r>
      <w:r w:rsidR="00D31054" w:rsidRPr="003E11E7">
        <w:rPr>
          <w:i/>
          <w:color w:val="0072BC"/>
          <w:sz w:val="20"/>
          <w:lang w:val="pl-PL"/>
        </w:rPr>
        <w:t xml:space="preserve">i </w:t>
      </w:r>
      <w:r w:rsidR="00F2700B" w:rsidRPr="003E11E7">
        <w:rPr>
          <w:i/>
          <w:color w:val="0072BC"/>
          <w:sz w:val="20"/>
          <w:lang w:val="pl-PL"/>
        </w:rPr>
        <w:t>I</w:t>
      </w:r>
      <w:r w:rsidR="00D31054" w:rsidRPr="003E11E7">
        <w:rPr>
          <w:i/>
          <w:color w:val="0072BC"/>
          <w:sz w:val="20"/>
          <w:lang w:val="pl-PL"/>
        </w:rPr>
        <w:t>nni p</w:t>
      </w:r>
      <w:r w:rsidR="00F2700B" w:rsidRPr="003E11E7">
        <w:rPr>
          <w:i/>
          <w:color w:val="0072BC"/>
          <w:sz w:val="20"/>
          <w:lang w:val="pl-PL"/>
        </w:rPr>
        <w:t>rzeciwko Rosji</w:t>
      </w:r>
      <w:r w:rsidR="00F2700B" w:rsidRPr="003E11E7">
        <w:rPr>
          <w:iCs/>
          <w:sz w:val="20"/>
          <w:lang w:val="pl-PL"/>
        </w:rPr>
        <w:t>,</w:t>
      </w:r>
      <w:r w:rsidR="00F2700B" w:rsidRPr="003E11E7">
        <w:rPr>
          <w:i/>
          <w:color w:val="0072BC"/>
          <w:sz w:val="20"/>
          <w:lang w:val="pl-PL"/>
        </w:rPr>
        <w:t xml:space="preserve"> </w:t>
      </w:r>
      <w:r w:rsidR="00F2700B" w:rsidRPr="003E11E7">
        <w:rPr>
          <w:sz w:val="20"/>
          <w:lang w:val="pl-PL"/>
        </w:rPr>
        <w:t>2021 r., §§ 108-109</w:t>
      </w:r>
      <w:r w:rsidR="0065708D" w:rsidRPr="003E11E7">
        <w:rPr>
          <w:sz w:val="20"/>
          <w:lang w:val="pl-PL"/>
        </w:rPr>
        <w:t>,</w:t>
      </w:r>
      <w:r w:rsidR="0065708D" w:rsidRPr="003E11E7">
        <w:rPr>
          <w:lang w:val="pl-PL"/>
        </w:rPr>
        <w:t xml:space="preserve"> </w:t>
      </w:r>
      <w:hyperlink r:id="rId16" w:anchor="{%22itemid%22:[%22001-183540%22]}" w:history="1">
        <w:proofErr w:type="spellStart"/>
        <w:r w:rsidR="0065708D" w:rsidRPr="003E11E7">
          <w:rPr>
            <w:rStyle w:val="Hipercze"/>
            <w:i/>
            <w:iCs/>
            <w:color w:val="0070C0"/>
            <w:sz w:val="20"/>
            <w:u w:val="none"/>
            <w:lang w:val="pl-PL"/>
          </w:rPr>
          <w:t>Beinarovič</w:t>
        </w:r>
        <w:proofErr w:type="spellEnd"/>
        <w:r w:rsidR="0065708D" w:rsidRPr="003E11E7">
          <w:rPr>
            <w:rStyle w:val="Hipercze"/>
            <w:i/>
            <w:iCs/>
            <w:color w:val="0070C0"/>
            <w:sz w:val="20"/>
            <w:u w:val="none"/>
            <w:lang w:val="pl-PL"/>
          </w:rPr>
          <w:t xml:space="preserve"> i Inni przeciwko Litwie</w:t>
        </w:r>
      </w:hyperlink>
      <w:r w:rsidRPr="003E11E7">
        <w:rPr>
          <w:sz w:val="20"/>
          <w:lang w:val="pl-PL"/>
        </w:rPr>
        <w:t>, 2018</w:t>
      </w:r>
      <w:r w:rsidR="0065708D" w:rsidRPr="003E11E7">
        <w:rPr>
          <w:sz w:val="20"/>
          <w:lang w:val="pl-PL"/>
        </w:rPr>
        <w:t xml:space="preserve"> r.</w:t>
      </w:r>
      <w:r w:rsidRPr="003E11E7">
        <w:rPr>
          <w:sz w:val="20"/>
          <w:lang w:val="pl-PL"/>
        </w:rPr>
        <w:t>, §</w:t>
      </w:r>
      <w:r w:rsidR="0065708D" w:rsidRPr="003E11E7">
        <w:rPr>
          <w:sz w:val="20"/>
          <w:lang w:val="pl-PL"/>
        </w:rPr>
        <w:t> </w:t>
      </w:r>
      <w:r w:rsidRPr="003E11E7">
        <w:rPr>
          <w:sz w:val="20"/>
          <w:lang w:val="pl-PL"/>
        </w:rPr>
        <w:t>144).</w:t>
      </w:r>
    </w:p>
    <w:p w14:paraId="7AAE87FC" w14:textId="0D335314" w:rsidR="00D31054" w:rsidRPr="003E11E7" w:rsidRDefault="00000000">
      <w:pPr>
        <w:pStyle w:val="Tekstpodstawowy"/>
        <w:ind w:left="732" w:right="730"/>
        <w:jc w:val="both"/>
        <w:rPr>
          <w:lang w:val="pl-PL"/>
        </w:rPr>
      </w:pPr>
      <w:r w:rsidRPr="003E11E7">
        <w:rPr>
          <w:sz w:val="20"/>
          <w:lang w:val="pl-PL"/>
        </w:rPr>
        <w:t>Rozważając kwestię dobrej wiary, Trybunał stwierdził, że nabywca nieruchomości powinien dokładnie zbadać jej pochodzenie, w szczególności poprzez sprawdzenie, czy dana nieruchomość nie jest przedmiotem sporu, zwłaszcza jeśli w krótkim czasie doszło do wielokrotnych zmian własności (</w:t>
      </w:r>
      <w:proofErr w:type="spellStart"/>
      <w:r w:rsidR="00D31054">
        <w:fldChar w:fldCharType="begin"/>
      </w:r>
      <w:r w:rsidR="00D31054" w:rsidRPr="003E11E7">
        <w:rPr>
          <w:lang w:val="pl-PL"/>
        </w:rPr>
        <w:instrText>HYPERLINK "https://hudoc.echr.coe.int/eng?i=001-204582" \h</w:instrText>
      </w:r>
      <w:r w:rsidR="00D31054">
        <w:fldChar w:fldCharType="separate"/>
      </w:r>
      <w:r w:rsidR="00D31054" w:rsidRPr="003E11E7">
        <w:rPr>
          <w:i/>
          <w:color w:val="0072BC"/>
          <w:sz w:val="20"/>
          <w:lang w:val="pl-PL"/>
        </w:rPr>
        <w:t>Belova</w:t>
      </w:r>
      <w:proofErr w:type="spellEnd"/>
      <w:r w:rsidR="00D31054" w:rsidRPr="003E11E7">
        <w:rPr>
          <w:i/>
          <w:color w:val="0072BC"/>
          <w:sz w:val="20"/>
          <w:lang w:val="pl-PL"/>
        </w:rPr>
        <w:t xml:space="preserve"> przeciwko Rosji</w:t>
      </w:r>
      <w:r w:rsidR="00D31054">
        <w:fldChar w:fldCharType="end"/>
      </w:r>
      <w:r w:rsidRPr="003E11E7">
        <w:rPr>
          <w:sz w:val="20"/>
          <w:lang w:val="pl-PL"/>
        </w:rPr>
        <w:t>, 2020</w:t>
      </w:r>
      <w:r w:rsidR="0065708D" w:rsidRPr="003E11E7">
        <w:rPr>
          <w:sz w:val="20"/>
          <w:lang w:val="pl-PL"/>
        </w:rPr>
        <w:t xml:space="preserve"> r.</w:t>
      </w:r>
      <w:r w:rsidRPr="003E11E7">
        <w:rPr>
          <w:sz w:val="20"/>
          <w:lang w:val="pl-PL"/>
        </w:rPr>
        <w:t xml:space="preserve">, </w:t>
      </w:r>
      <w:r w:rsidR="0065708D" w:rsidRPr="003E11E7">
        <w:rPr>
          <w:sz w:val="20"/>
          <w:lang w:val="pl-PL"/>
        </w:rPr>
        <w:br/>
      </w:r>
      <w:r w:rsidRPr="003E11E7">
        <w:rPr>
          <w:sz w:val="20"/>
          <w:lang w:val="pl-PL"/>
        </w:rPr>
        <w:t>§§ 40-41).</w:t>
      </w:r>
    </w:p>
    <w:p w14:paraId="14A3C4DD" w14:textId="245745FE" w:rsidR="00D31054" w:rsidRPr="003E11E7" w:rsidRDefault="00000000">
      <w:pPr>
        <w:pStyle w:val="Akapitzlist"/>
        <w:numPr>
          <w:ilvl w:val="0"/>
          <w:numId w:val="5"/>
        </w:numPr>
        <w:tabs>
          <w:tab w:val="left" w:pos="1583"/>
        </w:tabs>
        <w:spacing w:before="148" w:line="184" w:lineRule="auto"/>
        <w:ind w:right="728" w:hanging="284"/>
        <w:rPr>
          <w:lang w:val="pl-PL"/>
        </w:rPr>
      </w:pPr>
      <w:r w:rsidRPr="003E11E7">
        <w:rPr>
          <w:sz w:val="20"/>
          <w:lang w:val="pl-PL"/>
        </w:rPr>
        <w:t>Sąd odrzucił lub wyraził wątpliwości co do twierdzenia</w:t>
      </w:r>
      <w:r w:rsidR="008B7134" w:rsidRPr="003E11E7">
        <w:rPr>
          <w:sz w:val="20"/>
          <w:lang w:val="pl-PL"/>
        </w:rPr>
        <w:t xml:space="preserve"> skarżącego</w:t>
      </w:r>
      <w:r w:rsidRPr="003E11E7">
        <w:rPr>
          <w:sz w:val="20"/>
          <w:lang w:val="pl-PL"/>
        </w:rPr>
        <w:t xml:space="preserve"> o nabyciu posiadania w dobrej wierze w:</w:t>
      </w:r>
    </w:p>
    <w:p w14:paraId="69C3FE91" w14:textId="24DD5F33" w:rsidR="00D31054" w:rsidRPr="003E11E7" w:rsidRDefault="00000000">
      <w:pPr>
        <w:spacing w:before="49" w:line="351" w:lineRule="exact"/>
        <w:ind w:left="1582"/>
        <w:rPr>
          <w:lang w:val="pl-PL"/>
        </w:rPr>
      </w:pPr>
      <w:r>
        <w:rPr>
          <w:rFonts w:ascii="Noto Sans Symbols2" w:eastAsia="Noto Sans Symbols2" w:hAnsi="Noto Sans Symbols2"/>
          <w:color w:val="0072BC"/>
          <w:sz w:val="20"/>
        </w:rPr>
        <w:t>🢭</w:t>
      </w:r>
      <w:r w:rsidRPr="003E11E7">
        <w:rPr>
          <w:rFonts w:ascii="Noto Sans Symbols2" w:eastAsia="Noto Sans Symbols2" w:hAnsi="Noto Sans Symbols2"/>
          <w:color w:val="0072BC"/>
          <w:spacing w:val="39"/>
          <w:sz w:val="20"/>
          <w:lang w:val="pl-PL"/>
        </w:rPr>
        <w:t xml:space="preserve">  </w:t>
      </w:r>
      <w:hyperlink r:id="rId17">
        <w:proofErr w:type="spellStart"/>
        <w:r w:rsidR="00D31054" w:rsidRPr="003E11E7">
          <w:rPr>
            <w:i/>
            <w:color w:val="0072BC"/>
            <w:sz w:val="20"/>
            <w:lang w:val="pl-PL"/>
          </w:rPr>
          <w:t>Vukušić</w:t>
        </w:r>
        <w:proofErr w:type="spellEnd"/>
        <w:r w:rsidR="00D31054" w:rsidRPr="003E11E7">
          <w:rPr>
            <w:i/>
            <w:color w:val="0072BC"/>
            <w:sz w:val="20"/>
            <w:lang w:val="pl-PL"/>
          </w:rPr>
          <w:t xml:space="preserve"> p</w:t>
        </w:r>
        <w:r w:rsidR="0065708D" w:rsidRPr="003E11E7">
          <w:rPr>
            <w:i/>
            <w:color w:val="0072BC"/>
            <w:sz w:val="20"/>
            <w:lang w:val="pl-PL"/>
          </w:rPr>
          <w:t>rzeciwko</w:t>
        </w:r>
        <w:r w:rsidR="00D31054" w:rsidRPr="003E11E7">
          <w:rPr>
            <w:i/>
            <w:color w:val="0072BC"/>
            <w:sz w:val="20"/>
            <w:lang w:val="pl-PL"/>
          </w:rPr>
          <w:t xml:space="preserve"> Chorwacji</w:t>
        </w:r>
      </w:hyperlink>
      <w:r w:rsidRPr="003E11E7">
        <w:rPr>
          <w:sz w:val="20"/>
          <w:lang w:val="pl-PL"/>
        </w:rPr>
        <w:t>, 2016</w:t>
      </w:r>
      <w:r w:rsidR="0065708D" w:rsidRPr="003E11E7">
        <w:rPr>
          <w:sz w:val="20"/>
          <w:lang w:val="pl-PL"/>
        </w:rPr>
        <w:t xml:space="preserve"> r.</w:t>
      </w:r>
      <w:r w:rsidRPr="003E11E7">
        <w:rPr>
          <w:sz w:val="20"/>
          <w:lang w:val="pl-PL"/>
        </w:rPr>
        <w:t xml:space="preserve">, § 66 (skarżący był świadomy istniejącego </w:t>
      </w:r>
      <w:r w:rsidRPr="003E11E7">
        <w:rPr>
          <w:spacing w:val="-2"/>
          <w:sz w:val="20"/>
          <w:lang w:val="pl-PL"/>
        </w:rPr>
        <w:t>sporu)</w:t>
      </w:r>
    </w:p>
    <w:p w14:paraId="1F09E7EE" w14:textId="295DBFFA" w:rsidR="00D31054" w:rsidRPr="003E11E7" w:rsidRDefault="00000000">
      <w:pPr>
        <w:pStyle w:val="Tekstpodstawowy"/>
        <w:spacing w:before="0" w:line="329" w:lineRule="exact"/>
        <w:ind w:left="1582"/>
        <w:rPr>
          <w:lang w:val="pl-PL"/>
        </w:rPr>
      </w:pPr>
      <w:r>
        <w:rPr>
          <w:rFonts w:ascii="Noto Sans Symbols2" w:eastAsia="Noto Sans Symbols2" w:hAnsi="Noto Sans Symbols2"/>
          <w:color w:val="0072BC"/>
          <w:sz w:val="20"/>
        </w:rPr>
        <w:t>🢭</w:t>
      </w:r>
      <w:r w:rsidRPr="003E11E7">
        <w:rPr>
          <w:rFonts w:ascii="Noto Sans Symbols2" w:eastAsia="Noto Sans Symbols2" w:hAnsi="Noto Sans Symbols2"/>
          <w:color w:val="0072BC"/>
          <w:spacing w:val="40"/>
          <w:sz w:val="20"/>
          <w:lang w:val="pl-PL"/>
        </w:rPr>
        <w:t xml:space="preserve">  </w:t>
      </w:r>
      <w:hyperlink r:id="rId18">
        <w:proofErr w:type="spellStart"/>
        <w:r w:rsidR="00D31054" w:rsidRPr="003E11E7">
          <w:rPr>
            <w:i/>
            <w:color w:val="0072BC"/>
            <w:sz w:val="20"/>
            <w:lang w:val="pl-PL"/>
          </w:rPr>
          <w:t>Belova</w:t>
        </w:r>
        <w:proofErr w:type="spellEnd"/>
        <w:r w:rsidR="00D31054" w:rsidRPr="003E11E7">
          <w:rPr>
            <w:i/>
            <w:color w:val="0072BC"/>
            <w:sz w:val="20"/>
            <w:lang w:val="pl-PL"/>
          </w:rPr>
          <w:t xml:space="preserve"> przeciwko Rosji</w:t>
        </w:r>
      </w:hyperlink>
      <w:r w:rsidRPr="003E11E7">
        <w:rPr>
          <w:sz w:val="20"/>
          <w:lang w:val="pl-PL"/>
        </w:rPr>
        <w:t>, 2020</w:t>
      </w:r>
      <w:r w:rsidR="0065708D" w:rsidRPr="003E11E7">
        <w:rPr>
          <w:sz w:val="20"/>
          <w:lang w:val="pl-PL"/>
        </w:rPr>
        <w:t xml:space="preserve"> r.</w:t>
      </w:r>
      <w:r w:rsidRPr="003E11E7">
        <w:rPr>
          <w:sz w:val="20"/>
          <w:lang w:val="pl-PL"/>
        </w:rPr>
        <w:t xml:space="preserve">, § 41 (brak należytej staranności po stronie </w:t>
      </w:r>
      <w:r w:rsidRPr="003E11E7">
        <w:rPr>
          <w:spacing w:val="-2"/>
          <w:sz w:val="20"/>
          <w:lang w:val="pl-PL"/>
        </w:rPr>
        <w:t>nabywcy)</w:t>
      </w:r>
    </w:p>
    <w:p w14:paraId="5A135479" w14:textId="77777777" w:rsidR="00D31054" w:rsidRPr="003E11E7" w:rsidRDefault="00000000">
      <w:pPr>
        <w:pStyle w:val="Akapitzlist"/>
        <w:numPr>
          <w:ilvl w:val="0"/>
          <w:numId w:val="5"/>
        </w:numPr>
        <w:tabs>
          <w:tab w:val="left" w:pos="1582"/>
        </w:tabs>
        <w:spacing w:before="0" w:line="329" w:lineRule="exact"/>
        <w:ind w:left="1582" w:hanging="283"/>
        <w:rPr>
          <w:lang w:val="pl-PL"/>
        </w:rPr>
      </w:pPr>
      <w:r w:rsidRPr="003E11E7">
        <w:rPr>
          <w:sz w:val="20"/>
          <w:lang w:val="pl-PL"/>
        </w:rPr>
        <w:t xml:space="preserve">Trybunał odrzucił ocenę władz krajowych </w:t>
      </w:r>
      <w:r w:rsidRPr="003E11E7">
        <w:rPr>
          <w:spacing w:val="-2"/>
          <w:sz w:val="20"/>
          <w:lang w:val="pl-PL"/>
        </w:rPr>
        <w:t xml:space="preserve">dotyczącą </w:t>
      </w:r>
      <w:r w:rsidRPr="003E11E7">
        <w:rPr>
          <w:sz w:val="20"/>
          <w:lang w:val="pl-PL"/>
        </w:rPr>
        <w:t>złej wiary skarżącej</w:t>
      </w:r>
      <w:r w:rsidRPr="003E11E7">
        <w:rPr>
          <w:spacing w:val="-5"/>
          <w:sz w:val="20"/>
          <w:lang w:val="pl-PL"/>
        </w:rPr>
        <w:t>:</w:t>
      </w:r>
    </w:p>
    <w:p w14:paraId="329C9CF2" w14:textId="68C0340E" w:rsidR="00D31054" w:rsidRPr="003E11E7" w:rsidRDefault="00000000">
      <w:pPr>
        <w:spacing w:line="329" w:lineRule="exact"/>
        <w:ind w:left="1582"/>
        <w:rPr>
          <w:lang w:val="pl-PL"/>
        </w:rPr>
      </w:pPr>
      <w:r>
        <w:rPr>
          <w:rFonts w:ascii="Noto Sans Symbols2" w:eastAsia="Noto Sans Symbols2" w:hAnsi="Noto Sans Symbols2"/>
          <w:color w:val="0072BC"/>
          <w:sz w:val="20"/>
        </w:rPr>
        <w:t>🢭</w:t>
      </w:r>
      <w:r w:rsidRPr="003E11E7">
        <w:rPr>
          <w:rFonts w:ascii="Noto Sans Symbols2" w:eastAsia="Noto Sans Symbols2" w:hAnsi="Noto Sans Symbols2"/>
          <w:color w:val="0072BC"/>
          <w:spacing w:val="38"/>
          <w:sz w:val="20"/>
          <w:lang w:val="pl-PL"/>
        </w:rPr>
        <w:t xml:space="preserve">  </w:t>
      </w:r>
      <w:hyperlink r:id="rId19">
        <w:proofErr w:type="spellStart"/>
        <w:r w:rsidR="00D31054" w:rsidRPr="003E11E7">
          <w:rPr>
            <w:i/>
            <w:color w:val="0072BC"/>
            <w:sz w:val="20"/>
            <w:lang w:val="pl-PL"/>
          </w:rPr>
          <w:t>Beinarovič</w:t>
        </w:r>
        <w:proofErr w:type="spellEnd"/>
        <w:r w:rsidR="00D31054" w:rsidRPr="003E11E7">
          <w:rPr>
            <w:i/>
            <w:color w:val="0072BC"/>
            <w:sz w:val="20"/>
            <w:lang w:val="pl-PL"/>
          </w:rPr>
          <w:t xml:space="preserve"> i </w:t>
        </w:r>
        <w:r w:rsidR="00877FE1" w:rsidRPr="003E11E7">
          <w:rPr>
            <w:i/>
            <w:color w:val="0072BC"/>
            <w:sz w:val="20"/>
            <w:lang w:val="pl-PL"/>
          </w:rPr>
          <w:t>I</w:t>
        </w:r>
        <w:r w:rsidR="00D31054" w:rsidRPr="003E11E7">
          <w:rPr>
            <w:i/>
            <w:color w:val="0072BC"/>
            <w:sz w:val="20"/>
            <w:lang w:val="pl-PL"/>
          </w:rPr>
          <w:t>nni przeciwko Litwie</w:t>
        </w:r>
      </w:hyperlink>
      <w:r w:rsidRPr="003E11E7">
        <w:rPr>
          <w:sz w:val="20"/>
          <w:lang w:val="pl-PL"/>
        </w:rPr>
        <w:t>, 2018</w:t>
      </w:r>
      <w:r w:rsidR="00877FE1" w:rsidRPr="003E11E7">
        <w:rPr>
          <w:sz w:val="20"/>
          <w:lang w:val="pl-PL"/>
        </w:rPr>
        <w:t xml:space="preserve"> r.</w:t>
      </w:r>
      <w:r w:rsidRPr="003E11E7">
        <w:rPr>
          <w:sz w:val="20"/>
          <w:lang w:val="pl-PL"/>
        </w:rPr>
        <w:t xml:space="preserve">, § </w:t>
      </w:r>
      <w:r w:rsidRPr="003E11E7">
        <w:rPr>
          <w:spacing w:val="-5"/>
          <w:sz w:val="20"/>
          <w:lang w:val="pl-PL"/>
        </w:rPr>
        <w:t>144</w:t>
      </w:r>
    </w:p>
    <w:p w14:paraId="3D3DB479" w14:textId="76C0D54B" w:rsidR="00D31054" w:rsidRPr="003E11E7" w:rsidRDefault="00000000">
      <w:pPr>
        <w:spacing w:line="351" w:lineRule="exact"/>
        <w:ind w:left="1582"/>
        <w:rPr>
          <w:lang w:val="pl-PL"/>
        </w:rPr>
      </w:pPr>
      <w:r>
        <w:rPr>
          <w:rFonts w:ascii="Noto Sans Symbols2" w:eastAsia="Noto Sans Symbols2" w:hAnsi="Noto Sans Symbols2"/>
          <w:color w:val="0072BC"/>
          <w:sz w:val="20"/>
        </w:rPr>
        <w:t>🢭</w:t>
      </w:r>
      <w:r w:rsidRPr="003E11E7">
        <w:rPr>
          <w:rFonts w:ascii="Noto Sans Symbols2" w:eastAsia="Noto Sans Symbols2" w:hAnsi="Noto Sans Symbols2"/>
          <w:color w:val="0072BC"/>
          <w:spacing w:val="40"/>
          <w:sz w:val="20"/>
          <w:lang w:val="pl-PL"/>
        </w:rPr>
        <w:t xml:space="preserve">  </w:t>
      </w:r>
      <w:hyperlink r:id="rId20">
        <w:proofErr w:type="spellStart"/>
        <w:r w:rsidR="00D31054" w:rsidRPr="003E11E7">
          <w:rPr>
            <w:i/>
            <w:color w:val="0072BC"/>
            <w:sz w:val="20"/>
            <w:lang w:val="pl-PL"/>
          </w:rPr>
          <w:t>Seregin</w:t>
        </w:r>
        <w:proofErr w:type="spellEnd"/>
        <w:r w:rsidR="00D31054" w:rsidRPr="003E11E7">
          <w:rPr>
            <w:i/>
            <w:color w:val="0072BC"/>
            <w:sz w:val="20"/>
            <w:lang w:val="pl-PL"/>
          </w:rPr>
          <w:t xml:space="preserve"> i </w:t>
        </w:r>
        <w:r w:rsidR="00877FE1" w:rsidRPr="003E11E7">
          <w:rPr>
            <w:i/>
            <w:color w:val="0072BC"/>
            <w:sz w:val="20"/>
            <w:lang w:val="pl-PL"/>
          </w:rPr>
          <w:t>I</w:t>
        </w:r>
        <w:r w:rsidR="00D31054" w:rsidRPr="003E11E7">
          <w:rPr>
            <w:i/>
            <w:color w:val="0072BC"/>
            <w:sz w:val="20"/>
            <w:lang w:val="pl-PL"/>
          </w:rPr>
          <w:t>nni przeciwko Rosji</w:t>
        </w:r>
      </w:hyperlink>
      <w:r w:rsidRPr="003E11E7">
        <w:rPr>
          <w:sz w:val="20"/>
          <w:lang w:val="pl-PL"/>
        </w:rPr>
        <w:t>, 2021</w:t>
      </w:r>
      <w:r w:rsidR="00877FE1" w:rsidRPr="003E11E7">
        <w:rPr>
          <w:sz w:val="20"/>
          <w:lang w:val="pl-PL"/>
        </w:rPr>
        <w:t xml:space="preserve"> r.</w:t>
      </w:r>
      <w:r w:rsidRPr="003E11E7">
        <w:rPr>
          <w:sz w:val="20"/>
          <w:lang w:val="pl-PL"/>
        </w:rPr>
        <w:t xml:space="preserve">, § </w:t>
      </w:r>
      <w:r w:rsidRPr="003E11E7">
        <w:rPr>
          <w:spacing w:val="-5"/>
          <w:sz w:val="20"/>
          <w:lang w:val="pl-PL"/>
        </w:rPr>
        <w:t>108</w:t>
      </w:r>
    </w:p>
    <w:p w14:paraId="03416785" w14:textId="77777777" w:rsidR="00D31054" w:rsidRPr="003E11E7" w:rsidRDefault="00D31054">
      <w:pPr>
        <w:spacing w:line="351" w:lineRule="exact"/>
        <w:rPr>
          <w:lang w:val="pl-PL"/>
        </w:rPr>
        <w:sectPr w:rsidR="00D31054" w:rsidRPr="003E11E7">
          <w:headerReference w:type="default" r:id="rId21"/>
          <w:footerReference w:type="default" r:id="rId22"/>
          <w:pgSz w:w="11910" w:h="16840"/>
          <w:pgMar w:top="1100" w:right="708" w:bottom="920" w:left="708" w:header="723" w:footer="726" w:gutter="0"/>
          <w:pgNumType w:start="2"/>
          <w:cols w:space="708"/>
        </w:sectPr>
      </w:pPr>
    </w:p>
    <w:p w14:paraId="7F2CF975" w14:textId="77777777" w:rsidR="00D31054" w:rsidRPr="003E11E7" w:rsidRDefault="00D31054">
      <w:pPr>
        <w:pStyle w:val="Tekstpodstawowy"/>
        <w:spacing w:before="77"/>
        <w:ind w:left="0"/>
        <w:rPr>
          <w:sz w:val="28"/>
          <w:lang w:val="pl-PL"/>
        </w:rPr>
      </w:pPr>
    </w:p>
    <w:p w14:paraId="7B6AFAC8" w14:textId="77777777" w:rsidR="00D31054" w:rsidRPr="003E11E7" w:rsidRDefault="00000000">
      <w:pPr>
        <w:pStyle w:val="Nagwek3"/>
        <w:jc w:val="both"/>
        <w:rPr>
          <w:lang w:val="pl-PL"/>
        </w:rPr>
      </w:pPr>
      <w:r w:rsidRPr="003E11E7">
        <w:rPr>
          <w:color w:val="2F2F2F"/>
          <w:w w:val="80"/>
          <w:sz w:val="26"/>
          <w:lang w:val="pl-PL"/>
        </w:rPr>
        <w:t xml:space="preserve">Zakres </w:t>
      </w:r>
      <w:r w:rsidRPr="003E11E7">
        <w:rPr>
          <w:color w:val="2F2F2F"/>
          <w:spacing w:val="-2"/>
          <w:w w:val="80"/>
          <w:sz w:val="26"/>
          <w:lang w:val="pl-PL"/>
        </w:rPr>
        <w:t>przeglądu:</w:t>
      </w:r>
    </w:p>
    <w:p w14:paraId="5223D68C" w14:textId="71241A25" w:rsidR="00D31054" w:rsidRPr="003E11E7" w:rsidRDefault="00000000">
      <w:pPr>
        <w:pStyle w:val="Tekstpodstawowy"/>
        <w:spacing w:before="136"/>
        <w:ind w:left="732" w:right="729"/>
        <w:jc w:val="both"/>
        <w:rPr>
          <w:lang w:val="pl-PL"/>
        </w:rPr>
      </w:pPr>
      <w:r w:rsidRPr="003E11E7">
        <w:rPr>
          <w:sz w:val="20"/>
          <w:lang w:val="pl-PL"/>
        </w:rPr>
        <w:t>Unieważnienie praw własności nie jest samo w sobie sprzeczne z art. 1 Protokołu nr 1. Musi ono jednak nie tylko być zgodne z prawem i mieć uzasadniony cel, ale także spełniać wymóg proporcjonalności. Należy zachować właściwą równowagę między wymogami interesu ogólnego społeczności a wymogami ochrony praw podstawowych jednostki, przy czym poszukiwanie takiej właściwej równowagi jest nieodłącznym elementem całej Konwencji. Wymagana równowaga nie zostanie zachowana, jeżeli dana osoba ponosi indywidualne i nadmierne obciążenie (</w:t>
      </w:r>
      <w:proofErr w:type="spellStart"/>
      <w:r w:rsidR="00D31054">
        <w:fldChar w:fldCharType="begin"/>
      </w:r>
      <w:r w:rsidR="00D31054" w:rsidRPr="003E11E7">
        <w:rPr>
          <w:lang w:val="pl-PL"/>
        </w:rPr>
        <w:instrText>HYPERLINK "https://hudoc.echr.coe.int/eng?i=001-183540" \h</w:instrText>
      </w:r>
      <w:r w:rsidR="00D31054">
        <w:fldChar w:fldCharType="separate"/>
      </w:r>
      <w:r w:rsidR="00D31054" w:rsidRPr="003E11E7">
        <w:rPr>
          <w:i/>
          <w:color w:val="0072BC"/>
          <w:sz w:val="20"/>
          <w:lang w:val="pl-PL"/>
        </w:rPr>
        <w:t>Beinarovič</w:t>
      </w:r>
      <w:proofErr w:type="spellEnd"/>
      <w:r w:rsidR="00D31054" w:rsidRPr="003E11E7">
        <w:rPr>
          <w:i/>
          <w:color w:val="0072BC"/>
          <w:sz w:val="20"/>
          <w:lang w:val="pl-PL"/>
        </w:rPr>
        <w:t xml:space="preserve"> i </w:t>
      </w:r>
      <w:r w:rsidR="00D31054">
        <w:fldChar w:fldCharType="end"/>
      </w:r>
      <w:hyperlink r:id="rId23">
        <w:r w:rsidR="00877FE1" w:rsidRPr="003E11E7">
          <w:rPr>
            <w:i/>
            <w:color w:val="0072BC"/>
            <w:sz w:val="20"/>
            <w:lang w:val="pl-PL"/>
          </w:rPr>
          <w:t>I</w:t>
        </w:r>
        <w:r w:rsidR="00D31054" w:rsidRPr="003E11E7">
          <w:rPr>
            <w:i/>
            <w:color w:val="0072BC"/>
            <w:sz w:val="20"/>
            <w:lang w:val="pl-PL"/>
          </w:rPr>
          <w:t xml:space="preserve">nni </w:t>
        </w:r>
        <w:proofErr w:type="spellStart"/>
        <w:r w:rsidR="00D31054" w:rsidRPr="003E11E7">
          <w:rPr>
            <w:i/>
            <w:color w:val="0072BC"/>
            <w:sz w:val="20"/>
            <w:lang w:val="pl-PL"/>
          </w:rPr>
          <w:t>p</w:t>
        </w:r>
        <w:r w:rsidR="00877FE1" w:rsidRPr="003E11E7">
          <w:rPr>
            <w:i/>
            <w:color w:val="0072BC"/>
            <w:sz w:val="20"/>
            <w:lang w:val="pl-PL"/>
          </w:rPr>
          <w:t>rzeciko</w:t>
        </w:r>
        <w:proofErr w:type="spellEnd"/>
        <w:r w:rsidR="00D31054" w:rsidRPr="003E11E7">
          <w:rPr>
            <w:i/>
            <w:color w:val="0072BC"/>
            <w:sz w:val="20"/>
            <w:lang w:val="pl-PL"/>
          </w:rPr>
          <w:t xml:space="preserve"> Litwie</w:t>
        </w:r>
      </w:hyperlink>
      <w:r w:rsidRPr="003E11E7">
        <w:rPr>
          <w:sz w:val="20"/>
          <w:lang w:val="pl-PL"/>
        </w:rPr>
        <w:t>, 2018</w:t>
      </w:r>
      <w:r w:rsidR="00FA678E" w:rsidRPr="003E11E7">
        <w:rPr>
          <w:sz w:val="20"/>
          <w:lang w:val="pl-PL"/>
        </w:rPr>
        <w:t xml:space="preserve"> </w:t>
      </w:r>
      <w:r w:rsidR="00877FE1" w:rsidRPr="003E11E7">
        <w:rPr>
          <w:sz w:val="20"/>
          <w:lang w:val="pl-PL"/>
        </w:rPr>
        <w:t>r.</w:t>
      </w:r>
      <w:r w:rsidRPr="003E11E7">
        <w:rPr>
          <w:sz w:val="20"/>
          <w:lang w:val="pl-PL"/>
        </w:rPr>
        <w:t>, § 138).</w:t>
      </w:r>
    </w:p>
    <w:p w14:paraId="43EA977E" w14:textId="7070C927" w:rsidR="00D31054" w:rsidRPr="003E11E7" w:rsidRDefault="005B2C0A" w:rsidP="005B2C0A">
      <w:pPr>
        <w:pStyle w:val="Tekstpodstawowy"/>
        <w:ind w:left="732" w:right="729"/>
        <w:jc w:val="both"/>
        <w:rPr>
          <w:sz w:val="20"/>
          <w:lang w:val="pl-PL"/>
        </w:rPr>
      </w:pPr>
      <w:r w:rsidRPr="003E11E7">
        <w:rPr>
          <w:sz w:val="20"/>
          <w:lang w:val="pl-PL"/>
        </w:rPr>
        <w:t>Trybunał rozróżnia między zobowiązaniami państwa w związku z odzyskaniem mienia, które zostało przez nie zbyte, a roszczeniem podmiotu prywatnego dotyczącym mienia utraconego w wyniku bezprawnych działań osoby trzeciej. Zakres zobowiązań państwa w kontekście czysto prywatnym jest znacznie węższy niż w przypadkach, w których organ państwowy jest odbiorcą odzyskanego mienia.</w:t>
      </w:r>
    </w:p>
    <w:p w14:paraId="19C2A66D" w14:textId="77777777" w:rsidR="00D31054" w:rsidRPr="003E11E7" w:rsidRDefault="00D31054">
      <w:pPr>
        <w:pStyle w:val="Tekstpodstawowy"/>
        <w:spacing w:before="11"/>
        <w:ind w:left="0"/>
        <w:rPr>
          <w:lang w:val="pl-PL"/>
        </w:rPr>
      </w:pPr>
    </w:p>
    <w:p w14:paraId="5B775B6B" w14:textId="77777777" w:rsidR="00D31054" w:rsidRDefault="00000000">
      <w:pPr>
        <w:pStyle w:val="Nagwek4"/>
        <w:numPr>
          <w:ilvl w:val="0"/>
          <w:numId w:val="4"/>
        </w:numPr>
        <w:tabs>
          <w:tab w:val="left" w:pos="1024"/>
        </w:tabs>
        <w:ind w:left="1024" w:hanging="292"/>
        <w:jc w:val="both"/>
      </w:pPr>
      <w:proofErr w:type="spellStart"/>
      <w:r>
        <w:rPr>
          <w:color w:val="2F2F2F"/>
          <w:spacing w:val="-2"/>
          <w:sz w:val="22"/>
        </w:rPr>
        <w:t>Kontekst</w:t>
      </w:r>
      <w:proofErr w:type="spellEnd"/>
      <w:r>
        <w:rPr>
          <w:color w:val="2F2F2F"/>
          <w:spacing w:val="-2"/>
          <w:sz w:val="22"/>
        </w:rPr>
        <w:t xml:space="preserve"> </w:t>
      </w:r>
      <w:proofErr w:type="spellStart"/>
      <w:r>
        <w:rPr>
          <w:color w:val="2F2F2F"/>
          <w:sz w:val="22"/>
        </w:rPr>
        <w:t>publiczno</w:t>
      </w:r>
      <w:proofErr w:type="spellEnd"/>
      <w:r>
        <w:rPr>
          <w:color w:val="2F2F2F"/>
          <w:sz w:val="22"/>
        </w:rPr>
        <w:t>-prawny</w:t>
      </w:r>
    </w:p>
    <w:p w14:paraId="0CFAFE14" w14:textId="77777777" w:rsidR="00D31054" w:rsidRDefault="00000000">
      <w:pPr>
        <w:pStyle w:val="Nagwek5"/>
        <w:numPr>
          <w:ilvl w:val="1"/>
          <w:numId w:val="4"/>
        </w:numPr>
        <w:tabs>
          <w:tab w:val="left" w:pos="996"/>
        </w:tabs>
        <w:spacing w:before="280"/>
        <w:ind w:left="996" w:hanging="264"/>
      </w:pPr>
      <w:r>
        <w:rPr>
          <w:color w:val="2F2F2F"/>
          <w:spacing w:val="-2"/>
          <w:sz w:val="20"/>
        </w:rPr>
        <w:t xml:space="preserve">Zasady </w:t>
      </w:r>
      <w:r>
        <w:rPr>
          <w:color w:val="2F2F2F"/>
          <w:sz w:val="20"/>
        </w:rPr>
        <w:t>ogólne</w:t>
      </w:r>
    </w:p>
    <w:p w14:paraId="13F1EF74" w14:textId="7E4343B7" w:rsidR="00D31054" w:rsidRPr="003E11E7" w:rsidRDefault="00000000">
      <w:pPr>
        <w:pStyle w:val="Tekstpodstawowy"/>
        <w:ind w:left="732" w:right="729"/>
        <w:jc w:val="both"/>
        <w:rPr>
          <w:lang w:val="pl-PL"/>
        </w:rPr>
      </w:pPr>
      <w:r w:rsidRPr="003E11E7">
        <w:rPr>
          <w:sz w:val="20"/>
          <w:lang w:val="pl-PL"/>
        </w:rPr>
        <w:t xml:space="preserve">Obowiązki o charakterze publicznoprawnym powstają w sprawach dotyczących przejęcia przez państwo lub gminę nieruchomości przydzielonych w ramach programów prywatyzacyjnych, poprzez przyznanie świadczeń socjalnych lub podobnych ogólnych programów. W związku z tym Trybunał odrzucił argumenty Rządu, że spór sądowy miał charakter czysto cywilny, gdy wywłaszczenie skarżącego było bezpośrednią konsekwencją stwierdzenia przez sądy krajowe wady w procedurze, w ramach której mieszkanie zostało pierwotnie sprzedane przez gminę </w:t>
      </w:r>
      <w:hyperlink r:id="rId24">
        <w:r w:rsidR="00D31054" w:rsidRPr="003E11E7">
          <w:rPr>
            <w:iCs/>
            <w:sz w:val="20"/>
            <w:lang w:val="pl-PL"/>
          </w:rPr>
          <w:t>(</w:t>
        </w:r>
        <w:proofErr w:type="spellStart"/>
        <w:r w:rsidR="00D31054" w:rsidRPr="003E11E7">
          <w:rPr>
            <w:i/>
            <w:color w:val="0072BC"/>
            <w:sz w:val="20"/>
            <w:lang w:val="pl-PL"/>
          </w:rPr>
          <w:t>Gladysheva</w:t>
        </w:r>
        <w:proofErr w:type="spellEnd"/>
        <w:r w:rsidR="00D31054" w:rsidRPr="003E11E7">
          <w:rPr>
            <w:i/>
            <w:color w:val="0072BC"/>
            <w:sz w:val="20"/>
            <w:lang w:val="pl-PL"/>
          </w:rPr>
          <w:t xml:space="preserve"> </w:t>
        </w:r>
        <w:r w:rsidR="009376BF" w:rsidRPr="003E11E7">
          <w:rPr>
            <w:i/>
            <w:color w:val="0072BC"/>
            <w:sz w:val="20"/>
            <w:lang w:val="pl-PL"/>
          </w:rPr>
          <w:t xml:space="preserve">przeciwko </w:t>
        </w:r>
        <w:r w:rsidR="00D31054" w:rsidRPr="003E11E7">
          <w:rPr>
            <w:i/>
            <w:color w:val="0072BC"/>
            <w:sz w:val="20"/>
            <w:lang w:val="pl-PL"/>
          </w:rPr>
          <w:t>Rosji</w:t>
        </w:r>
      </w:hyperlink>
      <w:r w:rsidRPr="003E11E7">
        <w:rPr>
          <w:sz w:val="20"/>
          <w:lang w:val="pl-PL"/>
        </w:rPr>
        <w:t>, 2011</w:t>
      </w:r>
      <w:r w:rsidR="009376BF" w:rsidRPr="003E11E7">
        <w:rPr>
          <w:sz w:val="20"/>
          <w:lang w:val="pl-PL"/>
        </w:rPr>
        <w:t xml:space="preserve"> r.</w:t>
      </w:r>
      <w:r w:rsidRPr="003E11E7">
        <w:rPr>
          <w:sz w:val="20"/>
          <w:lang w:val="pl-PL"/>
        </w:rPr>
        <w:t>, § 55), lub gdy tytuł własności został unieważniony na podstawie niewłaściwego zastosowania przepisów dotyczących reformy rolnej przez właściwe organy (</w:t>
      </w:r>
      <w:proofErr w:type="spellStart"/>
      <w:r w:rsidR="009376BF">
        <w:fldChar w:fldCharType="begin"/>
      </w:r>
      <w:r w:rsidR="009376BF" w:rsidRPr="003E11E7">
        <w:rPr>
          <w:lang w:val="pl-PL"/>
        </w:rPr>
        <w:instrText>HYPERLINK "https://hudoc.echr.coe.int/eng" \l "{%22itemid%22:[%22001-170461%22]}"</w:instrText>
      </w:r>
      <w:r w:rsidR="009376BF">
        <w:fldChar w:fldCharType="separate"/>
      </w:r>
      <w:r w:rsidR="009376BF" w:rsidRPr="003E11E7">
        <w:rPr>
          <w:rStyle w:val="Hipercze"/>
          <w:i/>
          <w:iCs/>
          <w:color w:val="0070C0"/>
          <w:sz w:val="20"/>
          <w:u w:val="none"/>
          <w:lang w:val="pl-PL"/>
        </w:rPr>
        <w:t>Dzirnis</w:t>
      </w:r>
      <w:proofErr w:type="spellEnd"/>
      <w:r w:rsidR="009376BF" w:rsidRPr="003E11E7">
        <w:rPr>
          <w:rStyle w:val="Hipercze"/>
          <w:i/>
          <w:iCs/>
          <w:color w:val="0070C0"/>
          <w:sz w:val="20"/>
          <w:u w:val="none"/>
          <w:lang w:val="pl-PL"/>
        </w:rPr>
        <w:t xml:space="preserve"> przeciwko Łotwie</w:t>
      </w:r>
      <w:r w:rsidR="009376BF">
        <w:fldChar w:fldCharType="end"/>
      </w:r>
      <w:r w:rsidRPr="003E11E7">
        <w:rPr>
          <w:sz w:val="20"/>
          <w:lang w:val="pl-PL"/>
        </w:rPr>
        <w:t>, 2017</w:t>
      </w:r>
      <w:r w:rsidR="0049251D" w:rsidRPr="003E11E7">
        <w:rPr>
          <w:sz w:val="20"/>
          <w:lang w:val="pl-PL"/>
        </w:rPr>
        <w:t xml:space="preserve"> r.</w:t>
      </w:r>
      <w:r w:rsidRPr="003E11E7">
        <w:rPr>
          <w:sz w:val="20"/>
          <w:lang w:val="pl-PL"/>
        </w:rPr>
        <w:t xml:space="preserve">, §§ 16 i </w:t>
      </w:r>
      <w:r w:rsidRPr="003E11E7">
        <w:rPr>
          <w:spacing w:val="-4"/>
          <w:sz w:val="20"/>
          <w:lang w:val="pl-PL"/>
        </w:rPr>
        <w:t>55).</w:t>
      </w:r>
    </w:p>
    <w:p w14:paraId="437BF2BB" w14:textId="36C52B89" w:rsidR="00D31054" w:rsidRPr="003E11E7" w:rsidRDefault="00000000">
      <w:pPr>
        <w:pStyle w:val="Tekstpodstawowy"/>
        <w:ind w:left="732" w:right="730"/>
        <w:jc w:val="both"/>
        <w:rPr>
          <w:lang w:val="pl-PL"/>
        </w:rPr>
      </w:pPr>
      <w:r w:rsidRPr="003E11E7">
        <w:rPr>
          <w:sz w:val="20"/>
          <w:lang w:val="pl-PL"/>
        </w:rPr>
        <w:t>Restytucja uprzednio znacjonalizowanego mienia obejmująca wywłaszczenie odbiorców działających w dobrej wierze, którym zostało ono przydzielone po nacjonalizacji, jest również uważana za tworzenie zobowiązań państwa o charakterze publicznoprawnym (</w:t>
      </w:r>
      <w:proofErr w:type="spellStart"/>
      <w:r w:rsidR="00D31054">
        <w:fldChar w:fldCharType="begin"/>
      </w:r>
      <w:r w:rsidR="00D31054" w:rsidRPr="003E11E7">
        <w:rPr>
          <w:lang w:val="pl-PL"/>
        </w:rPr>
        <w:instrText>HYPERLINK "https://hudoc.echr.coe.int/eng?i=001-79790" \h</w:instrText>
      </w:r>
      <w:r w:rsidR="00D31054">
        <w:fldChar w:fldCharType="separate"/>
      </w:r>
      <w:r w:rsidR="00D31054" w:rsidRPr="003E11E7">
        <w:rPr>
          <w:i/>
          <w:color w:val="0072BC"/>
          <w:sz w:val="20"/>
          <w:lang w:val="pl-PL"/>
        </w:rPr>
        <w:t>Velikovi</w:t>
      </w:r>
      <w:proofErr w:type="spellEnd"/>
      <w:r w:rsidR="00D31054" w:rsidRPr="003E11E7">
        <w:rPr>
          <w:i/>
          <w:color w:val="0072BC"/>
          <w:sz w:val="20"/>
          <w:lang w:val="pl-PL"/>
        </w:rPr>
        <w:t xml:space="preserve"> i Inni przeciwko Bułgarii</w:t>
      </w:r>
      <w:r w:rsidR="00D31054">
        <w:fldChar w:fldCharType="end"/>
      </w:r>
      <w:r w:rsidRPr="003E11E7">
        <w:rPr>
          <w:sz w:val="20"/>
          <w:lang w:val="pl-PL"/>
        </w:rPr>
        <w:t>, 2007</w:t>
      </w:r>
      <w:r w:rsidR="00FF6E54" w:rsidRPr="003E11E7">
        <w:rPr>
          <w:sz w:val="20"/>
          <w:lang w:val="pl-PL"/>
        </w:rPr>
        <w:t xml:space="preserve"> r.</w:t>
      </w:r>
      <w:r w:rsidRPr="003E11E7">
        <w:rPr>
          <w:sz w:val="20"/>
          <w:lang w:val="pl-PL"/>
        </w:rPr>
        <w:t xml:space="preserve">, §§ 160-161). W tym kontekście Trybunał uważa, że złagodzenie dawnych niesprawiedliwości nie powinno tworzyć nieproporcjonalnych nowych krzywd, a </w:t>
      </w:r>
      <w:r w:rsidR="00F872D4" w:rsidRPr="003E11E7">
        <w:rPr>
          <w:lang w:val="pl-PL"/>
        </w:rPr>
        <w:t>„</w:t>
      </w:r>
      <w:r w:rsidRPr="003E11E7">
        <w:rPr>
          <w:sz w:val="20"/>
          <w:lang w:val="pl-PL"/>
        </w:rPr>
        <w:t>osoby, które nabyły swoje mienie w dobrej wierze [nie powinny być] zmuszane do ponoszenia ciężaru odpowiedzialności, który słusznie spoczywa na państwie" (</w:t>
      </w:r>
      <w:proofErr w:type="spellStart"/>
      <w:r w:rsidR="00D31054">
        <w:fldChar w:fldCharType="begin"/>
      </w:r>
      <w:r w:rsidR="00D31054" w:rsidRPr="003E11E7">
        <w:rPr>
          <w:lang w:val="pl-PL"/>
        </w:rPr>
        <w:instrText>HYPERLINK "https://hudoc.echr.coe.int/eng?i=001-60726" \h</w:instrText>
      </w:r>
      <w:r w:rsidR="00D31054">
        <w:fldChar w:fldCharType="separate"/>
      </w:r>
      <w:r w:rsidR="00D31054" w:rsidRPr="003E11E7">
        <w:rPr>
          <w:i/>
          <w:color w:val="0072BC"/>
          <w:sz w:val="20"/>
          <w:lang w:val="pl-PL"/>
        </w:rPr>
        <w:t>Pincová</w:t>
      </w:r>
      <w:proofErr w:type="spellEnd"/>
      <w:r w:rsidR="00D31054" w:rsidRPr="003E11E7">
        <w:rPr>
          <w:i/>
          <w:color w:val="0072BC"/>
          <w:sz w:val="20"/>
          <w:lang w:val="pl-PL"/>
        </w:rPr>
        <w:t xml:space="preserve"> i </w:t>
      </w:r>
      <w:proofErr w:type="spellStart"/>
      <w:r w:rsidR="00D31054" w:rsidRPr="003E11E7">
        <w:rPr>
          <w:i/>
          <w:color w:val="0072BC"/>
          <w:sz w:val="20"/>
          <w:lang w:val="pl-PL"/>
        </w:rPr>
        <w:t>Pinc</w:t>
      </w:r>
      <w:proofErr w:type="spellEnd"/>
      <w:r w:rsidR="00D31054" w:rsidRPr="003E11E7">
        <w:rPr>
          <w:i/>
          <w:color w:val="0072BC"/>
          <w:sz w:val="20"/>
          <w:lang w:val="pl-PL"/>
        </w:rPr>
        <w:t xml:space="preserve"> przeciwko Republice Czeskiej</w:t>
      </w:r>
      <w:r w:rsidR="00D31054">
        <w:fldChar w:fldCharType="end"/>
      </w:r>
      <w:r w:rsidRPr="003E11E7">
        <w:rPr>
          <w:sz w:val="20"/>
          <w:lang w:val="pl-PL"/>
        </w:rPr>
        <w:t>, 2002</w:t>
      </w:r>
      <w:r w:rsidR="00FF6E54" w:rsidRPr="003E11E7">
        <w:rPr>
          <w:sz w:val="20"/>
          <w:lang w:val="pl-PL"/>
        </w:rPr>
        <w:t xml:space="preserve"> r.</w:t>
      </w:r>
      <w:r w:rsidRPr="003E11E7">
        <w:rPr>
          <w:sz w:val="20"/>
          <w:lang w:val="pl-PL"/>
        </w:rPr>
        <w:t>,</w:t>
      </w:r>
      <w:r w:rsidR="00FF6E54" w:rsidRPr="003E11E7">
        <w:rPr>
          <w:lang w:val="pl-PL"/>
        </w:rPr>
        <w:t xml:space="preserve"> </w:t>
      </w:r>
      <w:r w:rsidR="00FF6E54" w:rsidRPr="003E11E7">
        <w:rPr>
          <w:sz w:val="20"/>
          <w:lang w:val="pl-PL"/>
        </w:rPr>
        <w:t>§ 58).</w:t>
      </w:r>
    </w:p>
    <w:p w14:paraId="17DEAE2C" w14:textId="7ECEF197" w:rsidR="00D31054" w:rsidRPr="003E11E7" w:rsidRDefault="00000000">
      <w:pPr>
        <w:pStyle w:val="Tekstpodstawowy"/>
        <w:ind w:left="732" w:right="729"/>
        <w:jc w:val="both"/>
        <w:rPr>
          <w:lang w:val="pl-PL"/>
        </w:rPr>
      </w:pPr>
      <w:r w:rsidRPr="003E11E7">
        <w:rPr>
          <w:sz w:val="20"/>
          <w:lang w:val="pl-PL"/>
        </w:rPr>
        <w:t>Trybunał orzekł również, że błędy lub pomyłki władz państwowych powinny przynosić korzyść osobom, których dotyczą, zwłaszcza gdy w grę nie wchodzi żaden inny sprzeczny interes prywatny (</w:t>
      </w:r>
      <w:proofErr w:type="spellStart"/>
      <w:r w:rsidR="00D31054">
        <w:fldChar w:fldCharType="begin"/>
      </w:r>
      <w:r w:rsidR="00D31054" w:rsidRPr="003E11E7">
        <w:rPr>
          <w:lang w:val="pl-PL"/>
        </w:rPr>
        <w:instrText>HYPERLINK "https://hudoc.echr.coe.int/eng?i=001-84005" \h</w:instrText>
      </w:r>
      <w:r w:rsidR="00D31054">
        <w:fldChar w:fldCharType="separate"/>
      </w:r>
      <w:r w:rsidR="00D31054" w:rsidRPr="003E11E7">
        <w:rPr>
          <w:i/>
          <w:color w:val="0072BC"/>
          <w:sz w:val="20"/>
          <w:lang w:val="pl-PL"/>
        </w:rPr>
        <w:t>Gashi</w:t>
      </w:r>
      <w:proofErr w:type="spellEnd"/>
      <w:r w:rsidR="00D31054" w:rsidRPr="003E11E7">
        <w:rPr>
          <w:i/>
          <w:color w:val="0072BC"/>
          <w:sz w:val="20"/>
          <w:lang w:val="pl-PL"/>
        </w:rPr>
        <w:t xml:space="preserve"> przeciwko Chorwacji</w:t>
      </w:r>
      <w:r w:rsidR="00D31054">
        <w:fldChar w:fldCharType="end"/>
      </w:r>
      <w:r w:rsidRPr="003E11E7">
        <w:rPr>
          <w:sz w:val="20"/>
          <w:lang w:val="pl-PL"/>
        </w:rPr>
        <w:t>, 2007</w:t>
      </w:r>
      <w:r w:rsidR="00FF6E54" w:rsidRPr="003E11E7">
        <w:rPr>
          <w:sz w:val="20"/>
          <w:lang w:val="pl-PL"/>
        </w:rPr>
        <w:t xml:space="preserve"> r.</w:t>
      </w:r>
      <w:r w:rsidRPr="003E11E7">
        <w:rPr>
          <w:sz w:val="20"/>
          <w:lang w:val="pl-PL"/>
        </w:rPr>
        <w:t>, § 40), wyjaśniając, że było to zgodne z zasadą</w:t>
      </w:r>
      <w:r w:rsidR="00F872D4" w:rsidRPr="003E11E7">
        <w:rPr>
          <w:sz w:val="20"/>
          <w:lang w:val="pl-PL"/>
        </w:rPr>
        <w:t xml:space="preserve"> </w:t>
      </w:r>
      <w:r w:rsidR="00F872D4" w:rsidRPr="003E11E7">
        <w:rPr>
          <w:lang w:val="pl-PL"/>
        </w:rPr>
        <w:t>„</w:t>
      </w:r>
      <w:r w:rsidRPr="003E11E7">
        <w:rPr>
          <w:sz w:val="20"/>
          <w:lang w:val="pl-PL"/>
        </w:rPr>
        <w:t xml:space="preserve">dobrego zarządzania" (podsekcja "b" </w:t>
      </w:r>
      <w:r w:rsidRPr="003E11E7">
        <w:rPr>
          <w:spacing w:val="-2"/>
          <w:sz w:val="20"/>
          <w:lang w:val="pl-PL"/>
        </w:rPr>
        <w:t>poniżej).</w:t>
      </w:r>
    </w:p>
    <w:p w14:paraId="54CC820F" w14:textId="5F5564FB" w:rsidR="00D31054" w:rsidRPr="003E11E7" w:rsidRDefault="00000000">
      <w:pPr>
        <w:pStyle w:val="Tekstpodstawowy"/>
        <w:ind w:left="732" w:right="730"/>
        <w:jc w:val="both"/>
        <w:rPr>
          <w:lang w:val="pl-PL"/>
        </w:rPr>
      </w:pPr>
      <w:r w:rsidRPr="003E11E7">
        <w:rPr>
          <w:sz w:val="20"/>
          <w:lang w:val="pl-PL"/>
        </w:rPr>
        <w:t xml:space="preserve">W sprawach, </w:t>
      </w:r>
      <w:r w:rsidRPr="003E11E7">
        <w:rPr>
          <w:spacing w:val="-2"/>
          <w:sz w:val="20"/>
          <w:lang w:val="pl-PL"/>
        </w:rPr>
        <w:t>w</w:t>
      </w:r>
      <w:r w:rsidRPr="003E11E7">
        <w:rPr>
          <w:sz w:val="20"/>
          <w:lang w:val="pl-PL"/>
        </w:rPr>
        <w:t xml:space="preserve"> których korekta błędów spowodowanych przez władze państwowe skutkuje ingerencją w prawo do spokojnego korzystania z własności posiadacza </w:t>
      </w:r>
      <w:r w:rsidRPr="003E11E7">
        <w:rPr>
          <w:i/>
          <w:sz w:val="20"/>
          <w:lang w:val="pl-PL"/>
        </w:rPr>
        <w:t xml:space="preserve">w </w:t>
      </w:r>
      <w:r w:rsidR="00F872D4" w:rsidRPr="003E11E7">
        <w:rPr>
          <w:i/>
          <w:sz w:val="20"/>
          <w:lang w:val="pl-PL"/>
        </w:rPr>
        <w:t xml:space="preserve">bona </w:t>
      </w:r>
      <w:proofErr w:type="spellStart"/>
      <w:r w:rsidR="00F872D4" w:rsidRPr="003E11E7">
        <w:rPr>
          <w:i/>
          <w:sz w:val="20"/>
          <w:lang w:val="pl-PL"/>
        </w:rPr>
        <w:t>fide</w:t>
      </w:r>
      <w:proofErr w:type="spellEnd"/>
      <w:r w:rsidRPr="003E11E7">
        <w:rPr>
          <w:sz w:val="20"/>
          <w:lang w:val="pl-PL"/>
        </w:rPr>
        <w:t xml:space="preserve">, test proporcjonalności wymaga ogólnego zbadania różnych wchodzących w grę interesów, co może wymagać analizy takich elementów, jak warunki odszkodowania i zachowanie stron sporu, w tym środki zastosowane przez państwo i ich wdrożenie (zob. </w:t>
      </w:r>
      <w:hyperlink r:id="rId25">
        <w:proofErr w:type="spellStart"/>
        <w:r w:rsidR="00D31054" w:rsidRPr="003E11E7">
          <w:rPr>
            <w:i/>
            <w:color w:val="0072BC"/>
            <w:sz w:val="20"/>
            <w:lang w:val="pl-PL"/>
          </w:rPr>
          <w:t>Dzirnis</w:t>
        </w:r>
        <w:proofErr w:type="spellEnd"/>
        <w:r w:rsidR="00D31054" w:rsidRPr="003E11E7">
          <w:rPr>
            <w:i/>
            <w:color w:val="0072BC"/>
            <w:sz w:val="20"/>
            <w:lang w:val="pl-PL"/>
          </w:rPr>
          <w:t xml:space="preserve"> przeciwko Łotwie</w:t>
        </w:r>
      </w:hyperlink>
      <w:r w:rsidRPr="003E11E7">
        <w:rPr>
          <w:sz w:val="20"/>
          <w:lang w:val="pl-PL"/>
        </w:rPr>
        <w:t>, 2017</w:t>
      </w:r>
      <w:r w:rsidR="00FF6E54" w:rsidRPr="003E11E7">
        <w:rPr>
          <w:sz w:val="20"/>
          <w:lang w:val="pl-PL"/>
        </w:rPr>
        <w:t xml:space="preserve"> r.</w:t>
      </w:r>
      <w:r w:rsidRPr="003E11E7">
        <w:rPr>
          <w:sz w:val="20"/>
          <w:lang w:val="pl-PL"/>
        </w:rPr>
        <w:t>, §§ 79-80).</w:t>
      </w:r>
    </w:p>
    <w:p w14:paraId="44A65C81" w14:textId="48ED3031" w:rsidR="00D31054" w:rsidRPr="003E11E7" w:rsidRDefault="00000000">
      <w:pPr>
        <w:pStyle w:val="Tekstpodstawowy"/>
        <w:ind w:left="732" w:right="729"/>
        <w:jc w:val="both"/>
        <w:rPr>
          <w:sz w:val="20"/>
          <w:lang w:val="pl-PL"/>
        </w:rPr>
      </w:pPr>
      <w:r w:rsidRPr="003E11E7">
        <w:rPr>
          <w:sz w:val="20"/>
          <w:lang w:val="pl-PL"/>
        </w:rPr>
        <w:t xml:space="preserve">W kontekście restytucji Trybunał ocenił proporcjonalność wywłaszczenia nabywców </w:t>
      </w:r>
      <w:r w:rsidRPr="003E11E7">
        <w:rPr>
          <w:i/>
          <w:sz w:val="20"/>
          <w:lang w:val="pl-PL"/>
        </w:rPr>
        <w:t xml:space="preserve">w dobrej wierze </w:t>
      </w:r>
      <w:r w:rsidRPr="003E11E7">
        <w:rPr>
          <w:sz w:val="20"/>
          <w:lang w:val="pl-PL"/>
        </w:rPr>
        <w:t>uprzednio znacjonalizowanego mienia w odniesieniu do: (i) tego, czy środek jest zgodny z prawem krajowym; oraz (ii) trudności poniesionych przez skarżących i adekwatności faktycznie uzyskanego odszkodowania/odszkodowania, które można było uzyskać przy normalnym wykorzystaniu procedur i możliwości dostępnych skarżącym w odpowiednim czasie (</w:t>
      </w:r>
      <w:proofErr w:type="spellStart"/>
      <w:r w:rsidR="00D31054">
        <w:fldChar w:fldCharType="begin"/>
      </w:r>
      <w:r w:rsidR="00D31054" w:rsidRPr="003E11E7">
        <w:rPr>
          <w:lang w:val="pl-PL"/>
        </w:rPr>
        <w:instrText>HYPERLINK "https://hudoc.echr.coe.int/eng?i=001-79790" \h</w:instrText>
      </w:r>
      <w:r w:rsidR="00D31054">
        <w:fldChar w:fldCharType="separate"/>
      </w:r>
      <w:r w:rsidR="00D31054" w:rsidRPr="003E11E7">
        <w:rPr>
          <w:i/>
          <w:color w:val="0072BC"/>
          <w:sz w:val="20"/>
          <w:lang w:val="pl-PL"/>
        </w:rPr>
        <w:t>Velikovi</w:t>
      </w:r>
      <w:proofErr w:type="spellEnd"/>
      <w:r w:rsidR="00D31054" w:rsidRPr="003E11E7">
        <w:rPr>
          <w:i/>
          <w:color w:val="0072BC"/>
          <w:sz w:val="20"/>
          <w:lang w:val="pl-PL"/>
        </w:rPr>
        <w:t xml:space="preserve"> i Inni przeciwko Bułgarii</w:t>
      </w:r>
      <w:r w:rsidR="00D31054">
        <w:fldChar w:fldCharType="end"/>
      </w:r>
      <w:r w:rsidRPr="003E11E7">
        <w:rPr>
          <w:sz w:val="20"/>
          <w:lang w:val="pl-PL"/>
        </w:rPr>
        <w:t>, 2007</w:t>
      </w:r>
      <w:r w:rsidR="00FF6E54" w:rsidRPr="003E11E7">
        <w:rPr>
          <w:sz w:val="20"/>
          <w:lang w:val="pl-PL"/>
        </w:rPr>
        <w:t xml:space="preserve"> r.</w:t>
      </w:r>
      <w:r w:rsidRPr="003E11E7">
        <w:rPr>
          <w:sz w:val="20"/>
          <w:lang w:val="pl-PL"/>
        </w:rPr>
        <w:t>, § 190). Gdy w grę wchodzi unieważnienie tytułu prawnego do lokalu mieszkalnego, może to obejmować możliwości zapewnienia sobie przez skarżących nowego domu (</w:t>
      </w:r>
      <w:hyperlink r:id="rId26">
        <w:r w:rsidR="00D31054" w:rsidRPr="003E11E7">
          <w:rPr>
            <w:i/>
            <w:color w:val="0072BC"/>
            <w:sz w:val="20"/>
            <w:lang w:val="pl-PL"/>
          </w:rPr>
          <w:t>ibid.</w:t>
        </w:r>
      </w:hyperlink>
      <w:r w:rsidRPr="003E11E7">
        <w:rPr>
          <w:sz w:val="20"/>
          <w:lang w:val="pl-PL"/>
        </w:rPr>
        <w:t>).</w:t>
      </w:r>
    </w:p>
    <w:p w14:paraId="3090608D" w14:textId="77777777" w:rsidR="00E35125" w:rsidRPr="003E11E7" w:rsidRDefault="00E35125">
      <w:pPr>
        <w:pStyle w:val="Tekstpodstawowy"/>
        <w:ind w:left="732" w:right="729"/>
        <w:jc w:val="both"/>
        <w:rPr>
          <w:lang w:val="pl-PL"/>
        </w:rPr>
      </w:pPr>
    </w:p>
    <w:p w14:paraId="3D379FA6" w14:textId="77777777" w:rsidR="00D31054" w:rsidRPr="003E11E7" w:rsidRDefault="00D31054">
      <w:pPr>
        <w:pStyle w:val="Tekstpodstawowy"/>
        <w:jc w:val="both"/>
        <w:rPr>
          <w:lang w:val="pl-PL"/>
        </w:rPr>
        <w:sectPr w:rsidR="00D31054" w:rsidRPr="003E11E7">
          <w:pgSz w:w="11910" w:h="16840"/>
          <w:pgMar w:top="1100" w:right="708" w:bottom="920" w:left="708" w:header="723" w:footer="726" w:gutter="0"/>
          <w:cols w:space="708"/>
        </w:sectPr>
      </w:pPr>
    </w:p>
    <w:p w14:paraId="19F47488" w14:textId="77777777" w:rsidR="00D31054" w:rsidRPr="003E11E7" w:rsidRDefault="00D31054">
      <w:pPr>
        <w:pStyle w:val="Tekstpodstawowy"/>
        <w:spacing w:before="146"/>
        <w:ind w:left="0"/>
        <w:rPr>
          <w:lang w:val="pl-PL"/>
        </w:rPr>
      </w:pPr>
    </w:p>
    <w:p w14:paraId="522734FC" w14:textId="130EE8CB" w:rsidR="00D31054" w:rsidRPr="003E11E7" w:rsidRDefault="00000000">
      <w:pPr>
        <w:pStyle w:val="Tekstpodstawowy"/>
        <w:spacing w:before="0"/>
        <w:ind w:left="732" w:right="729"/>
        <w:jc w:val="both"/>
        <w:rPr>
          <w:lang w:val="pl-PL"/>
        </w:rPr>
      </w:pPr>
      <w:r w:rsidRPr="003E11E7">
        <w:rPr>
          <w:sz w:val="20"/>
          <w:lang w:val="pl-PL"/>
        </w:rPr>
        <w:t>Ponadto istnieją pozytywne obowiązki proceduralne wynikające z art. 1 Protokołu nr 1 w sprawach z udziałem organów państwowych, tak jak w sprawach między stronami prywatnymi (</w:t>
      </w:r>
      <w:proofErr w:type="spellStart"/>
      <w:r w:rsidR="00D31054">
        <w:fldChar w:fldCharType="begin"/>
      </w:r>
      <w:r w:rsidR="00D31054" w:rsidRPr="003E11E7">
        <w:rPr>
          <w:lang w:val="pl-PL"/>
        </w:rPr>
        <w:instrText>HYPERLINK "https://hudoc.echr.coe.int/eng?i=001-110023" \h</w:instrText>
      </w:r>
      <w:r w:rsidR="00D31054">
        <w:fldChar w:fldCharType="separate"/>
      </w:r>
      <w:r w:rsidR="00D31054" w:rsidRPr="003E11E7">
        <w:rPr>
          <w:i/>
          <w:color w:val="0072BC"/>
          <w:sz w:val="20"/>
          <w:lang w:val="pl-PL"/>
        </w:rPr>
        <w:t>Kotov</w:t>
      </w:r>
      <w:proofErr w:type="spellEnd"/>
      <w:r w:rsidR="00D31054" w:rsidRPr="003E11E7">
        <w:rPr>
          <w:i/>
          <w:color w:val="0072BC"/>
          <w:sz w:val="20"/>
          <w:lang w:val="pl-PL"/>
        </w:rPr>
        <w:t xml:space="preserve"> przeciwko Rosji </w:t>
      </w:r>
      <w:r w:rsidR="00D31054">
        <w:fldChar w:fldCharType="end"/>
      </w:r>
      <w:r w:rsidRPr="003E11E7">
        <w:rPr>
          <w:sz w:val="20"/>
          <w:lang w:val="pl-PL"/>
        </w:rPr>
        <w:t>[</w:t>
      </w:r>
      <w:r w:rsidR="003D560C" w:rsidRPr="003E11E7">
        <w:rPr>
          <w:sz w:val="20"/>
          <w:lang w:val="pl-PL"/>
        </w:rPr>
        <w:t>WI</w:t>
      </w:r>
      <w:r w:rsidRPr="003E11E7">
        <w:rPr>
          <w:sz w:val="20"/>
          <w:lang w:val="pl-PL"/>
        </w:rPr>
        <w:t>], 2012</w:t>
      </w:r>
      <w:r w:rsidR="00051E2B" w:rsidRPr="003E11E7">
        <w:rPr>
          <w:sz w:val="20"/>
          <w:lang w:val="pl-PL"/>
        </w:rPr>
        <w:t xml:space="preserve"> </w:t>
      </w:r>
      <w:r w:rsidR="003D560C" w:rsidRPr="003E11E7">
        <w:rPr>
          <w:sz w:val="20"/>
          <w:lang w:val="pl-PL"/>
        </w:rPr>
        <w:t>r.</w:t>
      </w:r>
      <w:r w:rsidRPr="003E11E7">
        <w:rPr>
          <w:sz w:val="20"/>
          <w:lang w:val="pl-PL"/>
        </w:rPr>
        <w:t>,</w:t>
      </w:r>
    </w:p>
    <w:p w14:paraId="45288E80" w14:textId="6C364647" w:rsidR="00D31054" w:rsidRDefault="00000000">
      <w:pPr>
        <w:pStyle w:val="Tekstpodstawowy"/>
        <w:spacing w:before="0"/>
        <w:ind w:left="732"/>
        <w:jc w:val="both"/>
      </w:pPr>
      <w:r>
        <w:rPr>
          <w:sz w:val="20"/>
        </w:rPr>
        <w:t xml:space="preserve">§§ 113-114 </w:t>
      </w:r>
      <w:proofErr w:type="spellStart"/>
      <w:r>
        <w:rPr>
          <w:sz w:val="20"/>
        </w:rPr>
        <w:t>i</w:t>
      </w:r>
      <w:proofErr w:type="spellEnd"/>
      <w:r>
        <w:rPr>
          <w:sz w:val="20"/>
        </w:rPr>
        <w:t xml:space="preserve"> </w:t>
      </w:r>
      <w:proofErr w:type="spellStart"/>
      <w:r>
        <w:rPr>
          <w:sz w:val="20"/>
        </w:rPr>
        <w:t>zob</w:t>
      </w:r>
      <w:proofErr w:type="spellEnd"/>
      <w:r>
        <w:rPr>
          <w:sz w:val="20"/>
        </w:rPr>
        <w:t xml:space="preserve">. sekcja 2 </w:t>
      </w:r>
      <w:r>
        <w:rPr>
          <w:spacing w:val="-2"/>
          <w:sz w:val="20"/>
        </w:rPr>
        <w:t>poniżej).</w:t>
      </w:r>
    </w:p>
    <w:p w14:paraId="3FEF8E01" w14:textId="77777777" w:rsidR="00D31054" w:rsidRDefault="00D31054">
      <w:pPr>
        <w:pStyle w:val="Tekstpodstawowy"/>
        <w:spacing w:before="11"/>
        <w:ind w:left="0"/>
      </w:pPr>
    </w:p>
    <w:p w14:paraId="64279D78" w14:textId="77777777" w:rsidR="00D31054" w:rsidRPr="003E11E7" w:rsidRDefault="00000000">
      <w:pPr>
        <w:pStyle w:val="Nagwek5"/>
        <w:numPr>
          <w:ilvl w:val="1"/>
          <w:numId w:val="4"/>
        </w:numPr>
        <w:tabs>
          <w:tab w:val="left" w:pos="1006"/>
        </w:tabs>
        <w:spacing w:before="1"/>
        <w:ind w:left="1006" w:hanging="274"/>
        <w:rPr>
          <w:lang w:val="pl-PL"/>
        </w:rPr>
      </w:pPr>
      <w:r w:rsidRPr="003E11E7">
        <w:rPr>
          <w:color w:val="2F2F2F"/>
          <w:sz w:val="20"/>
          <w:lang w:val="pl-PL"/>
        </w:rPr>
        <w:t xml:space="preserve">Obowiązki wynikające z zasady dobrego </w:t>
      </w:r>
      <w:r w:rsidRPr="003E11E7">
        <w:rPr>
          <w:color w:val="2F2F2F"/>
          <w:spacing w:val="-2"/>
          <w:sz w:val="20"/>
          <w:lang w:val="pl-PL"/>
        </w:rPr>
        <w:t>zarządzania</w:t>
      </w:r>
    </w:p>
    <w:p w14:paraId="5ED0EE04" w14:textId="398FED67" w:rsidR="00D31054" w:rsidRPr="003E11E7" w:rsidRDefault="00000000">
      <w:pPr>
        <w:pStyle w:val="Tekstpodstawowy"/>
        <w:ind w:left="732" w:right="728"/>
        <w:jc w:val="both"/>
        <w:rPr>
          <w:lang w:val="pl-PL"/>
        </w:rPr>
      </w:pPr>
      <w:r w:rsidRPr="003E11E7">
        <w:rPr>
          <w:sz w:val="20"/>
          <w:lang w:val="pl-PL"/>
        </w:rPr>
        <w:t xml:space="preserve">Badając, czy zachowano właściwą równowagę między interesem publicznym a interesem skarżącego, Trybunał podkreślił szczególne znaczenie zasady </w:t>
      </w:r>
      <w:r w:rsidR="00F46D79" w:rsidRPr="003E11E7">
        <w:rPr>
          <w:sz w:val="20"/>
          <w:lang w:val="pl-PL"/>
        </w:rPr>
        <w:t>„</w:t>
      </w:r>
      <w:r w:rsidRPr="003E11E7">
        <w:rPr>
          <w:sz w:val="20"/>
          <w:lang w:val="pl-PL"/>
        </w:rPr>
        <w:t>dobrego zarządzania", która wymaga, aby w przypadku, gdy w grę wchodzi kwestia interesu ogólnego, w szczególności gdy sprawa dotyczy podstawowych praw człowieka, takich jak prawa własności, władze publiczne działały w odpowiednim czasie oraz w odpowiedni i przede wszystkim spójny sposób (</w:t>
      </w:r>
      <w:proofErr w:type="spellStart"/>
      <w:r w:rsidR="00D31054">
        <w:fldChar w:fldCharType="begin"/>
      </w:r>
      <w:r w:rsidR="00D31054" w:rsidRPr="003E11E7">
        <w:rPr>
          <w:lang w:val="pl-PL"/>
        </w:rPr>
        <w:instrText>HYPERLINK "https://hudoc.echr.coe.int/eng?i=001-183540" \h</w:instrText>
      </w:r>
      <w:r w:rsidR="00D31054">
        <w:fldChar w:fldCharType="separate"/>
      </w:r>
      <w:r w:rsidR="00D31054" w:rsidRPr="003E11E7">
        <w:rPr>
          <w:i/>
          <w:color w:val="0072BC"/>
          <w:sz w:val="20"/>
          <w:lang w:val="pl-PL"/>
        </w:rPr>
        <w:t>Beinarovič</w:t>
      </w:r>
      <w:proofErr w:type="spellEnd"/>
      <w:r w:rsidR="00D31054" w:rsidRPr="003E11E7">
        <w:rPr>
          <w:i/>
          <w:color w:val="0072BC"/>
          <w:sz w:val="20"/>
          <w:lang w:val="pl-PL"/>
        </w:rPr>
        <w:t xml:space="preserve"> i Inni </w:t>
      </w:r>
      <w:r w:rsidR="00D31054">
        <w:fldChar w:fldCharType="end"/>
      </w:r>
      <w:hyperlink r:id="rId27">
        <w:r w:rsidR="00D31054" w:rsidRPr="003E11E7">
          <w:rPr>
            <w:i/>
            <w:color w:val="0072BC"/>
            <w:sz w:val="20"/>
            <w:lang w:val="pl-PL"/>
          </w:rPr>
          <w:t>przeciwko Litwie</w:t>
        </w:r>
      </w:hyperlink>
      <w:r w:rsidRPr="003E11E7">
        <w:rPr>
          <w:sz w:val="20"/>
          <w:lang w:val="pl-PL"/>
        </w:rPr>
        <w:t>, 2018</w:t>
      </w:r>
      <w:r w:rsidR="003D560C" w:rsidRPr="003E11E7">
        <w:rPr>
          <w:sz w:val="20"/>
          <w:lang w:val="pl-PL"/>
        </w:rPr>
        <w:t xml:space="preserve"> r.</w:t>
      </w:r>
      <w:r w:rsidRPr="003E11E7">
        <w:rPr>
          <w:sz w:val="20"/>
          <w:lang w:val="pl-PL"/>
        </w:rPr>
        <w:t>, § 139).</w:t>
      </w:r>
    </w:p>
    <w:p w14:paraId="1047FF19" w14:textId="2D3D4DA9" w:rsidR="00D31054" w:rsidRPr="003E11E7" w:rsidRDefault="00000000">
      <w:pPr>
        <w:pStyle w:val="Tekstpodstawowy"/>
        <w:ind w:left="732" w:right="726"/>
        <w:jc w:val="both"/>
        <w:rPr>
          <w:rFonts w:ascii="Arial" w:hAnsi="Arial"/>
          <w:lang w:val="pl-PL"/>
        </w:rPr>
      </w:pPr>
      <w:r w:rsidRPr="003E11E7">
        <w:rPr>
          <w:sz w:val="20"/>
          <w:lang w:val="pl-PL"/>
        </w:rPr>
        <w:t xml:space="preserve">Zasada </w:t>
      </w:r>
      <w:r w:rsidR="003D560C" w:rsidRPr="003E11E7">
        <w:rPr>
          <w:sz w:val="20"/>
          <w:lang w:val="pl-PL"/>
        </w:rPr>
        <w:t>„</w:t>
      </w:r>
      <w:r w:rsidRPr="003E11E7">
        <w:rPr>
          <w:sz w:val="20"/>
          <w:lang w:val="pl-PL"/>
        </w:rPr>
        <w:t xml:space="preserve">dobrego </w:t>
      </w:r>
      <w:r w:rsidR="00344B58" w:rsidRPr="003E11E7">
        <w:rPr>
          <w:sz w:val="20"/>
          <w:lang w:val="pl-PL"/>
        </w:rPr>
        <w:t>za</w:t>
      </w:r>
      <w:r w:rsidRPr="003E11E7">
        <w:rPr>
          <w:sz w:val="20"/>
          <w:lang w:val="pl-PL"/>
        </w:rPr>
        <w:t>rządz</w:t>
      </w:r>
      <w:r w:rsidR="00344B58" w:rsidRPr="003E11E7">
        <w:rPr>
          <w:sz w:val="20"/>
          <w:lang w:val="pl-PL"/>
        </w:rPr>
        <w:t>a</w:t>
      </w:r>
      <w:r w:rsidRPr="003E11E7">
        <w:rPr>
          <w:sz w:val="20"/>
          <w:lang w:val="pl-PL"/>
        </w:rPr>
        <w:t xml:space="preserve">nia" nie powinna, co do zasady, uniemożliwiać władzom korygowania sporadycznych błędów, nawet tych wynikających z ich własnego zaniedbania. Z drugiej strony, potrzeba naprawienia starego </w:t>
      </w:r>
      <w:r w:rsidR="003D560C" w:rsidRPr="003E11E7">
        <w:rPr>
          <w:sz w:val="20"/>
          <w:lang w:val="pl-PL"/>
        </w:rPr>
        <w:t>„</w:t>
      </w:r>
      <w:r w:rsidRPr="003E11E7">
        <w:rPr>
          <w:sz w:val="20"/>
          <w:lang w:val="pl-PL"/>
        </w:rPr>
        <w:t xml:space="preserve">błędu" nie powinna nieproporcjonalnie ingerować w nowe prawo, które zostało nabyte przez jednostkę polegającą w dobrej wierze na legalności działań organu publicznego. Innymi słowy, organy państwowe, które nie wdrożyły lub nie przestrzegały własnych procedur, nie powinny mieć możliwości czerpania korzyści ze swoich wykroczeń lub uchylania się od swoich obowiązków. Ryzyko błędu popełnionego przez organ państwowy musi być ponoszone przez samo państwo, a wszelkie błędy nie mogą być naprawiane kosztem zainteresowanych osób. W kontekście cofnięcia tytułu własności, który został przyznany błędnie, zasada </w:t>
      </w:r>
      <w:r w:rsidR="00FD66AF" w:rsidRPr="003E11E7">
        <w:rPr>
          <w:sz w:val="20"/>
          <w:lang w:val="pl-PL"/>
        </w:rPr>
        <w:t>„</w:t>
      </w:r>
      <w:r w:rsidRPr="003E11E7">
        <w:rPr>
          <w:sz w:val="20"/>
          <w:lang w:val="pl-PL"/>
        </w:rPr>
        <w:t xml:space="preserve">dobrego zarządzania" może nie tylko nakładać na władze obowiązek </w:t>
      </w:r>
      <w:r w:rsidRPr="003E11E7">
        <w:rPr>
          <w:b/>
          <w:sz w:val="20"/>
          <w:lang w:val="pl-PL"/>
        </w:rPr>
        <w:t>niezwłocznego działania w celu naprawienia błędu</w:t>
      </w:r>
      <w:r w:rsidRPr="003E11E7">
        <w:rPr>
          <w:sz w:val="20"/>
          <w:lang w:val="pl-PL"/>
        </w:rPr>
        <w:t xml:space="preserve">, ale może również wymagać wypłaty </w:t>
      </w:r>
      <w:r w:rsidRPr="003E11E7">
        <w:rPr>
          <w:b/>
          <w:sz w:val="20"/>
          <w:lang w:val="pl-PL"/>
        </w:rPr>
        <w:t xml:space="preserve">odpowiedniego odszkodowania </w:t>
      </w:r>
      <w:r w:rsidRPr="003E11E7">
        <w:rPr>
          <w:sz w:val="20"/>
          <w:lang w:val="pl-PL"/>
        </w:rPr>
        <w:t xml:space="preserve">lub innego odpowiedniego zadośćuczynienia byłemu posiadaczowi w dobrej wierze </w:t>
      </w:r>
      <w:r w:rsidRPr="003E11E7">
        <w:rPr>
          <w:rFonts w:ascii="Arial" w:hAnsi="Arial"/>
          <w:sz w:val="20"/>
          <w:lang w:val="pl-PL"/>
        </w:rPr>
        <w:t>(</w:t>
      </w:r>
      <w:proofErr w:type="spellStart"/>
      <w:r w:rsidR="00D31054">
        <w:fldChar w:fldCharType="begin"/>
      </w:r>
      <w:r w:rsidR="00D31054" w:rsidRPr="003E11E7">
        <w:rPr>
          <w:lang w:val="pl-PL"/>
        </w:rPr>
        <w:instrText>HYPERLINK "https://hudoc.echr.coe.int/eng?i=001-163347" \h</w:instrText>
      </w:r>
      <w:r w:rsidR="00D31054">
        <w:fldChar w:fldCharType="separate"/>
      </w:r>
      <w:r w:rsidR="00D31054" w:rsidRPr="003E11E7">
        <w:rPr>
          <w:i/>
          <w:color w:val="0072BC"/>
          <w:sz w:val="20"/>
          <w:lang w:val="pl-PL"/>
        </w:rPr>
        <w:t>Vukušić</w:t>
      </w:r>
      <w:proofErr w:type="spellEnd"/>
      <w:r w:rsidR="00D31054" w:rsidRPr="003E11E7">
        <w:rPr>
          <w:i/>
          <w:color w:val="0072BC"/>
          <w:sz w:val="20"/>
          <w:lang w:val="pl-PL"/>
        </w:rPr>
        <w:t xml:space="preserve"> przeciwko Chorwacji</w:t>
      </w:r>
      <w:r w:rsidR="00D31054">
        <w:fldChar w:fldCharType="end"/>
      </w:r>
      <w:r w:rsidRPr="003E11E7">
        <w:rPr>
          <w:sz w:val="20"/>
          <w:lang w:val="pl-PL"/>
        </w:rPr>
        <w:t>, 2016</w:t>
      </w:r>
      <w:r w:rsidR="00FD66AF" w:rsidRPr="003E11E7">
        <w:rPr>
          <w:sz w:val="20"/>
          <w:lang w:val="pl-PL"/>
        </w:rPr>
        <w:t xml:space="preserve"> r.</w:t>
      </w:r>
      <w:r w:rsidRPr="003E11E7">
        <w:rPr>
          <w:sz w:val="20"/>
          <w:lang w:val="pl-PL"/>
        </w:rPr>
        <w:t xml:space="preserve">, § 64; </w:t>
      </w:r>
      <w:hyperlink r:id="rId28">
        <w:proofErr w:type="spellStart"/>
        <w:r w:rsidR="00D31054" w:rsidRPr="003E11E7">
          <w:rPr>
            <w:i/>
            <w:color w:val="0072BC"/>
            <w:sz w:val="20"/>
            <w:lang w:val="pl-PL"/>
          </w:rPr>
          <w:t>Beinarovič</w:t>
        </w:r>
        <w:proofErr w:type="spellEnd"/>
        <w:r w:rsidR="00D31054" w:rsidRPr="003E11E7">
          <w:rPr>
            <w:i/>
            <w:color w:val="0072BC"/>
            <w:sz w:val="20"/>
            <w:lang w:val="pl-PL"/>
          </w:rPr>
          <w:t xml:space="preserve"> i </w:t>
        </w:r>
        <w:r w:rsidR="00FD66AF" w:rsidRPr="003E11E7">
          <w:rPr>
            <w:i/>
            <w:color w:val="0072BC"/>
            <w:sz w:val="20"/>
            <w:lang w:val="pl-PL"/>
          </w:rPr>
          <w:t>I</w:t>
        </w:r>
        <w:r w:rsidR="00D31054" w:rsidRPr="003E11E7">
          <w:rPr>
            <w:i/>
            <w:color w:val="0072BC"/>
            <w:sz w:val="20"/>
            <w:lang w:val="pl-PL"/>
          </w:rPr>
          <w:t>nni przeciwko Litwie</w:t>
        </w:r>
      </w:hyperlink>
      <w:r w:rsidRPr="003E11E7">
        <w:rPr>
          <w:sz w:val="20"/>
          <w:lang w:val="pl-PL"/>
        </w:rPr>
        <w:t>, 2018</w:t>
      </w:r>
      <w:r w:rsidR="00FD66AF" w:rsidRPr="003E11E7">
        <w:rPr>
          <w:sz w:val="20"/>
          <w:lang w:val="pl-PL"/>
        </w:rPr>
        <w:t xml:space="preserve"> r.</w:t>
      </w:r>
      <w:r w:rsidRPr="003E11E7">
        <w:rPr>
          <w:sz w:val="20"/>
          <w:lang w:val="pl-PL"/>
        </w:rPr>
        <w:t>, § 140</w:t>
      </w:r>
      <w:r w:rsidRPr="003E11E7">
        <w:rPr>
          <w:rFonts w:ascii="Arial" w:hAnsi="Arial"/>
          <w:sz w:val="20"/>
          <w:lang w:val="pl-PL"/>
        </w:rPr>
        <w:t>).</w:t>
      </w:r>
    </w:p>
    <w:p w14:paraId="35122E49" w14:textId="05D6493F" w:rsidR="00D31054" w:rsidRPr="003E11E7" w:rsidRDefault="00000000">
      <w:pPr>
        <w:pStyle w:val="Tekstpodstawowy"/>
        <w:ind w:left="732" w:right="730"/>
        <w:jc w:val="both"/>
        <w:rPr>
          <w:lang w:val="pl-PL"/>
        </w:rPr>
      </w:pPr>
      <w:r w:rsidRPr="003E11E7">
        <w:rPr>
          <w:sz w:val="20"/>
          <w:lang w:val="pl-PL"/>
        </w:rPr>
        <w:t xml:space="preserve">Jeżeli błąd </w:t>
      </w:r>
      <w:r w:rsidR="00344B58" w:rsidRPr="003E11E7">
        <w:rPr>
          <w:sz w:val="20"/>
          <w:lang w:val="pl-PL"/>
        </w:rPr>
        <w:t>skarżącego</w:t>
      </w:r>
      <w:r w:rsidRPr="003E11E7">
        <w:rPr>
          <w:sz w:val="20"/>
          <w:lang w:val="pl-PL"/>
        </w:rPr>
        <w:t xml:space="preserve"> został spotęgowany niedbałym postępowaniem władz w procesie przyznawania własności, późniejsze unieważnienie tytułu powinno odzwierciedlać wspólną winę stron w zakresie warunków odszkodowania (</w:t>
      </w:r>
      <w:proofErr w:type="spellStart"/>
      <w:r w:rsidR="00D31054">
        <w:fldChar w:fldCharType="begin"/>
      </w:r>
      <w:r w:rsidR="00D31054" w:rsidRPr="003E11E7">
        <w:rPr>
          <w:lang w:val="pl-PL"/>
        </w:rPr>
        <w:instrText>HYPERLINK "https://hudoc.echr.coe.int/eng?i=001-224474" \h</w:instrText>
      </w:r>
      <w:r w:rsidR="00D31054">
        <w:fldChar w:fldCharType="separate"/>
      </w:r>
      <w:r w:rsidR="00D31054" w:rsidRPr="003E11E7">
        <w:rPr>
          <w:i/>
          <w:color w:val="0072BC"/>
          <w:sz w:val="20"/>
          <w:lang w:val="pl-PL"/>
        </w:rPr>
        <w:t>Demiray</w:t>
      </w:r>
      <w:proofErr w:type="spellEnd"/>
      <w:r w:rsidR="00D31054" w:rsidRPr="003E11E7">
        <w:rPr>
          <w:i/>
          <w:color w:val="0072BC"/>
          <w:sz w:val="20"/>
          <w:lang w:val="pl-PL"/>
        </w:rPr>
        <w:t xml:space="preserve"> przeciwko </w:t>
      </w:r>
      <w:proofErr w:type="spellStart"/>
      <w:r w:rsidR="00D31054" w:rsidRPr="003E11E7">
        <w:rPr>
          <w:i/>
          <w:color w:val="0072BC"/>
          <w:sz w:val="20"/>
          <w:lang w:val="pl-PL"/>
        </w:rPr>
        <w:t>Türkiye</w:t>
      </w:r>
      <w:proofErr w:type="spellEnd"/>
      <w:r w:rsidR="00D31054">
        <w:fldChar w:fldCharType="end"/>
      </w:r>
      <w:r w:rsidRPr="003E11E7">
        <w:rPr>
          <w:sz w:val="20"/>
          <w:lang w:val="pl-PL"/>
        </w:rPr>
        <w:t>, 2023</w:t>
      </w:r>
      <w:r w:rsidR="00FD66AF" w:rsidRPr="003E11E7">
        <w:rPr>
          <w:sz w:val="20"/>
          <w:lang w:val="pl-PL"/>
        </w:rPr>
        <w:t xml:space="preserve"> r.</w:t>
      </w:r>
      <w:r w:rsidRPr="003E11E7">
        <w:rPr>
          <w:sz w:val="20"/>
          <w:lang w:val="pl-PL"/>
        </w:rPr>
        <w:t>, §§ 68-70).</w:t>
      </w:r>
    </w:p>
    <w:p w14:paraId="62678D11" w14:textId="61470867" w:rsidR="00D31054" w:rsidRPr="003E11E7" w:rsidRDefault="00000000" w:rsidP="00FD66AF">
      <w:pPr>
        <w:pStyle w:val="Tekstpodstawowy"/>
        <w:ind w:left="732" w:right="729"/>
        <w:jc w:val="both"/>
        <w:rPr>
          <w:lang w:val="pl-PL"/>
        </w:rPr>
      </w:pPr>
      <w:r w:rsidRPr="003E11E7">
        <w:rPr>
          <w:sz w:val="20"/>
          <w:lang w:val="pl-PL"/>
        </w:rPr>
        <w:t xml:space="preserve">Od </w:t>
      </w:r>
      <w:r w:rsidR="00344B58" w:rsidRPr="003E11E7">
        <w:rPr>
          <w:sz w:val="20"/>
          <w:lang w:val="pl-PL"/>
        </w:rPr>
        <w:t xml:space="preserve">skarżącego </w:t>
      </w:r>
      <w:r w:rsidRPr="003E11E7">
        <w:rPr>
          <w:i/>
          <w:sz w:val="20"/>
          <w:lang w:val="pl-PL"/>
        </w:rPr>
        <w:t xml:space="preserve">działającego w dobrej wierze </w:t>
      </w:r>
      <w:r w:rsidRPr="003E11E7">
        <w:rPr>
          <w:sz w:val="20"/>
          <w:lang w:val="pl-PL"/>
        </w:rPr>
        <w:t>można wymagać wszczęcia odrębnego postępowania w celu uzyskania odszkodowania za mienie utracone w wyniku błędu władz, jeżeli takie są przepisy prawa krajowego, lub wykazania, że istniała przeszkoda uniemożliwiająca złożenie uzasadnionych roszczeń lub ich uwzględnienie (</w:t>
      </w:r>
      <w:proofErr w:type="spellStart"/>
      <w:r w:rsidR="00D31054">
        <w:fldChar w:fldCharType="begin"/>
      </w:r>
      <w:r w:rsidR="00D31054" w:rsidRPr="003E11E7">
        <w:rPr>
          <w:lang w:val="pl-PL"/>
        </w:rPr>
        <w:instrText>HYPERLINK "https://hudoc.echr.coe.int/eng?i=001-216482" \h</w:instrText>
      </w:r>
      <w:r w:rsidR="00D31054">
        <w:fldChar w:fldCharType="separate"/>
      </w:r>
      <w:r w:rsidR="00D31054" w:rsidRPr="003E11E7">
        <w:rPr>
          <w:i/>
          <w:color w:val="0072BC"/>
          <w:sz w:val="20"/>
          <w:lang w:val="pl-PL"/>
        </w:rPr>
        <w:t>Lidiya</w:t>
      </w:r>
      <w:proofErr w:type="spellEnd"/>
      <w:r w:rsidR="00D31054" w:rsidRPr="003E11E7">
        <w:rPr>
          <w:i/>
          <w:color w:val="0072BC"/>
          <w:sz w:val="20"/>
          <w:lang w:val="pl-PL"/>
        </w:rPr>
        <w:t xml:space="preserve"> </w:t>
      </w:r>
      <w:proofErr w:type="spellStart"/>
      <w:r w:rsidR="00D31054" w:rsidRPr="003E11E7">
        <w:rPr>
          <w:i/>
          <w:color w:val="0072BC"/>
          <w:sz w:val="20"/>
          <w:lang w:val="pl-PL"/>
        </w:rPr>
        <w:t>Nikitina</w:t>
      </w:r>
      <w:proofErr w:type="spellEnd"/>
      <w:r w:rsidR="00D31054" w:rsidRPr="003E11E7">
        <w:rPr>
          <w:i/>
          <w:color w:val="0072BC"/>
          <w:sz w:val="20"/>
          <w:lang w:val="pl-PL"/>
        </w:rPr>
        <w:t xml:space="preserve"> przeciwko Rosji</w:t>
      </w:r>
      <w:r w:rsidR="00D31054">
        <w:fldChar w:fldCharType="end"/>
      </w:r>
      <w:r w:rsidRPr="003E11E7">
        <w:rPr>
          <w:sz w:val="20"/>
          <w:lang w:val="pl-PL"/>
        </w:rPr>
        <w:t>, 2022</w:t>
      </w:r>
      <w:r w:rsidR="00FD66AF" w:rsidRPr="003E11E7">
        <w:rPr>
          <w:sz w:val="20"/>
          <w:lang w:val="pl-PL"/>
        </w:rPr>
        <w:t xml:space="preserve"> r.</w:t>
      </w:r>
      <w:r w:rsidRPr="003E11E7">
        <w:rPr>
          <w:sz w:val="20"/>
          <w:lang w:val="pl-PL"/>
        </w:rPr>
        <w:t xml:space="preserve">, §§ 36-40; </w:t>
      </w:r>
      <w:hyperlink r:id="rId29">
        <w:proofErr w:type="spellStart"/>
        <w:r w:rsidR="00D31054" w:rsidRPr="003E11E7">
          <w:rPr>
            <w:i/>
            <w:color w:val="0072BC"/>
            <w:sz w:val="20"/>
            <w:lang w:val="pl-PL"/>
          </w:rPr>
          <w:t>Ibrahimbeyov</w:t>
        </w:r>
        <w:proofErr w:type="spellEnd"/>
        <w:r w:rsidR="00D31054" w:rsidRPr="003E11E7">
          <w:rPr>
            <w:i/>
            <w:color w:val="0072BC"/>
            <w:sz w:val="20"/>
            <w:lang w:val="pl-PL"/>
          </w:rPr>
          <w:t xml:space="preserve"> i </w:t>
        </w:r>
        <w:r w:rsidR="00FD66AF" w:rsidRPr="003E11E7">
          <w:rPr>
            <w:i/>
            <w:color w:val="0072BC"/>
            <w:sz w:val="20"/>
            <w:lang w:val="pl-PL"/>
          </w:rPr>
          <w:t>I</w:t>
        </w:r>
        <w:r w:rsidR="00D31054" w:rsidRPr="003E11E7">
          <w:rPr>
            <w:i/>
            <w:color w:val="0072BC"/>
            <w:sz w:val="20"/>
            <w:lang w:val="pl-PL"/>
          </w:rPr>
          <w:t>nni przeciwko Azerbejdżanowi</w:t>
        </w:r>
      </w:hyperlink>
      <w:r w:rsidRPr="003E11E7">
        <w:rPr>
          <w:sz w:val="20"/>
          <w:lang w:val="pl-PL"/>
        </w:rPr>
        <w:t>, 2023</w:t>
      </w:r>
      <w:r w:rsidR="00FD66AF" w:rsidRPr="003E11E7">
        <w:rPr>
          <w:sz w:val="20"/>
          <w:lang w:val="pl-PL"/>
        </w:rPr>
        <w:t xml:space="preserve"> r.</w:t>
      </w:r>
      <w:r w:rsidRPr="003E11E7">
        <w:rPr>
          <w:sz w:val="20"/>
          <w:lang w:val="pl-PL"/>
        </w:rPr>
        <w:t>,</w:t>
      </w:r>
      <w:r w:rsidR="00FD66AF" w:rsidRPr="003E11E7">
        <w:rPr>
          <w:sz w:val="20"/>
          <w:lang w:val="pl-PL"/>
        </w:rPr>
        <w:t xml:space="preserve"> </w:t>
      </w:r>
      <w:r w:rsidR="00FD66AF" w:rsidRPr="003E11E7">
        <w:rPr>
          <w:sz w:val="20"/>
          <w:lang w:val="pl-PL"/>
        </w:rPr>
        <w:br/>
      </w:r>
      <w:r w:rsidRPr="003E11E7">
        <w:rPr>
          <w:sz w:val="20"/>
          <w:lang w:val="pl-PL"/>
        </w:rPr>
        <w:t xml:space="preserve">§§ 55-59; </w:t>
      </w:r>
      <w:hyperlink r:id="rId30">
        <w:proofErr w:type="spellStart"/>
        <w:r w:rsidR="00D31054" w:rsidRPr="003E11E7">
          <w:rPr>
            <w:i/>
            <w:color w:val="0072BC"/>
            <w:sz w:val="20"/>
            <w:lang w:val="pl-PL"/>
          </w:rPr>
          <w:t>Tverdokhlebova</w:t>
        </w:r>
        <w:proofErr w:type="spellEnd"/>
        <w:r w:rsidR="00D31054" w:rsidRPr="003E11E7">
          <w:rPr>
            <w:i/>
            <w:color w:val="0072BC"/>
            <w:sz w:val="20"/>
            <w:lang w:val="pl-PL"/>
          </w:rPr>
          <w:t xml:space="preserve"> przeciwko Ukrainie*</w:t>
        </w:r>
      </w:hyperlink>
      <w:r w:rsidRPr="003E11E7">
        <w:rPr>
          <w:sz w:val="20"/>
          <w:lang w:val="pl-PL"/>
        </w:rPr>
        <w:t>, 2025</w:t>
      </w:r>
      <w:r w:rsidR="00FD66AF" w:rsidRPr="003E11E7">
        <w:rPr>
          <w:sz w:val="20"/>
          <w:lang w:val="pl-PL"/>
        </w:rPr>
        <w:t xml:space="preserve"> r</w:t>
      </w:r>
      <w:r w:rsidR="00051E2B" w:rsidRPr="003E11E7">
        <w:rPr>
          <w:sz w:val="20"/>
          <w:lang w:val="pl-PL"/>
        </w:rPr>
        <w:t>.</w:t>
      </w:r>
      <w:r w:rsidRPr="003E11E7">
        <w:rPr>
          <w:sz w:val="20"/>
          <w:lang w:val="pl-PL"/>
        </w:rPr>
        <w:t>, §§ 44-48</w:t>
      </w:r>
      <w:r w:rsidRPr="003E11E7">
        <w:rPr>
          <w:spacing w:val="-4"/>
          <w:sz w:val="20"/>
          <w:lang w:val="pl-PL"/>
        </w:rPr>
        <w:t>).</w:t>
      </w:r>
    </w:p>
    <w:p w14:paraId="399BC24F" w14:textId="77777777" w:rsidR="00D31054" w:rsidRPr="003E11E7" w:rsidRDefault="00D31054">
      <w:pPr>
        <w:pStyle w:val="Tekstpodstawowy"/>
        <w:spacing w:before="11"/>
        <w:ind w:left="0"/>
        <w:rPr>
          <w:lang w:val="pl-PL"/>
        </w:rPr>
      </w:pPr>
    </w:p>
    <w:p w14:paraId="277A1137" w14:textId="77777777" w:rsidR="00D31054" w:rsidRDefault="00000000">
      <w:pPr>
        <w:pStyle w:val="Nagwek5"/>
        <w:numPr>
          <w:ilvl w:val="1"/>
          <w:numId w:val="4"/>
        </w:numPr>
        <w:tabs>
          <w:tab w:val="left" w:pos="981"/>
        </w:tabs>
        <w:ind w:left="981" w:hanging="249"/>
      </w:pPr>
      <w:proofErr w:type="spellStart"/>
      <w:r>
        <w:rPr>
          <w:color w:val="2F2F2F"/>
          <w:spacing w:val="-2"/>
          <w:sz w:val="20"/>
        </w:rPr>
        <w:t>Wynagrodzenie</w:t>
      </w:r>
      <w:proofErr w:type="spellEnd"/>
    </w:p>
    <w:p w14:paraId="5C26062E" w14:textId="793309D3" w:rsidR="00D31054" w:rsidRPr="003E11E7" w:rsidRDefault="00000000" w:rsidP="00FD66AF">
      <w:pPr>
        <w:pStyle w:val="Tekstpodstawowy"/>
        <w:ind w:left="732" w:right="729"/>
        <w:jc w:val="both"/>
        <w:rPr>
          <w:lang w:val="pl-PL"/>
        </w:rPr>
      </w:pPr>
      <w:r w:rsidRPr="003E11E7">
        <w:rPr>
          <w:sz w:val="20"/>
          <w:lang w:val="pl-PL"/>
        </w:rPr>
        <w:t>Warunki odszkodowania na mocy odpowiednich przepisów są istotne dla oceny, czy zaskarżony środek jest zgodny z wymaganą sprawiedliwą równowagą, a w szczególności, czy nakłada nieproporcjonalne obciążenie na skarżących. Trybunał orzekł, że zajęcie mienia bez zapłaty kwoty rozsądnie związanej z jego wartością stanowiłoby zwykle nieproporcjonalną ingerencję</w:t>
      </w:r>
      <w:r w:rsidR="00FD66AF" w:rsidRPr="003E11E7">
        <w:rPr>
          <w:sz w:val="20"/>
          <w:lang w:val="pl-PL"/>
        </w:rPr>
        <w:t xml:space="preserve">. </w:t>
      </w:r>
      <w:r w:rsidRPr="003E11E7">
        <w:rPr>
          <w:sz w:val="20"/>
          <w:lang w:val="pl-PL"/>
        </w:rPr>
        <w:t xml:space="preserve">Jednocześnie art. 1 Protokołu nr 1 nie gwarantuje prawa do pełnego odszkodowania w wszystkich okolicznościach </w:t>
      </w:r>
      <w:hyperlink r:id="rId31">
        <w:r w:rsidR="00FD66AF" w:rsidRPr="003E11E7">
          <w:rPr>
            <w:iCs/>
            <w:sz w:val="20"/>
            <w:lang w:val="pl-PL"/>
          </w:rPr>
          <w:t>(</w:t>
        </w:r>
        <w:proofErr w:type="spellStart"/>
        <w:r w:rsidR="00FD66AF" w:rsidRPr="003E11E7">
          <w:rPr>
            <w:i/>
            <w:color w:val="0072BC"/>
            <w:sz w:val="20"/>
            <w:lang w:val="pl-PL"/>
          </w:rPr>
          <w:t>Scordino</w:t>
        </w:r>
        <w:proofErr w:type="spellEnd"/>
        <w:r w:rsidR="00FD66AF" w:rsidRPr="003E11E7">
          <w:rPr>
            <w:i/>
            <w:color w:val="0072BC"/>
            <w:sz w:val="20"/>
            <w:lang w:val="pl-PL"/>
          </w:rPr>
          <w:t xml:space="preserve"> przeciwko Włochom (nr 1)</w:t>
        </w:r>
        <w:r w:rsidR="00FD66AF" w:rsidRPr="003E11E7">
          <w:rPr>
            <w:sz w:val="20"/>
            <w:lang w:val="pl-PL"/>
          </w:rPr>
          <w:t xml:space="preserve"> [WI], 2006 r., § 95;</w:t>
        </w:r>
        <w:r w:rsidR="00FD66AF" w:rsidRPr="003E11E7">
          <w:rPr>
            <w:i/>
            <w:color w:val="0072BC"/>
            <w:sz w:val="20"/>
            <w:lang w:val="pl-PL"/>
          </w:rPr>
          <w:t xml:space="preserve"> </w:t>
        </w:r>
      </w:hyperlink>
      <w:r w:rsidRPr="003E11E7">
        <w:rPr>
          <w:spacing w:val="40"/>
          <w:sz w:val="20"/>
          <w:lang w:val="pl-PL"/>
        </w:rPr>
        <w:t xml:space="preserve">      </w:t>
      </w:r>
      <w:r w:rsidRPr="003E11E7">
        <w:rPr>
          <w:sz w:val="20"/>
          <w:lang w:val="pl-PL"/>
        </w:rPr>
        <w:t xml:space="preserve"> </w:t>
      </w:r>
      <w:hyperlink r:id="rId32">
        <w:proofErr w:type="spellStart"/>
        <w:r w:rsidR="00D31054" w:rsidRPr="003E11E7">
          <w:rPr>
            <w:i/>
            <w:color w:val="0072BC"/>
            <w:sz w:val="20"/>
            <w:lang w:val="pl-PL"/>
          </w:rPr>
          <w:t>Kozacıoğl</w:t>
        </w:r>
        <w:r w:rsidR="00FD66AF" w:rsidRPr="003E11E7">
          <w:rPr>
            <w:i/>
            <w:color w:val="0072BC"/>
            <w:sz w:val="20"/>
            <w:lang w:val="pl-PL"/>
          </w:rPr>
          <w:t>u</w:t>
        </w:r>
        <w:proofErr w:type="spellEnd"/>
        <w:r w:rsidR="00FD66AF" w:rsidRPr="003E11E7">
          <w:rPr>
            <w:i/>
            <w:color w:val="0072BC"/>
            <w:sz w:val="20"/>
            <w:lang w:val="pl-PL"/>
          </w:rPr>
          <w:t xml:space="preserve"> przeciwko Turcji</w:t>
        </w:r>
      </w:hyperlink>
      <w:r w:rsidR="005B6264" w:rsidRPr="003E11E7">
        <w:rPr>
          <w:sz w:val="20"/>
          <w:lang w:val="pl-PL"/>
        </w:rPr>
        <w:t xml:space="preserve"> </w:t>
      </w:r>
      <w:r w:rsidRPr="003E11E7">
        <w:rPr>
          <w:sz w:val="20"/>
          <w:lang w:val="pl-PL"/>
        </w:rPr>
        <w:t>[</w:t>
      </w:r>
      <w:r w:rsidR="005B6264" w:rsidRPr="003E11E7">
        <w:rPr>
          <w:sz w:val="20"/>
          <w:lang w:val="pl-PL"/>
        </w:rPr>
        <w:t>WI</w:t>
      </w:r>
      <w:r w:rsidRPr="003E11E7">
        <w:rPr>
          <w:sz w:val="20"/>
          <w:lang w:val="pl-PL"/>
        </w:rPr>
        <w:t>], 2009</w:t>
      </w:r>
      <w:r w:rsidR="005B6264" w:rsidRPr="003E11E7">
        <w:rPr>
          <w:sz w:val="20"/>
          <w:lang w:val="pl-PL"/>
        </w:rPr>
        <w:t xml:space="preserve"> r.</w:t>
      </w:r>
      <w:r w:rsidRPr="003E11E7">
        <w:rPr>
          <w:sz w:val="20"/>
          <w:lang w:val="pl-PL"/>
        </w:rPr>
        <w:t xml:space="preserve">, § 64; </w:t>
      </w:r>
      <w:hyperlink r:id="rId33">
        <w:r w:rsidR="00D31054" w:rsidRPr="003E11E7">
          <w:rPr>
            <w:iCs/>
            <w:sz w:val="20"/>
            <w:lang w:val="pl-PL"/>
          </w:rPr>
          <w:t>oraz</w:t>
        </w:r>
        <w:r w:rsidR="00D31054" w:rsidRPr="003E11E7">
          <w:rPr>
            <w:i/>
            <w:color w:val="0072BC"/>
            <w:sz w:val="20"/>
            <w:lang w:val="pl-PL"/>
          </w:rPr>
          <w:t xml:space="preserve"> </w:t>
        </w:r>
        <w:proofErr w:type="spellStart"/>
        <w:r w:rsidR="00D31054" w:rsidRPr="003E11E7">
          <w:rPr>
            <w:i/>
            <w:color w:val="0072BC"/>
            <w:sz w:val="20"/>
            <w:lang w:val="pl-PL"/>
          </w:rPr>
          <w:t>Vistiņš</w:t>
        </w:r>
        <w:proofErr w:type="spellEnd"/>
        <w:r w:rsidR="00D31054" w:rsidRPr="003E11E7">
          <w:rPr>
            <w:i/>
            <w:color w:val="0072BC"/>
            <w:sz w:val="20"/>
            <w:lang w:val="pl-PL"/>
          </w:rPr>
          <w:t xml:space="preserve"> i </w:t>
        </w:r>
        <w:proofErr w:type="spellStart"/>
        <w:r w:rsidR="00D31054" w:rsidRPr="003E11E7">
          <w:rPr>
            <w:i/>
            <w:color w:val="0072BC"/>
            <w:sz w:val="20"/>
            <w:lang w:val="pl-PL"/>
          </w:rPr>
          <w:t>Perepjolkins</w:t>
        </w:r>
        <w:proofErr w:type="spellEnd"/>
        <w:r w:rsidR="00D31054" w:rsidRPr="003E11E7">
          <w:rPr>
            <w:i/>
            <w:color w:val="0072BC"/>
            <w:sz w:val="20"/>
            <w:lang w:val="pl-PL"/>
          </w:rPr>
          <w:t xml:space="preserve"> przeciwko Łotwie </w:t>
        </w:r>
      </w:hyperlink>
      <w:r w:rsidRPr="003E11E7">
        <w:rPr>
          <w:sz w:val="20"/>
          <w:lang w:val="pl-PL"/>
        </w:rPr>
        <w:t>[</w:t>
      </w:r>
      <w:r w:rsidR="005B6264" w:rsidRPr="003E11E7">
        <w:rPr>
          <w:sz w:val="20"/>
          <w:lang w:val="pl-PL"/>
        </w:rPr>
        <w:t>WI</w:t>
      </w:r>
      <w:r w:rsidRPr="003E11E7">
        <w:rPr>
          <w:sz w:val="20"/>
          <w:lang w:val="pl-PL"/>
        </w:rPr>
        <w:t>], 2012</w:t>
      </w:r>
      <w:r w:rsidR="005B6264" w:rsidRPr="003E11E7">
        <w:rPr>
          <w:sz w:val="20"/>
          <w:lang w:val="pl-PL"/>
        </w:rPr>
        <w:t xml:space="preserve"> r.</w:t>
      </w:r>
      <w:r w:rsidRPr="003E11E7">
        <w:rPr>
          <w:sz w:val="20"/>
          <w:lang w:val="pl-PL"/>
        </w:rPr>
        <w:t xml:space="preserve">, </w:t>
      </w:r>
      <w:r w:rsidR="00F46D79" w:rsidRPr="003E11E7">
        <w:rPr>
          <w:sz w:val="20"/>
          <w:lang w:val="pl-PL"/>
        </w:rPr>
        <w:br/>
      </w:r>
      <w:r w:rsidRPr="003E11E7">
        <w:rPr>
          <w:sz w:val="20"/>
          <w:lang w:val="pl-PL"/>
        </w:rPr>
        <w:t xml:space="preserve">§§ 110 i </w:t>
      </w:r>
      <w:r w:rsidRPr="003E11E7">
        <w:rPr>
          <w:spacing w:val="-2"/>
          <w:sz w:val="20"/>
          <w:lang w:val="pl-PL"/>
        </w:rPr>
        <w:t>112)</w:t>
      </w:r>
    </w:p>
    <w:p w14:paraId="0A46E351" w14:textId="7A3838DA" w:rsidR="005B6264" w:rsidRPr="003E11E7" w:rsidRDefault="00000000" w:rsidP="00D01D6A">
      <w:pPr>
        <w:pStyle w:val="Tekstpodstawowy"/>
        <w:ind w:left="732" w:right="729"/>
        <w:jc w:val="both"/>
        <w:rPr>
          <w:lang w:val="pl-PL"/>
        </w:rPr>
      </w:pPr>
      <w:r w:rsidRPr="003E11E7">
        <w:rPr>
          <w:sz w:val="20"/>
          <w:lang w:val="pl-PL"/>
        </w:rPr>
        <w:t>Oceniając, czy skarżącemu przysługiwało odpowiednie odszkodowanie, Trybunał musi wziąć pod uwagę szczególne okoliczności każdej sprawy, w tym dostępność odszkodowania i praktyczne realia, w których znalazł się skarżący (</w:t>
      </w:r>
      <w:proofErr w:type="spellStart"/>
      <w:r w:rsidR="005B6264">
        <w:fldChar w:fldCharType="begin"/>
      </w:r>
      <w:r w:rsidR="005B6264" w:rsidRPr="003E11E7">
        <w:rPr>
          <w:lang w:val="pl-PL"/>
        </w:rPr>
        <w:instrText>HYPERLINK "https://hudoc.echr.coe.int/eng?i=001-79790" \h</w:instrText>
      </w:r>
      <w:r w:rsidR="005B6264">
        <w:fldChar w:fldCharType="separate"/>
      </w:r>
      <w:r w:rsidR="005B6264" w:rsidRPr="003E11E7">
        <w:rPr>
          <w:i/>
          <w:color w:val="0072BC"/>
          <w:sz w:val="20"/>
          <w:lang w:val="pl-PL"/>
        </w:rPr>
        <w:t>Velikovi</w:t>
      </w:r>
      <w:proofErr w:type="spellEnd"/>
      <w:r w:rsidR="005B6264" w:rsidRPr="003E11E7">
        <w:rPr>
          <w:i/>
          <w:color w:val="0072BC"/>
          <w:sz w:val="20"/>
          <w:lang w:val="pl-PL"/>
        </w:rPr>
        <w:t xml:space="preserve"> i Inni przeciwko Bułgarii</w:t>
      </w:r>
      <w:r w:rsidR="005B6264">
        <w:fldChar w:fldCharType="end"/>
      </w:r>
      <w:r w:rsidRPr="003E11E7">
        <w:rPr>
          <w:sz w:val="20"/>
          <w:lang w:val="pl-PL"/>
        </w:rPr>
        <w:t>, 2007</w:t>
      </w:r>
      <w:r w:rsidR="005B6264" w:rsidRPr="003E11E7">
        <w:rPr>
          <w:sz w:val="20"/>
          <w:lang w:val="pl-PL"/>
        </w:rPr>
        <w:t xml:space="preserve"> r.</w:t>
      </w:r>
      <w:r w:rsidRPr="003E11E7">
        <w:rPr>
          <w:sz w:val="20"/>
          <w:lang w:val="pl-PL"/>
        </w:rPr>
        <w:t>,</w:t>
      </w:r>
      <w:r w:rsidR="005B6264" w:rsidRPr="003E11E7">
        <w:rPr>
          <w:sz w:val="20"/>
          <w:lang w:val="pl-PL"/>
        </w:rPr>
        <w:t xml:space="preserve"> § 231; </w:t>
      </w:r>
      <w:hyperlink r:id="rId34">
        <w:proofErr w:type="spellStart"/>
        <w:r w:rsidR="00D31054" w:rsidRPr="003E11E7">
          <w:rPr>
            <w:i/>
            <w:color w:val="0072BC"/>
            <w:sz w:val="20"/>
            <w:lang w:val="pl-PL"/>
          </w:rPr>
          <w:t>Vukušić</w:t>
        </w:r>
        <w:proofErr w:type="spellEnd"/>
        <w:r w:rsidR="00D31054" w:rsidRPr="003E11E7">
          <w:rPr>
            <w:i/>
            <w:color w:val="0072BC"/>
            <w:sz w:val="20"/>
            <w:lang w:val="pl-PL"/>
          </w:rPr>
          <w:t xml:space="preserve"> przeciwko Chorwacji</w:t>
        </w:r>
      </w:hyperlink>
      <w:r w:rsidRPr="003E11E7">
        <w:rPr>
          <w:sz w:val="20"/>
          <w:lang w:val="pl-PL"/>
        </w:rPr>
        <w:t>, 2016</w:t>
      </w:r>
      <w:r w:rsidR="005B6264" w:rsidRPr="003E11E7">
        <w:rPr>
          <w:sz w:val="20"/>
          <w:lang w:val="pl-PL"/>
        </w:rPr>
        <w:t xml:space="preserve"> r.</w:t>
      </w:r>
      <w:r w:rsidRPr="003E11E7">
        <w:rPr>
          <w:sz w:val="20"/>
          <w:lang w:val="pl-PL"/>
        </w:rPr>
        <w:t xml:space="preserve">, § </w:t>
      </w:r>
      <w:r w:rsidRPr="003E11E7">
        <w:rPr>
          <w:spacing w:val="-4"/>
          <w:sz w:val="20"/>
          <w:lang w:val="pl-PL"/>
        </w:rPr>
        <w:t>68</w:t>
      </w:r>
      <w:r w:rsidRPr="003E11E7">
        <w:rPr>
          <w:rFonts w:ascii="Arial" w:hAnsi="Arial"/>
          <w:spacing w:val="-4"/>
          <w:sz w:val="20"/>
          <w:lang w:val="pl-PL"/>
        </w:rPr>
        <w:t>).</w:t>
      </w:r>
      <w:r w:rsidR="00D01D6A" w:rsidRPr="003E11E7">
        <w:rPr>
          <w:lang w:val="pl-PL"/>
        </w:rPr>
        <w:t xml:space="preserve"> </w:t>
      </w:r>
      <w:r w:rsidR="003E11E7">
        <w:rPr>
          <w:lang w:val="pl-PL"/>
        </w:rPr>
        <w:br/>
      </w:r>
      <w:r w:rsidRPr="003E11E7">
        <w:rPr>
          <w:sz w:val="20"/>
          <w:lang w:val="pl-PL"/>
        </w:rPr>
        <w:t xml:space="preserve">W tym kontekście osoba pozbawiona swojej własności musi zasadniczo uzyskać odszkodowanie </w:t>
      </w:r>
      <w:r w:rsidR="005B6264" w:rsidRPr="003E11E7">
        <w:rPr>
          <w:sz w:val="20"/>
          <w:lang w:val="pl-PL"/>
        </w:rPr>
        <w:t>„</w:t>
      </w:r>
      <w:r w:rsidRPr="003E11E7">
        <w:rPr>
          <w:sz w:val="20"/>
          <w:lang w:val="pl-PL"/>
        </w:rPr>
        <w:t>rozsądnie związane z jej wartością" (</w:t>
      </w:r>
      <w:proofErr w:type="spellStart"/>
      <w:r w:rsidR="005B6264">
        <w:fldChar w:fldCharType="begin"/>
      </w:r>
      <w:r w:rsidR="005B6264" w:rsidRPr="003E11E7">
        <w:rPr>
          <w:lang w:val="pl-PL"/>
        </w:rPr>
        <w:instrText>HYPERLINK "https://hudoc.echr.coe.int/eng?i=001-79790" \h</w:instrText>
      </w:r>
      <w:r w:rsidR="005B6264">
        <w:fldChar w:fldCharType="separate"/>
      </w:r>
      <w:r w:rsidR="005B6264" w:rsidRPr="003E11E7">
        <w:rPr>
          <w:i/>
          <w:color w:val="0072BC"/>
          <w:sz w:val="20"/>
          <w:lang w:val="pl-PL"/>
        </w:rPr>
        <w:t>Velikovi</w:t>
      </w:r>
      <w:proofErr w:type="spellEnd"/>
      <w:r w:rsidR="005B6264" w:rsidRPr="003E11E7">
        <w:rPr>
          <w:i/>
          <w:color w:val="0072BC"/>
          <w:sz w:val="20"/>
          <w:lang w:val="pl-PL"/>
        </w:rPr>
        <w:t xml:space="preserve"> i Inni przeciwko Bułgarii</w:t>
      </w:r>
      <w:r w:rsidR="005B6264">
        <w:fldChar w:fldCharType="end"/>
      </w:r>
      <w:r w:rsidRPr="003E11E7">
        <w:rPr>
          <w:sz w:val="20"/>
          <w:lang w:val="pl-PL"/>
        </w:rPr>
        <w:t>, 2007</w:t>
      </w:r>
      <w:r w:rsidR="005B6264" w:rsidRPr="003E11E7">
        <w:rPr>
          <w:sz w:val="20"/>
          <w:lang w:val="pl-PL"/>
        </w:rPr>
        <w:t xml:space="preserve"> r.</w:t>
      </w:r>
      <w:r w:rsidRPr="003E11E7">
        <w:rPr>
          <w:sz w:val="20"/>
          <w:lang w:val="pl-PL"/>
        </w:rPr>
        <w:t xml:space="preserve">, §§ 238 i 248), nawet jeśli </w:t>
      </w:r>
      <w:r w:rsidR="005B6264" w:rsidRPr="003E11E7">
        <w:rPr>
          <w:sz w:val="20"/>
          <w:lang w:val="pl-PL"/>
        </w:rPr>
        <w:t>„</w:t>
      </w:r>
      <w:r w:rsidRPr="003E11E7">
        <w:rPr>
          <w:sz w:val="20"/>
          <w:lang w:val="pl-PL"/>
        </w:rPr>
        <w:t xml:space="preserve">uzasadnione cele </w:t>
      </w:r>
      <w:r w:rsidR="005B6264" w:rsidRPr="003E11E7">
        <w:rPr>
          <w:sz w:val="20"/>
          <w:lang w:val="pl-PL"/>
        </w:rPr>
        <w:t>„</w:t>
      </w:r>
      <w:r w:rsidRPr="003E11E7">
        <w:rPr>
          <w:sz w:val="20"/>
          <w:lang w:val="pl-PL"/>
        </w:rPr>
        <w:t>interesu publicznego" mogą wymagać zwrotu mniejszego niż pełna wartość rynkowa" (</w:t>
      </w:r>
      <w:proofErr w:type="spellStart"/>
      <w:r w:rsidR="005B6264">
        <w:fldChar w:fldCharType="begin"/>
      </w:r>
      <w:r w:rsidR="005B6264" w:rsidRPr="003E11E7">
        <w:rPr>
          <w:lang w:val="pl-PL"/>
        </w:rPr>
        <w:instrText>HYPERLINK "https://hudoc.echr.coe.int/eng?i=001-60726" \h</w:instrText>
      </w:r>
      <w:r w:rsidR="005B6264">
        <w:fldChar w:fldCharType="separate"/>
      </w:r>
      <w:r w:rsidR="005B6264" w:rsidRPr="003E11E7">
        <w:rPr>
          <w:i/>
          <w:color w:val="0072BC"/>
          <w:sz w:val="20"/>
          <w:lang w:val="pl-PL"/>
        </w:rPr>
        <w:t>Pincová</w:t>
      </w:r>
      <w:proofErr w:type="spellEnd"/>
      <w:r w:rsidR="005B6264" w:rsidRPr="003E11E7">
        <w:rPr>
          <w:i/>
          <w:color w:val="0072BC"/>
          <w:sz w:val="20"/>
          <w:lang w:val="pl-PL"/>
        </w:rPr>
        <w:t xml:space="preserve"> i </w:t>
      </w:r>
      <w:proofErr w:type="spellStart"/>
      <w:r w:rsidR="005B6264" w:rsidRPr="003E11E7">
        <w:rPr>
          <w:i/>
          <w:color w:val="0072BC"/>
          <w:sz w:val="20"/>
          <w:lang w:val="pl-PL"/>
        </w:rPr>
        <w:t>Pinc</w:t>
      </w:r>
      <w:proofErr w:type="spellEnd"/>
      <w:r w:rsidR="005B6264" w:rsidRPr="003E11E7">
        <w:rPr>
          <w:i/>
          <w:color w:val="0072BC"/>
          <w:sz w:val="20"/>
          <w:lang w:val="pl-PL"/>
        </w:rPr>
        <w:t xml:space="preserve"> przeciwko Republice Czeskiej</w:t>
      </w:r>
      <w:r w:rsidR="005B6264">
        <w:fldChar w:fldCharType="end"/>
      </w:r>
      <w:r w:rsidRPr="003E11E7">
        <w:rPr>
          <w:sz w:val="20"/>
          <w:lang w:val="pl-PL"/>
        </w:rPr>
        <w:t>, 2002</w:t>
      </w:r>
      <w:r w:rsidR="005B6264" w:rsidRPr="003E11E7">
        <w:rPr>
          <w:sz w:val="20"/>
          <w:lang w:val="pl-PL"/>
        </w:rPr>
        <w:t xml:space="preserve"> r.</w:t>
      </w:r>
      <w:r w:rsidRPr="003E11E7">
        <w:rPr>
          <w:sz w:val="20"/>
          <w:lang w:val="pl-PL"/>
        </w:rPr>
        <w:t>, § 53). Równowaga jest generalnie osiągana</w:t>
      </w:r>
      <w:r w:rsidR="005B6264" w:rsidRPr="003E11E7">
        <w:rPr>
          <w:sz w:val="20"/>
          <w:lang w:val="pl-PL"/>
        </w:rPr>
        <w:t xml:space="preserve"> gdy odszkodowanie wypłacone osobie, której własność została odebrana, jest rozsądnie powiązane z jej wartością </w:t>
      </w:r>
      <w:r w:rsidR="00D01D6A" w:rsidRPr="003E11E7">
        <w:rPr>
          <w:sz w:val="20"/>
          <w:lang w:val="pl-PL"/>
        </w:rPr>
        <w:t>„</w:t>
      </w:r>
      <w:r w:rsidR="005B6264" w:rsidRPr="003E11E7">
        <w:rPr>
          <w:sz w:val="20"/>
          <w:lang w:val="pl-PL"/>
        </w:rPr>
        <w:t>rynkową" określoną w momencie wywłaszczenia (</w:t>
      </w:r>
      <w:hyperlink r:id="rId35">
        <w:r w:rsidR="005B6264" w:rsidRPr="003E11E7">
          <w:rPr>
            <w:i/>
            <w:color w:val="0072BC"/>
            <w:sz w:val="20"/>
            <w:lang w:val="pl-PL"/>
          </w:rPr>
          <w:t>ibid.</w:t>
        </w:r>
      </w:hyperlink>
      <w:r w:rsidR="005B6264" w:rsidRPr="003E11E7">
        <w:rPr>
          <w:sz w:val="20"/>
          <w:lang w:val="pl-PL"/>
        </w:rPr>
        <w:t>).</w:t>
      </w:r>
    </w:p>
    <w:p w14:paraId="7D7A5862" w14:textId="5C8B4FEC" w:rsidR="00D31054" w:rsidRPr="003E11E7" w:rsidRDefault="00D31054">
      <w:pPr>
        <w:pStyle w:val="Tekstpodstawowy"/>
        <w:ind w:left="732" w:right="730"/>
        <w:jc w:val="both"/>
        <w:rPr>
          <w:lang w:val="pl-PL"/>
        </w:rPr>
      </w:pPr>
    </w:p>
    <w:p w14:paraId="599D9B84" w14:textId="77777777" w:rsidR="00D31054" w:rsidRPr="003E11E7" w:rsidRDefault="00D31054">
      <w:pPr>
        <w:pStyle w:val="Tekstpodstawowy"/>
        <w:jc w:val="both"/>
        <w:rPr>
          <w:lang w:val="pl-PL"/>
        </w:rPr>
        <w:sectPr w:rsidR="00D31054" w:rsidRPr="003E11E7">
          <w:pgSz w:w="11910" w:h="16840"/>
          <w:pgMar w:top="1100" w:right="708" w:bottom="920" w:left="708" w:header="723" w:footer="726" w:gutter="0"/>
          <w:cols w:space="708"/>
        </w:sectPr>
      </w:pPr>
    </w:p>
    <w:p w14:paraId="0E63F0CC" w14:textId="77777777" w:rsidR="00D31054" w:rsidRPr="003E11E7" w:rsidRDefault="00D31054">
      <w:pPr>
        <w:pStyle w:val="Tekstpodstawowy"/>
        <w:spacing w:before="146"/>
        <w:ind w:left="0"/>
        <w:rPr>
          <w:lang w:val="pl-PL"/>
        </w:rPr>
      </w:pPr>
    </w:p>
    <w:p w14:paraId="09877B44" w14:textId="2E32DF7D" w:rsidR="00D31054" w:rsidRPr="003E11E7" w:rsidRDefault="00000000">
      <w:pPr>
        <w:pStyle w:val="Tekstpodstawowy"/>
        <w:ind w:left="732" w:right="730"/>
        <w:jc w:val="both"/>
        <w:rPr>
          <w:lang w:val="pl-PL"/>
        </w:rPr>
      </w:pPr>
      <w:r w:rsidRPr="003E11E7">
        <w:rPr>
          <w:sz w:val="20"/>
          <w:lang w:val="pl-PL"/>
        </w:rPr>
        <w:t xml:space="preserve">Trybunał zgodził się, że zasada częściowej restytucji w celu naprawienia dawnych krzywd jest zgodna z Konwencją i że w związku z tym kwota odszkodowania za dawno wygasłe prawa majątkowe może być oszacowana zgodnie z metodami obliczeniowymi ustanowionymi w odpowiednich przepisach, a nie z pełną wartością rynkową takiej nieruchomości. Trybunał stwierdził jednak, że wymagana sprawiedliwa równowaga nie została zachowana w sprawach, w których dysproporcja między wartością rynkową nieruchomości a odszkodowaniem przyznanym skarżącym była </w:t>
      </w:r>
      <w:r w:rsidR="005B6264" w:rsidRPr="003E11E7">
        <w:rPr>
          <w:sz w:val="20"/>
          <w:lang w:val="pl-PL"/>
        </w:rPr>
        <w:t>„</w:t>
      </w:r>
      <w:r w:rsidRPr="003E11E7">
        <w:rPr>
          <w:sz w:val="20"/>
          <w:lang w:val="pl-PL"/>
        </w:rPr>
        <w:t xml:space="preserve">skrajna" lub </w:t>
      </w:r>
      <w:r w:rsidR="005B6264" w:rsidRPr="003E11E7">
        <w:rPr>
          <w:sz w:val="20"/>
          <w:lang w:val="pl-PL"/>
        </w:rPr>
        <w:t>„</w:t>
      </w:r>
      <w:r w:rsidRPr="003E11E7">
        <w:rPr>
          <w:sz w:val="20"/>
          <w:lang w:val="pl-PL"/>
        </w:rPr>
        <w:t>zbyt znacząca" (</w:t>
      </w:r>
      <w:proofErr w:type="spellStart"/>
      <w:r w:rsidR="00D31054">
        <w:fldChar w:fldCharType="begin"/>
      </w:r>
      <w:r w:rsidR="00D31054" w:rsidRPr="003E11E7">
        <w:rPr>
          <w:lang w:val="pl-PL"/>
        </w:rPr>
        <w:instrText>HYPERLINK "https://hudoc.echr.coe.int/eng?i=001-183540" \h</w:instrText>
      </w:r>
      <w:r w:rsidR="00D31054">
        <w:fldChar w:fldCharType="separate"/>
      </w:r>
      <w:r w:rsidR="00D31054" w:rsidRPr="003E11E7">
        <w:rPr>
          <w:i/>
          <w:color w:val="0072BC"/>
          <w:sz w:val="20"/>
          <w:lang w:val="pl-PL"/>
        </w:rPr>
        <w:t>Beinarovič</w:t>
      </w:r>
      <w:proofErr w:type="spellEnd"/>
      <w:r w:rsidR="00D31054" w:rsidRPr="003E11E7">
        <w:rPr>
          <w:i/>
          <w:color w:val="0072BC"/>
          <w:sz w:val="20"/>
          <w:lang w:val="pl-PL"/>
        </w:rPr>
        <w:t xml:space="preserve"> i Inni przeciwko Litwie</w:t>
      </w:r>
      <w:r w:rsidR="00D31054">
        <w:fldChar w:fldCharType="end"/>
      </w:r>
      <w:r w:rsidRPr="003E11E7">
        <w:rPr>
          <w:sz w:val="20"/>
          <w:lang w:val="pl-PL"/>
        </w:rPr>
        <w:t>, 2018</w:t>
      </w:r>
      <w:r w:rsidR="005B6264" w:rsidRPr="003E11E7">
        <w:rPr>
          <w:sz w:val="20"/>
          <w:lang w:val="pl-PL"/>
        </w:rPr>
        <w:t xml:space="preserve"> r.</w:t>
      </w:r>
      <w:r w:rsidRPr="003E11E7">
        <w:rPr>
          <w:sz w:val="20"/>
          <w:lang w:val="pl-PL"/>
        </w:rPr>
        <w:t>, § 142, z dalszymi odniesieniami).</w:t>
      </w:r>
    </w:p>
    <w:p w14:paraId="2D908791" w14:textId="24AF4631" w:rsidR="00D31054" w:rsidRPr="003E11E7" w:rsidRDefault="00000000">
      <w:pPr>
        <w:pStyle w:val="Tekstpodstawowy"/>
        <w:ind w:left="732" w:right="727"/>
        <w:jc w:val="both"/>
        <w:rPr>
          <w:lang w:val="pl-PL"/>
        </w:rPr>
      </w:pPr>
      <w:r w:rsidRPr="003E11E7">
        <w:rPr>
          <w:sz w:val="20"/>
          <w:lang w:val="pl-PL"/>
        </w:rPr>
        <w:t xml:space="preserve">Nie ma ogólnego wymogu, aby po unieważnieniu praw własności skarżących władze przyznały im nową własność </w:t>
      </w:r>
      <w:r w:rsidR="00441381" w:rsidRPr="003E11E7">
        <w:rPr>
          <w:b/>
          <w:sz w:val="20"/>
          <w:lang w:val="pl-PL"/>
        </w:rPr>
        <w:t>rzeczową</w:t>
      </w:r>
      <w:r w:rsidRPr="003E11E7">
        <w:rPr>
          <w:sz w:val="20"/>
          <w:lang w:val="pl-PL"/>
        </w:rPr>
        <w:t>, o ile mogli oni otrzymać rekompensatę w jakiejkolwiek formie przewidzianej w prawie krajowym, zgodnie z zasadami ustanowionymi w orzecznictwie Trybunału (</w:t>
      </w:r>
      <w:proofErr w:type="spellStart"/>
      <w:r w:rsidR="00D31054">
        <w:fldChar w:fldCharType="begin"/>
      </w:r>
      <w:r w:rsidR="00D31054" w:rsidRPr="003E11E7">
        <w:rPr>
          <w:lang w:val="pl-PL"/>
        </w:rPr>
        <w:instrText>HYPERLINK "https://hudoc.echr.coe.int/eng?i=001-183540" \h</w:instrText>
      </w:r>
      <w:r w:rsidR="00D31054">
        <w:fldChar w:fldCharType="separate"/>
      </w:r>
      <w:r w:rsidR="00D31054" w:rsidRPr="003E11E7">
        <w:rPr>
          <w:i/>
          <w:color w:val="0072BC"/>
          <w:sz w:val="20"/>
          <w:lang w:val="pl-PL"/>
        </w:rPr>
        <w:t>Beinarovič</w:t>
      </w:r>
      <w:proofErr w:type="spellEnd"/>
      <w:r w:rsidR="00D31054" w:rsidRPr="003E11E7">
        <w:rPr>
          <w:i/>
          <w:color w:val="0072BC"/>
          <w:sz w:val="20"/>
          <w:lang w:val="pl-PL"/>
        </w:rPr>
        <w:t xml:space="preserve"> i Inni przeciwko Litwie</w:t>
      </w:r>
      <w:r w:rsidR="00D31054">
        <w:fldChar w:fldCharType="end"/>
      </w:r>
      <w:r w:rsidRPr="003E11E7">
        <w:rPr>
          <w:sz w:val="20"/>
          <w:lang w:val="pl-PL"/>
        </w:rPr>
        <w:t>, 2018</w:t>
      </w:r>
      <w:r w:rsidR="00A30E91" w:rsidRPr="003E11E7">
        <w:rPr>
          <w:sz w:val="20"/>
          <w:lang w:val="pl-PL"/>
        </w:rPr>
        <w:t xml:space="preserve"> r.</w:t>
      </w:r>
      <w:r w:rsidRPr="003E11E7">
        <w:rPr>
          <w:sz w:val="20"/>
          <w:lang w:val="pl-PL"/>
        </w:rPr>
        <w:t xml:space="preserve">, § 146). Jednakże w pewnych </w:t>
      </w:r>
      <w:r w:rsidRPr="003E11E7">
        <w:rPr>
          <w:spacing w:val="-3"/>
          <w:sz w:val="20"/>
          <w:lang w:val="pl-PL"/>
        </w:rPr>
        <w:t xml:space="preserve">okolicznościach </w:t>
      </w:r>
      <w:r w:rsidRPr="003E11E7">
        <w:rPr>
          <w:sz w:val="20"/>
          <w:lang w:val="pl-PL"/>
        </w:rPr>
        <w:t>Trybunał może wskazać, że najbardziej odpowiednią formą zadośćuczynienia byłoby przywrócenie skarżącemu tytułu własności do nieruchomości, w szczególności w przypadku braku konkurencyjnego interesu osoby trzeciej lub innej przeszkody w przywróceniu własności skarżącego (</w:t>
      </w:r>
      <w:proofErr w:type="spellStart"/>
      <w:r w:rsidR="00D31054">
        <w:fldChar w:fldCharType="begin"/>
      </w:r>
      <w:r w:rsidR="00D31054" w:rsidRPr="003E11E7">
        <w:rPr>
          <w:lang w:val="pl-PL"/>
        </w:rPr>
        <w:instrText>HYPERLINK "https://hudoc.echr.coe.int/eng?i=001-107713" \h</w:instrText>
      </w:r>
      <w:r w:rsidR="00D31054">
        <w:fldChar w:fldCharType="separate"/>
      </w:r>
      <w:r w:rsidR="00D31054" w:rsidRPr="003E11E7">
        <w:rPr>
          <w:i/>
          <w:color w:val="0072BC"/>
          <w:sz w:val="20"/>
          <w:lang w:val="pl-PL"/>
        </w:rPr>
        <w:t>Gladysheva</w:t>
      </w:r>
      <w:proofErr w:type="spellEnd"/>
      <w:r w:rsidR="00D31054" w:rsidRPr="003E11E7">
        <w:rPr>
          <w:i/>
          <w:color w:val="0072BC"/>
          <w:sz w:val="20"/>
          <w:lang w:val="pl-PL"/>
        </w:rPr>
        <w:t xml:space="preserve"> przeciwko Rosji</w:t>
      </w:r>
      <w:r w:rsidR="00D31054">
        <w:fldChar w:fldCharType="end"/>
      </w:r>
      <w:r w:rsidRPr="003E11E7">
        <w:rPr>
          <w:sz w:val="20"/>
          <w:lang w:val="pl-PL"/>
        </w:rPr>
        <w:t>, 2011</w:t>
      </w:r>
      <w:r w:rsidR="00A30E91" w:rsidRPr="003E11E7">
        <w:rPr>
          <w:sz w:val="20"/>
          <w:lang w:val="pl-PL"/>
        </w:rPr>
        <w:t xml:space="preserve"> r.</w:t>
      </w:r>
      <w:r w:rsidRPr="003E11E7">
        <w:rPr>
          <w:sz w:val="20"/>
          <w:lang w:val="pl-PL"/>
        </w:rPr>
        <w:t>, § 106).</w:t>
      </w:r>
    </w:p>
    <w:p w14:paraId="1CAD916E" w14:textId="7F5E5B30" w:rsidR="00D31054" w:rsidRPr="003E11E7" w:rsidRDefault="00000000">
      <w:pPr>
        <w:pStyle w:val="Tekstpodstawowy"/>
        <w:ind w:left="732" w:right="729"/>
        <w:jc w:val="both"/>
        <w:rPr>
          <w:lang w:val="pl-PL"/>
        </w:rPr>
      </w:pPr>
      <w:r w:rsidRPr="003E11E7">
        <w:rPr>
          <w:sz w:val="20"/>
          <w:lang w:val="pl-PL"/>
        </w:rPr>
        <w:t>W sprawie dotyczącej unieważnienia umowy o zamówienie publiczne, którą skarżący zawarł w dobrej wierze, uznano za mającą zastosowanie zasadę, zgodnie z którą jednostka nie powinna być zobowiązana do ponoszenia nadmiernych obciążeń. Odnotowując szerszy margines oceny, jeśli chodzi o ogólne środki strategii gospodarczej lub społecznej, Trybunał uznał jednak, że sprawiedliwa równowaga wymaga zwrotu gwarancji i niektórych lub wszystkich kosztów, jeśli rozwiązanie umowy było konieczne i nieuniknione (</w:t>
      </w:r>
      <w:proofErr w:type="spellStart"/>
      <w:r w:rsidR="00D31054">
        <w:fldChar w:fldCharType="begin"/>
      </w:r>
      <w:r w:rsidR="00D31054" w:rsidRPr="003E11E7">
        <w:rPr>
          <w:lang w:val="pl-PL"/>
        </w:rPr>
        <w:instrText>HYPERLINK "https://hudoc.echr.coe.int/eng?i=001-206194" \h</w:instrText>
      </w:r>
      <w:r w:rsidR="00D31054">
        <w:fldChar w:fldCharType="separate"/>
      </w:r>
      <w:r w:rsidR="00D31054" w:rsidRPr="003E11E7">
        <w:rPr>
          <w:i/>
          <w:color w:val="0072BC"/>
          <w:sz w:val="20"/>
          <w:lang w:val="pl-PL"/>
        </w:rPr>
        <w:t>Kurban</w:t>
      </w:r>
      <w:proofErr w:type="spellEnd"/>
      <w:r w:rsidR="00D31054" w:rsidRPr="003E11E7">
        <w:rPr>
          <w:i/>
          <w:color w:val="0072BC"/>
          <w:sz w:val="20"/>
          <w:lang w:val="pl-PL"/>
        </w:rPr>
        <w:t xml:space="preserve"> przeciwko Turcji</w:t>
      </w:r>
      <w:r w:rsidR="00D31054">
        <w:fldChar w:fldCharType="end"/>
      </w:r>
      <w:r w:rsidRPr="003E11E7">
        <w:rPr>
          <w:sz w:val="20"/>
          <w:lang w:val="pl-PL"/>
        </w:rPr>
        <w:t>, 2020</w:t>
      </w:r>
      <w:r w:rsidR="00A30E91" w:rsidRPr="003E11E7">
        <w:rPr>
          <w:sz w:val="20"/>
          <w:lang w:val="pl-PL"/>
        </w:rPr>
        <w:t xml:space="preserve"> r.</w:t>
      </w:r>
      <w:r w:rsidRPr="003E11E7">
        <w:rPr>
          <w:sz w:val="20"/>
          <w:lang w:val="pl-PL"/>
        </w:rPr>
        <w:t>, §§ 80-87).</w:t>
      </w:r>
    </w:p>
    <w:p w14:paraId="49B0F4F0" w14:textId="77777777" w:rsidR="00D31054" w:rsidRPr="003E11E7" w:rsidRDefault="00D31054">
      <w:pPr>
        <w:pStyle w:val="Tekstpodstawowy"/>
        <w:spacing w:before="12"/>
        <w:ind w:left="0"/>
        <w:rPr>
          <w:lang w:val="pl-PL"/>
        </w:rPr>
      </w:pPr>
    </w:p>
    <w:p w14:paraId="24B17C12" w14:textId="77777777" w:rsidR="00D31054" w:rsidRDefault="00000000">
      <w:pPr>
        <w:pStyle w:val="Nagwek4"/>
        <w:numPr>
          <w:ilvl w:val="0"/>
          <w:numId w:val="4"/>
        </w:numPr>
        <w:tabs>
          <w:tab w:val="left" w:pos="1024"/>
        </w:tabs>
        <w:ind w:left="1024" w:hanging="292"/>
        <w:jc w:val="both"/>
      </w:pPr>
      <w:proofErr w:type="spellStart"/>
      <w:r>
        <w:rPr>
          <w:color w:val="2F2F2F"/>
          <w:spacing w:val="-2"/>
          <w:sz w:val="22"/>
        </w:rPr>
        <w:t>Kontekst</w:t>
      </w:r>
      <w:proofErr w:type="spellEnd"/>
      <w:r>
        <w:rPr>
          <w:color w:val="2F2F2F"/>
          <w:spacing w:val="-2"/>
          <w:sz w:val="22"/>
        </w:rPr>
        <w:t xml:space="preserve"> </w:t>
      </w:r>
      <w:proofErr w:type="spellStart"/>
      <w:r>
        <w:rPr>
          <w:color w:val="2F2F2F"/>
          <w:sz w:val="22"/>
        </w:rPr>
        <w:t>prywatny</w:t>
      </w:r>
      <w:proofErr w:type="spellEnd"/>
    </w:p>
    <w:p w14:paraId="19A37C18" w14:textId="0BDA9172" w:rsidR="00D31054" w:rsidRPr="003E11E7" w:rsidRDefault="00000000" w:rsidP="00A30E91">
      <w:pPr>
        <w:pStyle w:val="Tekstpodstawowy"/>
        <w:ind w:left="732" w:right="729"/>
        <w:jc w:val="both"/>
        <w:rPr>
          <w:lang w:val="pl-PL"/>
        </w:rPr>
      </w:pPr>
      <w:r w:rsidRPr="003E11E7">
        <w:rPr>
          <w:sz w:val="20"/>
          <w:lang w:val="pl-PL"/>
        </w:rPr>
        <w:t xml:space="preserve">W sprawach dotyczących sporów cywilnoprawnych między podmiotami prywatnymi Trybunał bada, czy związane z nimi orzeczenia sądów krajowych są arbitralne lub w inny sposób oczywiście nieuzasadnione. Jego kontrola </w:t>
      </w:r>
      <w:r w:rsidRPr="003E11E7">
        <w:rPr>
          <w:spacing w:val="40"/>
          <w:sz w:val="20"/>
          <w:lang w:val="pl-PL"/>
        </w:rPr>
        <w:t xml:space="preserve">w </w:t>
      </w:r>
      <w:r w:rsidRPr="003E11E7">
        <w:rPr>
          <w:sz w:val="20"/>
          <w:lang w:val="pl-PL"/>
        </w:rPr>
        <w:t xml:space="preserve">kontekście sporów między podmiotami prywatnymi może również obejmować kwestię, czy krajowy system prawny zapewnia wystarczającą ochronę praw własności i odpowiednie środki odwoławcze. W tym względzie obowiązki państwa wynikające z art. 1 Protokołu nr </w:t>
      </w:r>
      <w:r w:rsidRPr="003E11E7">
        <w:rPr>
          <w:spacing w:val="-3"/>
          <w:sz w:val="20"/>
          <w:lang w:val="pl-PL"/>
        </w:rPr>
        <w:t xml:space="preserve">1 </w:t>
      </w:r>
      <w:r w:rsidRPr="003E11E7">
        <w:rPr>
          <w:sz w:val="20"/>
          <w:lang w:val="pl-PL"/>
        </w:rPr>
        <w:t xml:space="preserve">w odniesieniu do sporów między podmiotami prywatnymi są tymi, które mają ogólne zastosowanie, gdy ingerencja w prawo do spokojnego korzystania z własności jest dokonywana przez osobę prywatną, jak sformułowano </w:t>
      </w:r>
      <w:r w:rsidR="00D31054" w:rsidRPr="003E11E7">
        <w:rPr>
          <w:iCs/>
          <w:sz w:val="20"/>
          <w:lang w:val="pl-PL"/>
        </w:rPr>
        <w:t>w sprawie</w:t>
      </w:r>
      <w:r w:rsidR="00D31054" w:rsidRPr="003E11E7">
        <w:rPr>
          <w:i/>
          <w:color w:val="0070C0"/>
          <w:sz w:val="20"/>
          <w:lang w:val="pl-PL"/>
        </w:rPr>
        <w:t xml:space="preserve"> </w:t>
      </w:r>
      <w:hyperlink r:id="rId36" w:anchor="{%22itemid%22:[%22001-110023%22]}" w:history="1">
        <w:proofErr w:type="spellStart"/>
        <w:r w:rsidR="00D31054" w:rsidRPr="003E11E7">
          <w:rPr>
            <w:rStyle w:val="Hipercze"/>
            <w:i/>
            <w:color w:val="0070C0"/>
            <w:sz w:val="20"/>
            <w:u w:val="none"/>
            <w:lang w:val="pl-PL"/>
          </w:rPr>
          <w:t>Kotov</w:t>
        </w:r>
        <w:proofErr w:type="spellEnd"/>
        <w:r w:rsidR="00A30E91" w:rsidRPr="003E11E7">
          <w:rPr>
            <w:rStyle w:val="Hipercze"/>
            <w:i/>
            <w:color w:val="0070C0"/>
            <w:u w:val="none"/>
            <w:lang w:val="pl-PL"/>
          </w:rPr>
          <w:t xml:space="preserve"> </w:t>
        </w:r>
        <w:r w:rsidR="00A30E91" w:rsidRPr="003E11E7">
          <w:rPr>
            <w:rStyle w:val="Hipercze"/>
            <w:i/>
            <w:color w:val="0070C0"/>
            <w:sz w:val="20"/>
            <w:szCs w:val="20"/>
            <w:u w:val="none"/>
            <w:lang w:val="pl-PL"/>
          </w:rPr>
          <w:t>przeciwko Rosji</w:t>
        </w:r>
      </w:hyperlink>
      <w:r w:rsidR="00A30E91" w:rsidRPr="003E11E7">
        <w:rPr>
          <w:sz w:val="18"/>
          <w:szCs w:val="20"/>
          <w:lang w:val="pl-PL"/>
        </w:rPr>
        <w:t xml:space="preserve"> </w:t>
      </w:r>
      <w:r w:rsidRPr="003E11E7">
        <w:rPr>
          <w:sz w:val="20"/>
          <w:lang w:val="pl-PL"/>
        </w:rPr>
        <w:t>[</w:t>
      </w:r>
      <w:r w:rsidR="00A30E91" w:rsidRPr="003E11E7">
        <w:rPr>
          <w:sz w:val="20"/>
          <w:lang w:val="pl-PL"/>
        </w:rPr>
        <w:t>WI</w:t>
      </w:r>
      <w:r w:rsidRPr="003E11E7">
        <w:rPr>
          <w:sz w:val="20"/>
          <w:lang w:val="pl-PL"/>
        </w:rPr>
        <w:t>], 2012</w:t>
      </w:r>
      <w:r w:rsidR="00A30E91" w:rsidRPr="003E11E7">
        <w:rPr>
          <w:sz w:val="20"/>
          <w:lang w:val="pl-PL"/>
        </w:rPr>
        <w:t xml:space="preserve"> r.</w:t>
      </w:r>
      <w:r w:rsidRPr="003E11E7">
        <w:rPr>
          <w:sz w:val="20"/>
          <w:lang w:val="pl-PL"/>
        </w:rPr>
        <w:t xml:space="preserve">, §§ 113-114, i powtórzone w sprawie </w:t>
      </w:r>
      <w:hyperlink r:id="rId37">
        <w:proofErr w:type="spellStart"/>
        <w:r w:rsidR="00D31054" w:rsidRPr="003E11E7">
          <w:rPr>
            <w:i/>
            <w:color w:val="0072BC"/>
            <w:sz w:val="20"/>
            <w:lang w:val="pl-PL"/>
          </w:rPr>
          <w:t>Kanevska</w:t>
        </w:r>
        <w:proofErr w:type="spellEnd"/>
        <w:r w:rsidR="00D31054" w:rsidRPr="003E11E7">
          <w:rPr>
            <w:i/>
            <w:color w:val="0072BC"/>
            <w:sz w:val="20"/>
            <w:lang w:val="pl-PL"/>
          </w:rPr>
          <w:t xml:space="preserve"> przeciwko Ukrainie </w:t>
        </w:r>
      </w:hyperlink>
      <w:r w:rsidRPr="003E11E7">
        <w:rPr>
          <w:sz w:val="20"/>
          <w:lang w:val="pl-PL"/>
        </w:rPr>
        <w:t>(</w:t>
      </w:r>
      <w:proofErr w:type="spellStart"/>
      <w:r w:rsidRPr="003E11E7">
        <w:rPr>
          <w:sz w:val="20"/>
          <w:lang w:val="pl-PL"/>
        </w:rPr>
        <w:t>dec</w:t>
      </w:r>
      <w:proofErr w:type="spellEnd"/>
      <w:r w:rsidRPr="003E11E7">
        <w:rPr>
          <w:sz w:val="20"/>
          <w:lang w:val="pl-PL"/>
        </w:rPr>
        <w:t>.), 2020</w:t>
      </w:r>
      <w:r w:rsidR="001A655F" w:rsidRPr="003E11E7">
        <w:rPr>
          <w:sz w:val="20"/>
          <w:lang w:val="pl-PL"/>
        </w:rPr>
        <w:t xml:space="preserve"> r.</w:t>
      </w:r>
      <w:r w:rsidRPr="003E11E7">
        <w:rPr>
          <w:sz w:val="20"/>
          <w:lang w:val="pl-PL"/>
        </w:rPr>
        <w:t xml:space="preserve">, § 45, w szczególności w odniesieniu do nabywców </w:t>
      </w:r>
      <w:r w:rsidR="001A655F" w:rsidRPr="003E11E7">
        <w:rPr>
          <w:i/>
          <w:sz w:val="20"/>
          <w:lang w:val="pl-PL"/>
        </w:rPr>
        <w:t xml:space="preserve">bona </w:t>
      </w:r>
      <w:proofErr w:type="spellStart"/>
      <w:r w:rsidR="001A655F" w:rsidRPr="003E11E7">
        <w:rPr>
          <w:i/>
          <w:sz w:val="20"/>
          <w:lang w:val="pl-PL"/>
        </w:rPr>
        <w:t>fide</w:t>
      </w:r>
      <w:proofErr w:type="spellEnd"/>
      <w:r w:rsidR="001A655F" w:rsidRPr="003E11E7">
        <w:rPr>
          <w:i/>
          <w:sz w:val="20"/>
          <w:lang w:val="pl-PL"/>
        </w:rPr>
        <w:t xml:space="preserve"> </w:t>
      </w:r>
      <w:r w:rsidRPr="003E11E7">
        <w:rPr>
          <w:sz w:val="20"/>
          <w:lang w:val="pl-PL"/>
        </w:rPr>
        <w:t>(pominięto odniesienia do spraw):</w:t>
      </w:r>
    </w:p>
    <w:p w14:paraId="2FDC6FCC" w14:textId="6647F1DC" w:rsidR="00D31054" w:rsidRPr="003E11E7" w:rsidRDefault="001A655F">
      <w:pPr>
        <w:spacing w:before="120"/>
        <w:ind w:left="1299" w:right="727"/>
        <w:jc w:val="both"/>
        <w:rPr>
          <w:sz w:val="19"/>
          <w:lang w:val="pl-PL"/>
        </w:rPr>
      </w:pPr>
      <w:r w:rsidRPr="003E11E7">
        <w:rPr>
          <w:sz w:val="19"/>
          <w:lang w:val="pl-PL"/>
        </w:rPr>
        <w:t xml:space="preserve">„Państwo ma pozytywny obowiązek podjęcia niezbędnych środków w celu ochrony prawa własności, w szczególności gdy istnieje bezpośredni związek między środkami, których </w:t>
      </w:r>
      <w:r w:rsidR="00441381" w:rsidRPr="003E11E7">
        <w:rPr>
          <w:sz w:val="19"/>
          <w:lang w:val="pl-PL"/>
        </w:rPr>
        <w:t>skarżący</w:t>
      </w:r>
      <w:r w:rsidRPr="003E11E7">
        <w:rPr>
          <w:sz w:val="19"/>
          <w:lang w:val="pl-PL"/>
        </w:rPr>
        <w:t xml:space="preserve"> może zasadnie oczekiwać od władz, a jego skutecznym korzystaniem z własności, nawet w sprawach dotyczących sporów sądowych między podmiotami prywatnymi. Ten pozytywny obowiązek ma na celu zapewnienie w systemie prawnym, że prawa własności są wystarczająco chronione przez prawo i że zapewnione są odpowiednie środki zaradcze, dzięki którym strona poszkodowana może starać się bronić swoich praw, w tym, w stosownych przypadkach, poprzez dochodzenie odszkodowania w odniesieniu do wszelkich poniesionych strat. Wymagane środki mogą mieć zatem charakter zapobiegawczy lub naprawczy. Jeśli chodzi o ewentualne środki zapobiegawcze, margines oceny dostępny ustawodawcy przy wdrażaniu polityki społecznej i gospodarczej jest szeroki, zwłaszcza w sytuacji, gdy państwo musi mieć na uwadze konkurujące ze sobą interesy prywatne. Jeśli chodzi o środki zaradcze, państwa są zobowiązane do zapewnienia procedur sądowych, które oferują niezbędne gwarancje proceduralne, a tym samym umożliwiają sądom krajowym skuteczne i sprawiedliwe rozstrzyganie wszelkich sporów między osobami prywatnymi. Zadaniem Trybunału jest zatem ocena, czy rozstrzygnięcie przez sądy krajowe sporu majątkowego między podmiotami prywatnymi było zgodne z prawem krajowym oraz ustalenie, czy ich decyzje nie były arbitralne lub w sposób oczywisty nierozsądne".</w:t>
      </w:r>
    </w:p>
    <w:p w14:paraId="56B18B57" w14:textId="77777777" w:rsidR="00E35125" w:rsidRPr="003E11E7" w:rsidRDefault="00E35125">
      <w:pPr>
        <w:spacing w:before="120"/>
        <w:ind w:left="1299" w:right="727"/>
        <w:jc w:val="both"/>
        <w:rPr>
          <w:sz w:val="20"/>
          <w:lang w:val="pl-PL"/>
        </w:rPr>
      </w:pPr>
    </w:p>
    <w:p w14:paraId="36B9BF19" w14:textId="77777777" w:rsidR="00D31054" w:rsidRPr="003E11E7" w:rsidRDefault="00D31054">
      <w:pPr>
        <w:jc w:val="both"/>
        <w:rPr>
          <w:sz w:val="20"/>
          <w:lang w:val="pl-PL"/>
        </w:rPr>
        <w:sectPr w:rsidR="00D31054" w:rsidRPr="003E11E7">
          <w:pgSz w:w="11910" w:h="16840"/>
          <w:pgMar w:top="1100" w:right="708" w:bottom="920" w:left="708" w:header="723" w:footer="726" w:gutter="0"/>
          <w:cols w:space="708"/>
        </w:sectPr>
      </w:pPr>
    </w:p>
    <w:p w14:paraId="0EE501B2" w14:textId="77777777" w:rsidR="00D31054" w:rsidRPr="003E11E7" w:rsidRDefault="00D31054">
      <w:pPr>
        <w:pStyle w:val="Tekstpodstawowy"/>
        <w:spacing w:before="73"/>
        <w:ind w:left="0"/>
        <w:rPr>
          <w:sz w:val="28"/>
          <w:lang w:val="pl-PL"/>
        </w:rPr>
      </w:pPr>
    </w:p>
    <w:p w14:paraId="027EB474" w14:textId="77777777" w:rsidR="00D31054" w:rsidRPr="003E11E7" w:rsidRDefault="00000000">
      <w:pPr>
        <w:pStyle w:val="Nagwek2"/>
        <w:rPr>
          <w:lang w:val="pl-PL"/>
        </w:rPr>
      </w:pPr>
      <w:r>
        <w:rPr>
          <w:noProof/>
        </w:rPr>
        <mc:AlternateContent>
          <mc:Choice Requires="wps">
            <w:drawing>
              <wp:anchor distT="0" distB="0" distL="0" distR="0" simplePos="0" relativeHeight="251668480" behindDoc="1" locked="0" layoutInCell="1" allowOverlap="1" wp14:anchorId="0F949D7E" wp14:editId="536AA2BE">
                <wp:simplePos x="0" y="0"/>
                <wp:positionH relativeFrom="page">
                  <wp:posOffset>895985</wp:posOffset>
                </wp:positionH>
                <wp:positionV relativeFrom="paragraph">
                  <wp:posOffset>239409</wp:posOffset>
                </wp:positionV>
                <wp:extent cx="5768975" cy="1270"/>
                <wp:effectExtent l="0" t="0" r="0" b="0"/>
                <wp:wrapTopAndBottom/>
                <wp:docPr id="12" name="Graphic 12"/>
                <wp:cNvGraphicFramePr/>
                <a:graphic xmlns:a="http://schemas.openxmlformats.org/drawingml/2006/main">
                  <a:graphicData uri="http://schemas.microsoft.com/office/word/2010/wordprocessingShape">
                    <wps:wsp>
                      <wps:cNvSpPr/>
                      <wps:spPr>
                        <a:xfrm>
                          <a:off x="0" y="0"/>
                          <a:ext cx="5768975" cy="1270"/>
                        </a:xfrm>
                        <a:custGeom>
                          <a:avLst/>
                          <a:gdLst/>
                          <a:ahLst/>
                          <a:cxnLst/>
                          <a:rect l="l" t="t" r="r" b="b"/>
                          <a:pathLst>
                            <a:path w="5768975">
                              <a:moveTo>
                                <a:pt x="0" y="0"/>
                              </a:moveTo>
                              <a:lnTo>
                                <a:pt x="5768974" y="0"/>
                              </a:lnTo>
                            </a:path>
                          </a:pathLst>
                        </a:custGeom>
                        <a:ln w="19050">
                          <a:solidFill>
                            <a:srgbClr val="949494"/>
                          </a:solidFill>
                          <a:prstDash val="solid"/>
                        </a:ln>
                      </wps:spPr>
                      <wps:bodyPr wrap="square" lIns="0" tIns="0" rIns="0" bIns="0" rtlCol="0">
                        <a:prstTxWarp prst="textNoShape">
                          <a:avLst/>
                        </a:prstTxWarp>
                      </wps:bodyPr>
                    </wps:wsp>
                  </a:graphicData>
                </a:graphic>
              </wp:anchor>
            </w:drawing>
          </mc:Choice>
          <mc:Fallback>
            <w:pict>
              <v:shape w14:anchorId="2D374E84" id="Graphic 12" o:spid="_x0000_s1026" style="position:absolute;margin-left:70.55pt;margin-top:18.85pt;width:454.2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5768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" path="m,l5768974,e" filled="f" strokecolor="#949494" strokeweight="1.5pt">
                <v:path arrowok="t"/>
                <w10:wrap type="topAndBottom" anchorx="page"/>
              </v:shape>
            </w:pict>
          </mc:Fallback>
        </mc:AlternateContent>
      </w:r>
      <w:r w:rsidRPr="003E11E7">
        <w:rPr>
          <w:color w:val="2F2F2F"/>
          <w:sz w:val="26"/>
          <w:lang w:val="pl-PL"/>
        </w:rPr>
        <w:t xml:space="preserve">Powództwo o odszkodowanie przeciwko </w:t>
      </w:r>
      <w:r w:rsidRPr="003E11E7">
        <w:rPr>
          <w:color w:val="2F2F2F"/>
          <w:spacing w:val="-2"/>
          <w:sz w:val="26"/>
          <w:lang w:val="pl-PL"/>
        </w:rPr>
        <w:t xml:space="preserve">osobie </w:t>
      </w:r>
      <w:r w:rsidRPr="003E11E7">
        <w:rPr>
          <w:color w:val="2F2F2F"/>
          <w:sz w:val="26"/>
          <w:lang w:val="pl-PL"/>
        </w:rPr>
        <w:t>trzeciej</w:t>
      </w:r>
    </w:p>
    <w:p w14:paraId="51DD6EC0" w14:textId="77777777" w:rsidR="00D31054" w:rsidRDefault="00000000">
      <w:pPr>
        <w:pStyle w:val="Nagwek4"/>
        <w:numPr>
          <w:ilvl w:val="0"/>
          <w:numId w:val="3"/>
        </w:numPr>
        <w:tabs>
          <w:tab w:val="left" w:pos="1024"/>
        </w:tabs>
        <w:spacing w:before="280"/>
        <w:ind w:left="1024" w:hanging="292"/>
        <w:jc w:val="both"/>
      </w:pPr>
      <w:proofErr w:type="spellStart"/>
      <w:r>
        <w:rPr>
          <w:color w:val="2F2F2F"/>
          <w:spacing w:val="-2"/>
          <w:sz w:val="22"/>
        </w:rPr>
        <w:t>Kontekst</w:t>
      </w:r>
      <w:proofErr w:type="spellEnd"/>
      <w:r>
        <w:rPr>
          <w:color w:val="2F2F2F"/>
          <w:spacing w:val="-2"/>
          <w:sz w:val="22"/>
        </w:rPr>
        <w:t xml:space="preserve"> </w:t>
      </w:r>
      <w:proofErr w:type="spellStart"/>
      <w:r>
        <w:rPr>
          <w:color w:val="2F2F2F"/>
          <w:sz w:val="22"/>
        </w:rPr>
        <w:t>publiczno</w:t>
      </w:r>
      <w:proofErr w:type="spellEnd"/>
      <w:r>
        <w:rPr>
          <w:color w:val="2F2F2F"/>
          <w:sz w:val="22"/>
        </w:rPr>
        <w:t>-prawny</w:t>
      </w:r>
    </w:p>
    <w:p w14:paraId="7C82CCC8" w14:textId="3DC71004" w:rsidR="00D31054" w:rsidRPr="003E11E7" w:rsidRDefault="00000000" w:rsidP="00B10292">
      <w:pPr>
        <w:pStyle w:val="Tekstpodstawowy"/>
        <w:ind w:left="732" w:right="729"/>
        <w:jc w:val="both"/>
        <w:rPr>
          <w:lang w:val="pl-PL"/>
        </w:rPr>
      </w:pPr>
      <w:r w:rsidRPr="003E11E7">
        <w:rPr>
          <w:sz w:val="20"/>
          <w:lang w:val="pl-PL"/>
        </w:rPr>
        <w:t>W kontekście naprawienia błędów, które można przypisać organom państwowym, możliwość wniesienia powództwa o odszkodowanie przeciwko osobie trzeciej - pośrednikowi, od którego skarżący nabył nieruchomość - była rozpatrywana przez Trybunał w trzech kontekstach: (i) wyczerpania krajowych środków odwoławczych;</w:t>
      </w:r>
      <w:r w:rsidR="00B10292" w:rsidRPr="003E11E7">
        <w:rPr>
          <w:lang w:val="pl-PL"/>
        </w:rPr>
        <w:t xml:space="preserve"> </w:t>
      </w:r>
      <w:r w:rsidRPr="003E11E7">
        <w:rPr>
          <w:sz w:val="20"/>
          <w:lang w:val="pl-PL"/>
        </w:rPr>
        <w:t xml:space="preserve">(ii) proporcjonalności ingerencji; oraz (iii) szkody pieniężnej (słusznego zadośćuczynienia) na podstawie art. </w:t>
      </w:r>
      <w:r w:rsidRPr="003E11E7">
        <w:rPr>
          <w:spacing w:val="-5"/>
          <w:sz w:val="20"/>
          <w:lang w:val="pl-PL"/>
        </w:rPr>
        <w:t>41.</w:t>
      </w:r>
    </w:p>
    <w:p w14:paraId="40F71695" w14:textId="77777777" w:rsidR="00D31054" w:rsidRPr="003E11E7" w:rsidRDefault="00000000">
      <w:pPr>
        <w:pStyle w:val="Tekstpodstawowy"/>
        <w:ind w:left="732" w:right="730"/>
        <w:jc w:val="both"/>
        <w:rPr>
          <w:lang w:val="pl-PL"/>
        </w:rPr>
      </w:pPr>
      <w:r w:rsidRPr="003E11E7">
        <w:rPr>
          <w:sz w:val="20"/>
          <w:lang w:val="pl-PL"/>
        </w:rPr>
        <w:t xml:space="preserve">W sprawie </w:t>
      </w:r>
      <w:hyperlink r:id="rId38">
        <w:proofErr w:type="spellStart"/>
        <w:r w:rsidR="00D31054" w:rsidRPr="003E11E7">
          <w:rPr>
            <w:i/>
            <w:color w:val="0072BC"/>
            <w:sz w:val="20"/>
            <w:lang w:val="pl-PL"/>
          </w:rPr>
          <w:t>Gladysheva</w:t>
        </w:r>
        <w:proofErr w:type="spellEnd"/>
        <w:r w:rsidR="00D31054" w:rsidRPr="003E11E7">
          <w:rPr>
            <w:i/>
            <w:color w:val="0072BC"/>
            <w:sz w:val="20"/>
            <w:lang w:val="pl-PL"/>
          </w:rPr>
          <w:t xml:space="preserve"> przeciwko Rosji </w:t>
        </w:r>
      </w:hyperlink>
      <w:r w:rsidRPr="003E11E7">
        <w:rPr>
          <w:sz w:val="20"/>
          <w:lang w:val="pl-PL"/>
        </w:rPr>
        <w:t xml:space="preserve">z 2011 r., w której skarżąca została pozbawiona mieszkania </w:t>
      </w:r>
      <w:r w:rsidRPr="003E11E7">
        <w:rPr>
          <w:spacing w:val="-1"/>
          <w:sz w:val="20"/>
          <w:lang w:val="pl-PL"/>
        </w:rPr>
        <w:t xml:space="preserve">w </w:t>
      </w:r>
      <w:r w:rsidRPr="003E11E7">
        <w:rPr>
          <w:sz w:val="20"/>
          <w:lang w:val="pl-PL"/>
        </w:rPr>
        <w:t>wyniku jego przejęcia przez państwo w następstwie decyzji, że jego prywatyzacja przez osobę trzecią była nieuczciwa, Trybunał odniósł się do tych trzech kwestii w następujący sposób:</w:t>
      </w:r>
    </w:p>
    <w:p w14:paraId="622A2AC4" w14:textId="77777777" w:rsidR="00D31054" w:rsidRPr="003E11E7" w:rsidRDefault="00000000">
      <w:pPr>
        <w:pStyle w:val="Akapitzlist"/>
        <w:numPr>
          <w:ilvl w:val="1"/>
          <w:numId w:val="3"/>
        </w:numPr>
        <w:tabs>
          <w:tab w:val="left" w:pos="1013"/>
        </w:tabs>
        <w:spacing w:before="120"/>
        <w:ind w:right="729" w:firstLine="0"/>
        <w:jc w:val="both"/>
        <w:rPr>
          <w:lang w:val="pl-PL"/>
        </w:rPr>
      </w:pPr>
      <w:r w:rsidRPr="003E11E7">
        <w:rPr>
          <w:sz w:val="20"/>
          <w:lang w:val="pl-PL"/>
        </w:rPr>
        <w:t xml:space="preserve">Zauważywszy, że skarżąca skarżyła się na pozbawienie jej tytułu prawnego do mieszkania (jej jedynego miejsca zamieszkania) na mocy prawomocnego i wykonalnego wyroku oraz zauważywszy, że zgodnie z prawem rosyjskim nie istniał żaden inny środek odwoławczy, który mógłby potencjalnie doprowadzić do przywrócenia jej tytułu prawnego, Trybunał stwierdził, że możliwość wniesienia powództwa o odszkodowanie, w tych okolicznościach, nie mogła pozbawić skarżącej statusu ofiary dla celów jej skargi na podstawie art. 1 Protokołu nr 1 do Konwencji. </w:t>
      </w:r>
      <w:r w:rsidRPr="003E11E7">
        <w:rPr>
          <w:b/>
          <w:sz w:val="20"/>
          <w:lang w:val="pl-PL"/>
        </w:rPr>
        <w:t>Nie można jej było również uznać za konieczną dla zachowania zgodności z zasadą wyczerpania krajowych środków odwoławczych</w:t>
      </w:r>
      <w:r w:rsidRPr="003E11E7">
        <w:rPr>
          <w:sz w:val="20"/>
          <w:lang w:val="pl-PL"/>
        </w:rPr>
        <w:t xml:space="preserve">. Jednakże wszelkie odszkodowania, które skarżący mogliby odzyskać od sprzedawcy mieszkania, mogą zostać uwzględnione do celów oceny </w:t>
      </w:r>
      <w:r w:rsidRPr="003E11E7">
        <w:rPr>
          <w:b/>
          <w:sz w:val="20"/>
          <w:lang w:val="pl-PL"/>
        </w:rPr>
        <w:t xml:space="preserve">proporcjonalności </w:t>
      </w:r>
      <w:r w:rsidRPr="003E11E7">
        <w:rPr>
          <w:sz w:val="20"/>
          <w:lang w:val="pl-PL"/>
        </w:rPr>
        <w:t xml:space="preserve">ingerencji i obliczenia </w:t>
      </w:r>
      <w:r w:rsidRPr="003E11E7">
        <w:rPr>
          <w:b/>
          <w:sz w:val="20"/>
          <w:lang w:val="pl-PL"/>
        </w:rPr>
        <w:t xml:space="preserve">szkody pieniężnej </w:t>
      </w:r>
      <w:r w:rsidRPr="003E11E7">
        <w:rPr>
          <w:sz w:val="20"/>
          <w:lang w:val="pl-PL"/>
        </w:rPr>
        <w:t>(§§ 60-62).</w:t>
      </w:r>
    </w:p>
    <w:p w14:paraId="06B79CD7" w14:textId="3B7D1827" w:rsidR="00D31054" w:rsidRPr="003E11E7" w:rsidRDefault="00000000">
      <w:pPr>
        <w:pStyle w:val="Akapitzlist"/>
        <w:numPr>
          <w:ilvl w:val="1"/>
          <w:numId w:val="3"/>
        </w:numPr>
        <w:tabs>
          <w:tab w:val="left" w:pos="1063"/>
        </w:tabs>
        <w:spacing w:before="120"/>
        <w:ind w:right="728" w:firstLine="0"/>
        <w:jc w:val="both"/>
        <w:rPr>
          <w:lang w:val="pl-PL"/>
        </w:rPr>
      </w:pPr>
      <w:r w:rsidRPr="003E11E7">
        <w:rPr>
          <w:sz w:val="20"/>
          <w:lang w:val="pl-PL"/>
        </w:rPr>
        <w:t xml:space="preserve">Oceniając </w:t>
      </w:r>
      <w:r w:rsidRPr="003E11E7">
        <w:rPr>
          <w:b/>
          <w:sz w:val="20"/>
          <w:lang w:val="pl-PL"/>
        </w:rPr>
        <w:t xml:space="preserve">proporcjonalność </w:t>
      </w:r>
      <w:r w:rsidRPr="003E11E7">
        <w:rPr>
          <w:sz w:val="20"/>
          <w:lang w:val="pl-PL"/>
        </w:rPr>
        <w:t xml:space="preserve">ingerencji, Trybunał zgodził się, że poszkodowana miała możliwość wniesienia powództwa o odszkodowanie przeciwko sprzedawcy mieszkania (również działającemu </w:t>
      </w:r>
      <w:r w:rsidR="00E1478B" w:rsidRPr="003E11E7">
        <w:rPr>
          <w:i/>
          <w:iCs/>
          <w:sz w:val="20"/>
          <w:lang w:val="pl-PL"/>
        </w:rPr>
        <w:t xml:space="preserve">bona </w:t>
      </w:r>
      <w:proofErr w:type="spellStart"/>
      <w:r w:rsidR="00E1478B" w:rsidRPr="003E11E7">
        <w:rPr>
          <w:i/>
          <w:iCs/>
          <w:sz w:val="20"/>
          <w:lang w:val="pl-PL"/>
        </w:rPr>
        <w:t>fide</w:t>
      </w:r>
      <w:proofErr w:type="spellEnd"/>
      <w:r w:rsidRPr="003E11E7">
        <w:rPr>
          <w:sz w:val="20"/>
          <w:lang w:val="pl-PL"/>
        </w:rPr>
        <w:t>). Biorąc jednak pod uwagę, że wypłata odszkodowania nie mogła zostać przesunięta tak daleko, jak w przypadku nieuczciwej strony, której tożsamość nie została ustalona, zobowiązanie ofiary do pozwania innej osoby działającej w dobrej wierze może stanowić nieproporcjonalne obciążenie. W związku z tym Trybunał nie uznał, że państwo może uniknąć swojej odpowiedzialności, zobowiązując skarżącego do dochodzenia odszkodowania za szkody od pośredniego właściciela</w:t>
      </w:r>
      <w:r w:rsidR="00E63423" w:rsidRPr="003E11E7">
        <w:rPr>
          <w:i/>
          <w:sz w:val="20"/>
          <w:lang w:val="pl-PL"/>
        </w:rPr>
        <w:t xml:space="preserve"> bona </w:t>
      </w:r>
      <w:proofErr w:type="spellStart"/>
      <w:r w:rsidR="00E63423" w:rsidRPr="003E11E7">
        <w:rPr>
          <w:i/>
          <w:sz w:val="20"/>
          <w:lang w:val="pl-PL"/>
        </w:rPr>
        <w:t>fide</w:t>
      </w:r>
      <w:proofErr w:type="spellEnd"/>
      <w:r w:rsidR="00E63423" w:rsidRPr="003E11E7">
        <w:rPr>
          <w:i/>
          <w:sz w:val="20"/>
          <w:lang w:val="pl-PL"/>
        </w:rPr>
        <w:t xml:space="preserve"> </w:t>
      </w:r>
      <w:r w:rsidRPr="003E11E7">
        <w:rPr>
          <w:sz w:val="20"/>
          <w:lang w:val="pl-PL"/>
        </w:rPr>
        <w:t>(§ 81).</w:t>
      </w:r>
    </w:p>
    <w:p w14:paraId="4D088C57" w14:textId="7E5083F2" w:rsidR="00D31054" w:rsidRPr="003E11E7" w:rsidRDefault="00000000">
      <w:pPr>
        <w:pStyle w:val="Akapitzlist"/>
        <w:numPr>
          <w:ilvl w:val="1"/>
          <w:numId w:val="3"/>
        </w:numPr>
        <w:tabs>
          <w:tab w:val="left" w:pos="1113"/>
        </w:tabs>
        <w:spacing w:before="120"/>
        <w:ind w:right="728" w:firstLine="0"/>
        <w:jc w:val="both"/>
        <w:rPr>
          <w:lang w:val="pl-PL"/>
        </w:rPr>
      </w:pPr>
      <w:r w:rsidRPr="003E11E7">
        <w:rPr>
          <w:sz w:val="20"/>
          <w:lang w:val="pl-PL"/>
        </w:rPr>
        <w:t xml:space="preserve">Gdyby skarżący domagał się odszkodowania od pośrednika </w:t>
      </w:r>
      <w:r w:rsidRPr="003E11E7">
        <w:rPr>
          <w:iCs/>
          <w:sz w:val="20"/>
          <w:lang w:val="pl-PL"/>
        </w:rPr>
        <w:t>będącego</w:t>
      </w:r>
      <w:r w:rsidRPr="003E11E7">
        <w:rPr>
          <w:i/>
          <w:sz w:val="20"/>
          <w:lang w:val="pl-PL"/>
        </w:rPr>
        <w:t xml:space="preserve"> </w:t>
      </w:r>
      <w:r w:rsidRPr="003E11E7">
        <w:rPr>
          <w:sz w:val="20"/>
          <w:lang w:val="pl-PL"/>
        </w:rPr>
        <w:t xml:space="preserve">właścicielem </w:t>
      </w:r>
      <w:r w:rsidR="00E1478B" w:rsidRPr="003E11E7">
        <w:rPr>
          <w:i/>
          <w:sz w:val="20"/>
          <w:lang w:val="pl-PL"/>
        </w:rPr>
        <w:t xml:space="preserve">bona </w:t>
      </w:r>
      <w:proofErr w:type="spellStart"/>
      <w:r w:rsidR="00E1478B" w:rsidRPr="003E11E7">
        <w:rPr>
          <w:i/>
          <w:sz w:val="20"/>
          <w:lang w:val="pl-PL"/>
        </w:rPr>
        <w:t>fide</w:t>
      </w:r>
      <w:proofErr w:type="spellEnd"/>
      <w:r w:rsidRPr="003E11E7">
        <w:rPr>
          <w:sz w:val="20"/>
          <w:lang w:val="pl-PL"/>
        </w:rPr>
        <w:t>, wszelkie otrzymane przez niego odszkodowanie zostałoby uwzględnione do celów obliczenia szkody pieniężnej na podstawie art. 41. I odwrotnie, sądy krajowe były uprawnione do wzięcia pod uwagę orzeczenia wydanego przez Trybunał w przypadku późniejszego wniesienia do nich jakichkolwiek powiązanych roszczeń (§ 104).</w:t>
      </w:r>
    </w:p>
    <w:p w14:paraId="5BFCD433" w14:textId="3C8EF0F0" w:rsidR="00D31054" w:rsidRPr="003E11E7" w:rsidRDefault="00000000">
      <w:pPr>
        <w:spacing w:before="120"/>
        <w:ind w:left="732" w:right="729"/>
        <w:jc w:val="both"/>
        <w:rPr>
          <w:lang w:val="pl-PL"/>
        </w:rPr>
      </w:pPr>
      <w:r w:rsidRPr="003E11E7">
        <w:rPr>
          <w:sz w:val="20"/>
          <w:lang w:val="pl-PL"/>
        </w:rPr>
        <w:t xml:space="preserve">W sprawach po sprawie </w:t>
      </w:r>
      <w:proofErr w:type="spellStart"/>
      <w:r w:rsidRPr="003E11E7">
        <w:rPr>
          <w:i/>
          <w:sz w:val="20"/>
          <w:lang w:val="pl-PL"/>
        </w:rPr>
        <w:t>Gladysheva</w:t>
      </w:r>
      <w:proofErr w:type="spellEnd"/>
      <w:r w:rsidRPr="003E11E7">
        <w:rPr>
          <w:i/>
          <w:sz w:val="20"/>
          <w:lang w:val="pl-PL"/>
        </w:rPr>
        <w:t xml:space="preserve"> </w:t>
      </w:r>
      <w:r w:rsidRPr="003E11E7">
        <w:rPr>
          <w:sz w:val="20"/>
          <w:lang w:val="pl-PL"/>
        </w:rPr>
        <w:t>Trybunał utrzymywał, że powództwo o odszkodowanie przeciwko osobie trzeciej nie jest konieczne do przestrzegania zasady wyczerpania krajowych środków odwoławczych (</w:t>
      </w:r>
      <w:proofErr w:type="spellStart"/>
      <w:r w:rsidR="00D31054">
        <w:fldChar w:fldCharType="begin"/>
      </w:r>
      <w:r w:rsidR="00D31054" w:rsidRPr="003E11E7">
        <w:rPr>
          <w:lang w:val="pl-PL"/>
        </w:rPr>
        <w:instrText>HYPERLINK "https://hudoc.echr.coe.int/eng?i=001-150675" \h</w:instrText>
      </w:r>
      <w:r w:rsidR="00D31054">
        <w:fldChar w:fldCharType="separate"/>
      </w:r>
      <w:r w:rsidR="00D31054" w:rsidRPr="003E11E7">
        <w:rPr>
          <w:i/>
          <w:color w:val="0072BC"/>
          <w:sz w:val="20"/>
          <w:lang w:val="pl-PL"/>
        </w:rPr>
        <w:t>Stolyarova</w:t>
      </w:r>
      <w:proofErr w:type="spellEnd"/>
      <w:r w:rsidR="00D31054" w:rsidRPr="003E11E7">
        <w:rPr>
          <w:i/>
          <w:color w:val="0072BC"/>
          <w:sz w:val="20"/>
          <w:lang w:val="pl-PL"/>
        </w:rPr>
        <w:t xml:space="preserve"> przeciwko Rosji</w:t>
      </w:r>
      <w:r w:rsidR="00D31054">
        <w:fldChar w:fldCharType="end"/>
      </w:r>
      <w:r w:rsidRPr="003E11E7">
        <w:rPr>
          <w:sz w:val="20"/>
          <w:lang w:val="pl-PL"/>
        </w:rPr>
        <w:t>, 2015</w:t>
      </w:r>
      <w:r w:rsidR="00E63423" w:rsidRPr="003E11E7">
        <w:rPr>
          <w:sz w:val="20"/>
          <w:lang w:val="pl-PL"/>
        </w:rPr>
        <w:t xml:space="preserve"> r.</w:t>
      </w:r>
      <w:r w:rsidRPr="003E11E7">
        <w:rPr>
          <w:sz w:val="20"/>
          <w:lang w:val="pl-PL"/>
        </w:rPr>
        <w:t xml:space="preserve">, § 35; </w:t>
      </w:r>
      <w:hyperlink r:id="rId39">
        <w:proofErr w:type="spellStart"/>
        <w:r w:rsidR="00D31054" w:rsidRPr="003E11E7">
          <w:rPr>
            <w:i/>
            <w:color w:val="0072BC"/>
            <w:sz w:val="20"/>
            <w:lang w:val="pl-PL"/>
          </w:rPr>
          <w:t>Pchelintseva</w:t>
        </w:r>
        <w:proofErr w:type="spellEnd"/>
        <w:r w:rsidR="00D31054" w:rsidRPr="003E11E7">
          <w:rPr>
            <w:i/>
            <w:color w:val="0072BC"/>
            <w:sz w:val="20"/>
            <w:lang w:val="pl-PL"/>
          </w:rPr>
          <w:t xml:space="preserve"> i </w:t>
        </w:r>
      </w:hyperlink>
      <w:hyperlink r:id="rId40">
        <w:r w:rsidR="00E63423" w:rsidRPr="003E11E7">
          <w:rPr>
            <w:i/>
            <w:color w:val="0072BC"/>
            <w:sz w:val="20"/>
            <w:lang w:val="pl-PL"/>
          </w:rPr>
          <w:t>I</w:t>
        </w:r>
        <w:r w:rsidR="00D31054" w:rsidRPr="003E11E7">
          <w:rPr>
            <w:i/>
            <w:color w:val="0072BC"/>
            <w:sz w:val="20"/>
            <w:lang w:val="pl-PL"/>
          </w:rPr>
          <w:t>nni przeciwko Rosji</w:t>
        </w:r>
      </w:hyperlink>
      <w:r w:rsidRPr="003E11E7">
        <w:rPr>
          <w:sz w:val="20"/>
          <w:lang w:val="pl-PL"/>
        </w:rPr>
        <w:t>, 2016</w:t>
      </w:r>
      <w:r w:rsidR="008B2700" w:rsidRPr="003E11E7">
        <w:rPr>
          <w:sz w:val="20"/>
          <w:lang w:val="pl-PL"/>
        </w:rPr>
        <w:t xml:space="preserve"> r.</w:t>
      </w:r>
      <w:r w:rsidRPr="003E11E7">
        <w:rPr>
          <w:sz w:val="20"/>
          <w:lang w:val="pl-PL"/>
        </w:rPr>
        <w:t>, § 83) i nie zgodził się, aby państwo mogło przenieść możliwość odzyskania odszkodowania od sprawców na skarżących (</w:t>
      </w:r>
      <w:proofErr w:type="spellStart"/>
      <w:r w:rsidR="008B2700">
        <w:fldChar w:fldCharType="begin"/>
      </w:r>
      <w:r w:rsidR="008B2700" w:rsidRPr="003E11E7">
        <w:rPr>
          <w:lang w:val="pl-PL"/>
        </w:rPr>
        <w:instrText>HYPERLINK "https://hudoc.echr.coe.int/eng" \l "{%22itemid%22:[%22001-168701%22]}"</w:instrText>
      </w:r>
      <w:r w:rsidR="008B2700">
        <w:fldChar w:fldCharType="separate"/>
      </w:r>
      <w:r w:rsidR="008B2700" w:rsidRPr="003E11E7">
        <w:rPr>
          <w:rStyle w:val="Hipercze"/>
          <w:i/>
          <w:iCs/>
          <w:color w:val="0070C0"/>
          <w:sz w:val="20"/>
          <w:u w:val="none"/>
          <w:lang w:val="pl-PL"/>
        </w:rPr>
        <w:t>Pchelintseva</w:t>
      </w:r>
      <w:proofErr w:type="spellEnd"/>
      <w:r w:rsidR="008B2700" w:rsidRPr="003E11E7">
        <w:rPr>
          <w:rStyle w:val="Hipercze"/>
          <w:i/>
          <w:iCs/>
          <w:color w:val="0070C0"/>
          <w:sz w:val="20"/>
          <w:u w:val="none"/>
          <w:lang w:val="pl-PL"/>
        </w:rPr>
        <w:t xml:space="preserve"> i Inni przeciwko Rosji</w:t>
      </w:r>
      <w:r w:rsidR="008B2700">
        <w:fldChar w:fldCharType="end"/>
      </w:r>
      <w:r w:rsidRPr="003E11E7">
        <w:rPr>
          <w:sz w:val="20"/>
          <w:lang w:val="pl-PL"/>
        </w:rPr>
        <w:t>, 2016</w:t>
      </w:r>
      <w:r w:rsidR="008B2700" w:rsidRPr="003E11E7">
        <w:rPr>
          <w:sz w:val="20"/>
          <w:lang w:val="pl-PL"/>
        </w:rPr>
        <w:t xml:space="preserve"> r.</w:t>
      </w:r>
      <w:r w:rsidRPr="003E11E7">
        <w:rPr>
          <w:sz w:val="20"/>
          <w:lang w:val="pl-PL"/>
        </w:rPr>
        <w:t>, § 99). Postępował zgodnie z tymi samymi zasadami w sprawach dotyczących innych państw członkowskich (</w:t>
      </w:r>
      <w:proofErr w:type="spellStart"/>
      <w:r w:rsidR="00D31054">
        <w:fldChar w:fldCharType="begin"/>
      </w:r>
      <w:r w:rsidR="00D31054" w:rsidRPr="003E11E7">
        <w:rPr>
          <w:lang w:val="pl-PL"/>
        </w:rPr>
        <w:instrText>HYPERLINK "https://hudoc.echr.coe.int/eng?i=001-170461" \h</w:instrText>
      </w:r>
      <w:r w:rsidR="00D31054">
        <w:fldChar w:fldCharType="separate"/>
      </w:r>
      <w:r w:rsidR="00D31054" w:rsidRPr="003E11E7">
        <w:rPr>
          <w:i/>
          <w:color w:val="0072BC"/>
          <w:sz w:val="20"/>
          <w:lang w:val="pl-PL"/>
        </w:rPr>
        <w:t>Dzirnis</w:t>
      </w:r>
      <w:proofErr w:type="spellEnd"/>
      <w:r w:rsidR="00D31054" w:rsidRPr="003E11E7">
        <w:rPr>
          <w:i/>
          <w:color w:val="0072BC"/>
          <w:sz w:val="20"/>
          <w:lang w:val="pl-PL"/>
        </w:rPr>
        <w:t xml:space="preserve"> przeciwko Łotwie</w:t>
      </w:r>
      <w:r w:rsidR="00D31054">
        <w:fldChar w:fldCharType="end"/>
      </w:r>
      <w:r w:rsidRPr="003E11E7">
        <w:rPr>
          <w:sz w:val="20"/>
          <w:lang w:val="pl-PL"/>
        </w:rPr>
        <w:t>, 2017</w:t>
      </w:r>
      <w:r w:rsidR="008B2700" w:rsidRPr="003E11E7">
        <w:rPr>
          <w:sz w:val="20"/>
          <w:lang w:val="pl-PL"/>
        </w:rPr>
        <w:t xml:space="preserve"> r.</w:t>
      </w:r>
      <w:r w:rsidRPr="003E11E7">
        <w:rPr>
          <w:sz w:val="20"/>
          <w:lang w:val="pl-PL"/>
        </w:rPr>
        <w:t xml:space="preserve">, § 65, </w:t>
      </w:r>
      <w:hyperlink r:id="rId41">
        <w:proofErr w:type="spellStart"/>
        <w:r w:rsidR="00D31054" w:rsidRPr="003E11E7">
          <w:rPr>
            <w:i/>
            <w:color w:val="0072BC"/>
            <w:sz w:val="20"/>
            <w:lang w:val="pl-PL"/>
          </w:rPr>
          <w:t>Atima</w:t>
        </w:r>
        <w:proofErr w:type="spellEnd"/>
        <w:r w:rsidR="00D31054" w:rsidRPr="003E11E7">
          <w:rPr>
            <w:i/>
            <w:color w:val="0072BC"/>
            <w:sz w:val="20"/>
            <w:lang w:val="pl-PL"/>
          </w:rPr>
          <w:t xml:space="preserve"> Limited przeciwko Ukrainie</w:t>
        </w:r>
      </w:hyperlink>
      <w:r w:rsidRPr="003E11E7">
        <w:rPr>
          <w:sz w:val="20"/>
          <w:lang w:val="pl-PL"/>
        </w:rPr>
        <w:t>, 2021</w:t>
      </w:r>
      <w:r w:rsidR="008B2700" w:rsidRPr="003E11E7">
        <w:rPr>
          <w:sz w:val="20"/>
          <w:lang w:val="pl-PL"/>
        </w:rPr>
        <w:t> r.</w:t>
      </w:r>
      <w:r w:rsidRPr="003E11E7">
        <w:rPr>
          <w:sz w:val="20"/>
          <w:lang w:val="pl-PL"/>
        </w:rPr>
        <w:t>, § 32).</w:t>
      </w:r>
    </w:p>
    <w:p w14:paraId="0D658644" w14:textId="54167375" w:rsidR="00D31054" w:rsidRPr="003E11E7" w:rsidRDefault="00000000">
      <w:pPr>
        <w:pStyle w:val="Tekstpodstawowy"/>
        <w:ind w:left="732" w:right="729"/>
        <w:jc w:val="both"/>
        <w:rPr>
          <w:lang w:val="pl-PL"/>
        </w:rPr>
      </w:pPr>
      <w:r w:rsidRPr="003E11E7">
        <w:rPr>
          <w:sz w:val="20"/>
          <w:lang w:val="pl-PL"/>
        </w:rPr>
        <w:t xml:space="preserve">W podobnym duchu Trybunał odrzucił argument, że skarżący byli uprawnieni do ponownego udziału w procesie restytucji, po tym jak już raz to zrobili i utracili nieruchomość bez własnej winy. Powtarzając, że korekta błędów władz nie powinna tworzyć nieproporcjonalnych nowych krzywd, Trybunał zgodził się ze skarżącymi, że oczekiwanie od nich przejścia długiego dodatkowego procesu, bez uwzględnienia ich szczególnej sytuacji i powodów, dla których utracili wcześniej przywrócone </w:t>
      </w:r>
      <w:r w:rsidRPr="003E11E7">
        <w:rPr>
          <w:spacing w:val="23"/>
          <w:sz w:val="20"/>
          <w:lang w:val="pl-PL"/>
        </w:rPr>
        <w:t>mienie</w:t>
      </w:r>
      <w:r w:rsidRPr="003E11E7">
        <w:rPr>
          <w:sz w:val="20"/>
          <w:lang w:val="pl-PL"/>
        </w:rPr>
        <w:t>, było nieproporcjonalne (</w:t>
      </w:r>
      <w:proofErr w:type="spellStart"/>
      <w:r w:rsidR="00D31054">
        <w:fldChar w:fldCharType="begin"/>
      </w:r>
      <w:r w:rsidR="00D31054" w:rsidRPr="003E11E7">
        <w:rPr>
          <w:lang w:val="pl-PL"/>
        </w:rPr>
        <w:instrText>HYPERLINK "https://hudoc.echr.coe.int/eng?i=001-183540" \h</w:instrText>
      </w:r>
      <w:r w:rsidR="00D31054">
        <w:fldChar w:fldCharType="separate"/>
      </w:r>
      <w:r w:rsidR="00D31054" w:rsidRPr="003E11E7">
        <w:rPr>
          <w:i/>
          <w:color w:val="0072BC"/>
          <w:sz w:val="20"/>
          <w:lang w:val="pl-PL"/>
        </w:rPr>
        <w:t>Beinarovič</w:t>
      </w:r>
      <w:proofErr w:type="spellEnd"/>
      <w:r w:rsidR="00D31054" w:rsidRPr="003E11E7">
        <w:rPr>
          <w:i/>
          <w:color w:val="0072BC"/>
          <w:sz w:val="20"/>
          <w:lang w:val="pl-PL"/>
        </w:rPr>
        <w:t xml:space="preserve"> i </w:t>
      </w:r>
      <w:r w:rsidR="008B2700" w:rsidRPr="003E11E7">
        <w:rPr>
          <w:i/>
          <w:color w:val="0072BC"/>
          <w:sz w:val="20"/>
          <w:lang w:val="pl-PL"/>
        </w:rPr>
        <w:t>I</w:t>
      </w:r>
      <w:r w:rsidR="00D31054" w:rsidRPr="003E11E7">
        <w:rPr>
          <w:i/>
          <w:color w:val="0072BC"/>
          <w:sz w:val="20"/>
          <w:lang w:val="pl-PL"/>
        </w:rPr>
        <w:t xml:space="preserve">nni </w:t>
      </w:r>
      <w:r w:rsidR="00D31054">
        <w:fldChar w:fldCharType="end"/>
      </w:r>
      <w:hyperlink r:id="rId42">
        <w:r w:rsidR="00D31054" w:rsidRPr="003E11E7">
          <w:rPr>
            <w:i/>
            <w:color w:val="0072BC"/>
            <w:sz w:val="20"/>
            <w:lang w:val="pl-PL"/>
          </w:rPr>
          <w:t>przeciwko Litwie</w:t>
        </w:r>
      </w:hyperlink>
      <w:r w:rsidRPr="003E11E7">
        <w:rPr>
          <w:sz w:val="20"/>
          <w:lang w:val="pl-PL"/>
        </w:rPr>
        <w:t>, 2018</w:t>
      </w:r>
      <w:r w:rsidR="008B2700" w:rsidRPr="003E11E7">
        <w:rPr>
          <w:sz w:val="20"/>
          <w:lang w:val="pl-PL"/>
        </w:rPr>
        <w:t xml:space="preserve"> r.</w:t>
      </w:r>
      <w:r w:rsidRPr="003E11E7">
        <w:rPr>
          <w:sz w:val="20"/>
          <w:lang w:val="pl-PL"/>
        </w:rPr>
        <w:t>, § 145).</w:t>
      </w:r>
    </w:p>
    <w:p w14:paraId="0ADC9B19" w14:textId="77777777" w:rsidR="00D31054" w:rsidRPr="003E11E7" w:rsidRDefault="00D31054">
      <w:pPr>
        <w:pStyle w:val="Tekstpodstawowy"/>
        <w:spacing w:before="11"/>
        <w:ind w:left="0"/>
        <w:rPr>
          <w:lang w:val="pl-PL"/>
        </w:rPr>
      </w:pPr>
    </w:p>
    <w:p w14:paraId="4C36D0FE" w14:textId="77777777" w:rsidR="00D31054" w:rsidRDefault="00000000">
      <w:pPr>
        <w:pStyle w:val="Nagwek4"/>
        <w:numPr>
          <w:ilvl w:val="0"/>
          <w:numId w:val="3"/>
        </w:numPr>
        <w:tabs>
          <w:tab w:val="left" w:pos="1024"/>
        </w:tabs>
        <w:ind w:left="1024" w:hanging="292"/>
      </w:pPr>
      <w:proofErr w:type="spellStart"/>
      <w:r>
        <w:rPr>
          <w:color w:val="2F2F2F"/>
          <w:spacing w:val="-2"/>
          <w:sz w:val="22"/>
        </w:rPr>
        <w:t>Kontekst</w:t>
      </w:r>
      <w:proofErr w:type="spellEnd"/>
      <w:r>
        <w:rPr>
          <w:color w:val="2F2F2F"/>
          <w:spacing w:val="-2"/>
          <w:sz w:val="22"/>
        </w:rPr>
        <w:t xml:space="preserve"> </w:t>
      </w:r>
      <w:proofErr w:type="spellStart"/>
      <w:r>
        <w:rPr>
          <w:color w:val="2F2F2F"/>
          <w:sz w:val="22"/>
        </w:rPr>
        <w:t>prywatny</w:t>
      </w:r>
      <w:proofErr w:type="spellEnd"/>
    </w:p>
    <w:p w14:paraId="6DFC81FA" w14:textId="1828F788" w:rsidR="00D31054" w:rsidRPr="003E11E7" w:rsidRDefault="00000000">
      <w:pPr>
        <w:spacing w:before="120"/>
        <w:ind w:left="732"/>
        <w:rPr>
          <w:b/>
          <w:lang w:val="pl-PL"/>
        </w:rPr>
      </w:pPr>
      <w:r w:rsidRPr="003E11E7">
        <w:rPr>
          <w:sz w:val="20"/>
          <w:lang w:val="pl-PL"/>
        </w:rPr>
        <w:t xml:space="preserve">Natomiast sprawa </w:t>
      </w:r>
      <w:hyperlink r:id="rId43">
        <w:proofErr w:type="spellStart"/>
        <w:r w:rsidR="00D31054" w:rsidRPr="003E11E7">
          <w:rPr>
            <w:i/>
            <w:color w:val="0072BC"/>
            <w:sz w:val="20"/>
            <w:lang w:val="pl-PL"/>
          </w:rPr>
          <w:t>Kanevska</w:t>
        </w:r>
        <w:proofErr w:type="spellEnd"/>
        <w:r w:rsidR="00D31054" w:rsidRPr="003E11E7">
          <w:rPr>
            <w:i/>
            <w:color w:val="0072BC"/>
            <w:sz w:val="20"/>
            <w:lang w:val="pl-PL"/>
          </w:rPr>
          <w:t xml:space="preserve"> przeciwko Ukrainie </w:t>
        </w:r>
      </w:hyperlink>
      <w:r w:rsidRPr="003E11E7">
        <w:rPr>
          <w:sz w:val="20"/>
          <w:lang w:val="pl-PL"/>
        </w:rPr>
        <w:t>(</w:t>
      </w:r>
      <w:proofErr w:type="spellStart"/>
      <w:r w:rsidRPr="003E11E7">
        <w:rPr>
          <w:sz w:val="20"/>
          <w:lang w:val="pl-PL"/>
        </w:rPr>
        <w:t>dec</w:t>
      </w:r>
      <w:proofErr w:type="spellEnd"/>
      <w:r w:rsidRPr="003E11E7">
        <w:rPr>
          <w:sz w:val="20"/>
          <w:lang w:val="pl-PL"/>
        </w:rPr>
        <w:t>.), 2020</w:t>
      </w:r>
      <w:r w:rsidR="008B2700" w:rsidRPr="003E11E7">
        <w:rPr>
          <w:sz w:val="20"/>
          <w:lang w:val="pl-PL"/>
        </w:rPr>
        <w:t xml:space="preserve"> r.</w:t>
      </w:r>
      <w:r w:rsidRPr="003E11E7">
        <w:rPr>
          <w:sz w:val="20"/>
          <w:lang w:val="pl-PL"/>
        </w:rPr>
        <w:t xml:space="preserve">, dotyczyła </w:t>
      </w:r>
      <w:r w:rsidRPr="003E11E7">
        <w:rPr>
          <w:b/>
          <w:spacing w:val="-2"/>
          <w:sz w:val="20"/>
          <w:lang w:val="pl-PL"/>
        </w:rPr>
        <w:t xml:space="preserve">kontekstu </w:t>
      </w:r>
      <w:r w:rsidRPr="003E11E7">
        <w:rPr>
          <w:sz w:val="20"/>
          <w:lang w:val="pl-PL"/>
        </w:rPr>
        <w:t xml:space="preserve">czysto </w:t>
      </w:r>
      <w:r w:rsidRPr="003E11E7">
        <w:rPr>
          <w:b/>
          <w:sz w:val="20"/>
          <w:lang w:val="pl-PL"/>
        </w:rPr>
        <w:t>prywatnoprawnego</w:t>
      </w:r>
      <w:r w:rsidRPr="003E11E7">
        <w:rPr>
          <w:b/>
          <w:spacing w:val="-2"/>
          <w:sz w:val="20"/>
          <w:lang w:val="pl-PL"/>
        </w:rPr>
        <w:t>.</w:t>
      </w:r>
    </w:p>
    <w:p w14:paraId="0B134EA2" w14:textId="46AB713B" w:rsidR="00D31054" w:rsidRPr="003E11E7" w:rsidRDefault="00EC1D06">
      <w:pPr>
        <w:pStyle w:val="Tekstpodstawowy"/>
        <w:spacing w:before="0"/>
        <w:ind w:left="732"/>
        <w:rPr>
          <w:lang w:val="pl-PL"/>
        </w:rPr>
      </w:pPr>
      <w:r w:rsidRPr="003E11E7">
        <w:rPr>
          <w:sz w:val="20"/>
          <w:lang w:val="pl-PL"/>
        </w:rPr>
        <w:t xml:space="preserve">Skarżąca była ostatecznym nabywcą nieruchomości </w:t>
      </w:r>
      <w:r w:rsidRPr="003E11E7">
        <w:rPr>
          <w:i/>
          <w:sz w:val="20"/>
          <w:lang w:val="pl-PL"/>
        </w:rPr>
        <w:t>w dobrej wierze</w:t>
      </w:r>
      <w:r w:rsidRPr="003E11E7">
        <w:rPr>
          <w:sz w:val="20"/>
          <w:lang w:val="pl-PL"/>
        </w:rPr>
        <w:t xml:space="preserve">, która utraciła prawo własności </w:t>
      </w:r>
      <w:r w:rsidRPr="003E11E7">
        <w:rPr>
          <w:spacing w:val="-5"/>
          <w:sz w:val="20"/>
          <w:lang w:val="pl-PL"/>
        </w:rPr>
        <w:t xml:space="preserve">na </w:t>
      </w:r>
      <w:r w:rsidRPr="003E11E7">
        <w:rPr>
          <w:sz w:val="20"/>
          <w:lang w:val="pl-PL"/>
        </w:rPr>
        <w:t>rzecz</w:t>
      </w:r>
    </w:p>
    <w:p w14:paraId="7EBC453C" w14:textId="77777777" w:rsidR="00D31054" w:rsidRPr="003E11E7" w:rsidRDefault="00D31054">
      <w:pPr>
        <w:pStyle w:val="Tekstpodstawowy"/>
        <w:rPr>
          <w:lang w:val="pl-PL"/>
        </w:rPr>
        <w:sectPr w:rsidR="00D31054" w:rsidRPr="003E11E7">
          <w:pgSz w:w="11910" w:h="16840"/>
          <w:pgMar w:top="1100" w:right="708" w:bottom="920" w:left="708" w:header="723" w:footer="726" w:gutter="0"/>
          <w:cols w:space="708"/>
        </w:sectPr>
      </w:pPr>
    </w:p>
    <w:p w14:paraId="17B90B55" w14:textId="77777777" w:rsidR="00D31054" w:rsidRPr="003E11E7" w:rsidRDefault="00D31054">
      <w:pPr>
        <w:pStyle w:val="Tekstpodstawowy"/>
        <w:spacing w:before="146"/>
        <w:ind w:left="0"/>
        <w:rPr>
          <w:lang w:val="pl-PL"/>
        </w:rPr>
      </w:pPr>
    </w:p>
    <w:p w14:paraId="30F46B29" w14:textId="2682EA74" w:rsidR="00D31054" w:rsidRPr="003E11E7" w:rsidRDefault="00000000">
      <w:pPr>
        <w:pStyle w:val="Tekstpodstawowy"/>
        <w:spacing w:before="0"/>
        <w:ind w:left="732" w:right="728"/>
        <w:jc w:val="both"/>
        <w:rPr>
          <w:lang w:val="pl-PL"/>
        </w:rPr>
      </w:pPr>
      <w:r w:rsidRPr="003E11E7">
        <w:rPr>
          <w:sz w:val="20"/>
          <w:lang w:val="pl-PL"/>
        </w:rPr>
        <w:t>pierwotne</w:t>
      </w:r>
      <w:r w:rsidR="00EC1D06" w:rsidRPr="003E11E7">
        <w:rPr>
          <w:sz w:val="20"/>
          <w:lang w:val="pl-PL"/>
        </w:rPr>
        <w:t>go</w:t>
      </w:r>
      <w:r w:rsidRPr="003E11E7">
        <w:rPr>
          <w:sz w:val="20"/>
          <w:lang w:val="pl-PL"/>
        </w:rPr>
        <w:t xml:space="preserve"> właściciel</w:t>
      </w:r>
      <w:r w:rsidR="00EC1D06" w:rsidRPr="003E11E7">
        <w:rPr>
          <w:sz w:val="20"/>
          <w:lang w:val="pl-PL"/>
        </w:rPr>
        <w:t xml:space="preserve">a </w:t>
      </w:r>
      <w:r w:rsidRPr="003E11E7">
        <w:rPr>
          <w:sz w:val="20"/>
          <w:lang w:val="pl-PL"/>
        </w:rPr>
        <w:t>nieruchomości (podmiot</w:t>
      </w:r>
      <w:r w:rsidR="00EC1D06" w:rsidRPr="003E11E7">
        <w:rPr>
          <w:sz w:val="20"/>
          <w:lang w:val="pl-PL"/>
        </w:rPr>
        <w:t>u</w:t>
      </w:r>
      <w:r w:rsidRPr="003E11E7">
        <w:rPr>
          <w:sz w:val="20"/>
          <w:lang w:val="pl-PL"/>
        </w:rPr>
        <w:t xml:space="preserve"> prywatne</w:t>
      </w:r>
      <w:r w:rsidR="00EC1D06" w:rsidRPr="003E11E7">
        <w:rPr>
          <w:sz w:val="20"/>
          <w:lang w:val="pl-PL"/>
        </w:rPr>
        <w:t>go</w:t>
      </w:r>
      <w:r w:rsidRPr="003E11E7">
        <w:rPr>
          <w:sz w:val="20"/>
          <w:lang w:val="pl-PL"/>
        </w:rPr>
        <w:t>) na tej podstawie, że przeniesienie własności nieruchomości było wynikiem</w:t>
      </w:r>
      <w:r w:rsidR="00EC1D06" w:rsidRPr="003E11E7">
        <w:rPr>
          <w:sz w:val="20"/>
          <w:lang w:val="pl-PL"/>
        </w:rPr>
        <w:t xml:space="preserve"> nieuczciwych</w:t>
      </w:r>
      <w:r w:rsidRPr="003E11E7">
        <w:rPr>
          <w:sz w:val="20"/>
          <w:lang w:val="pl-PL"/>
        </w:rPr>
        <w:t xml:space="preserve"> działań innego podmiotu prywatnego. Trybunał uznał, że skarżąca powinna była wystąpić z roszczeniem odszkodowawczym przeciwko osobie (właścicielowi pośredniemu, a także nabywcy</w:t>
      </w:r>
      <w:r w:rsidR="008B2700" w:rsidRPr="003E11E7">
        <w:rPr>
          <w:i/>
          <w:sz w:val="20"/>
          <w:lang w:val="pl-PL"/>
        </w:rPr>
        <w:t xml:space="preserve"> bona </w:t>
      </w:r>
      <w:proofErr w:type="spellStart"/>
      <w:r w:rsidR="008B2700" w:rsidRPr="003E11E7">
        <w:rPr>
          <w:i/>
          <w:sz w:val="20"/>
          <w:lang w:val="pl-PL"/>
        </w:rPr>
        <w:t>fide</w:t>
      </w:r>
      <w:proofErr w:type="spellEnd"/>
      <w:r w:rsidRPr="003E11E7">
        <w:rPr>
          <w:sz w:val="20"/>
          <w:lang w:val="pl-PL"/>
        </w:rPr>
        <w:t xml:space="preserve">), od której kupiła przedmiotową nieruchomość. Na tej podstawie uznał sprawę za </w:t>
      </w:r>
      <w:r w:rsidR="00EC1D06" w:rsidRPr="003E11E7">
        <w:rPr>
          <w:sz w:val="20"/>
          <w:lang w:val="pl-PL"/>
        </w:rPr>
        <w:t>w sposób oczywisty nieuzasadnioną</w:t>
      </w:r>
      <w:r w:rsidRPr="003E11E7">
        <w:rPr>
          <w:sz w:val="20"/>
          <w:lang w:val="pl-PL"/>
        </w:rPr>
        <w:t xml:space="preserve"> (</w:t>
      </w:r>
      <w:hyperlink r:id="rId44">
        <w:r w:rsidR="00D31054" w:rsidRPr="003E11E7">
          <w:rPr>
            <w:i/>
            <w:color w:val="0072BC"/>
            <w:sz w:val="20"/>
            <w:lang w:val="pl-PL"/>
          </w:rPr>
          <w:t>ibid.</w:t>
        </w:r>
      </w:hyperlink>
      <w:r w:rsidRPr="003E11E7">
        <w:rPr>
          <w:sz w:val="20"/>
          <w:lang w:val="pl-PL"/>
        </w:rPr>
        <w:t>, §§ 49-52).</w:t>
      </w:r>
    </w:p>
    <w:p w14:paraId="2BBFCEF9" w14:textId="77777777" w:rsidR="00D31054" w:rsidRPr="003E11E7" w:rsidRDefault="00D31054">
      <w:pPr>
        <w:pStyle w:val="Tekstpodstawowy"/>
        <w:spacing w:before="11"/>
        <w:ind w:left="0"/>
        <w:rPr>
          <w:lang w:val="pl-PL"/>
        </w:rPr>
      </w:pPr>
    </w:p>
    <w:p w14:paraId="78740071" w14:textId="77777777" w:rsidR="00D31054" w:rsidRDefault="00000000">
      <w:pPr>
        <w:pStyle w:val="Nagwek2"/>
        <w:spacing w:before="1"/>
        <w:jc w:val="both"/>
      </w:pPr>
      <w:r>
        <w:rPr>
          <w:noProof/>
        </w:rPr>
        <mc:AlternateContent>
          <mc:Choice Requires="wps">
            <w:drawing>
              <wp:anchor distT="0" distB="0" distL="0" distR="0" simplePos="0" relativeHeight="251670528" behindDoc="1" locked="0" layoutInCell="1" allowOverlap="1" wp14:anchorId="3CF2472A" wp14:editId="35A0DE91">
                <wp:simplePos x="0" y="0"/>
                <wp:positionH relativeFrom="page">
                  <wp:posOffset>895985</wp:posOffset>
                </wp:positionH>
                <wp:positionV relativeFrom="paragraph">
                  <wp:posOffset>239863</wp:posOffset>
                </wp:positionV>
                <wp:extent cx="5768975"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5768975" cy="1270"/>
                        </a:xfrm>
                        <a:custGeom>
                          <a:avLst/>
                          <a:gdLst/>
                          <a:ahLst/>
                          <a:cxnLst/>
                          <a:rect l="l" t="t" r="r" b="b"/>
                          <a:pathLst>
                            <a:path w="5768975">
                              <a:moveTo>
                                <a:pt x="0" y="0"/>
                              </a:moveTo>
                              <a:lnTo>
                                <a:pt x="5768974" y="0"/>
                              </a:lnTo>
                            </a:path>
                          </a:pathLst>
                        </a:custGeom>
                        <a:ln w="19050">
                          <a:solidFill>
                            <a:srgbClr val="949494"/>
                          </a:solidFill>
                          <a:prstDash val="solid"/>
                        </a:ln>
                      </wps:spPr>
                      <wps:bodyPr wrap="square" lIns="0" tIns="0" rIns="0" bIns="0" rtlCol="0">
                        <a:prstTxWarp prst="textNoShape">
                          <a:avLst/>
                        </a:prstTxWarp>
                      </wps:bodyPr>
                    </wps:wsp>
                  </a:graphicData>
                </a:graphic>
              </wp:anchor>
            </w:drawing>
          </mc:Choice>
          <mc:Fallback>
            <w:pict>
              <v:shape w14:anchorId="44D9AFC7" id="Graphic 13" o:spid="_x0000_s1026" style="position:absolute;margin-left:70.55pt;margin-top:18.9pt;width:454.25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5768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" path="m,l5768974,e" filled="f" strokecolor="#949494" strokeweight="1.5pt">
                <v:path arrowok="t"/>
                <w10:wrap type="topAndBottom" anchorx="page"/>
              </v:shape>
            </w:pict>
          </mc:Fallback>
        </mc:AlternateContent>
      </w:r>
      <w:proofErr w:type="spellStart"/>
      <w:r>
        <w:rPr>
          <w:color w:val="2F2F2F"/>
          <w:sz w:val="26"/>
        </w:rPr>
        <w:t>Godne</w:t>
      </w:r>
      <w:proofErr w:type="spellEnd"/>
      <w:r>
        <w:rPr>
          <w:color w:val="2F2F2F"/>
          <w:sz w:val="26"/>
        </w:rPr>
        <w:t xml:space="preserve"> </w:t>
      </w:r>
      <w:proofErr w:type="spellStart"/>
      <w:r>
        <w:rPr>
          <w:color w:val="2F2F2F"/>
          <w:sz w:val="26"/>
        </w:rPr>
        <w:t>uwagi</w:t>
      </w:r>
      <w:proofErr w:type="spellEnd"/>
      <w:r>
        <w:rPr>
          <w:color w:val="2F2F2F"/>
          <w:sz w:val="26"/>
        </w:rPr>
        <w:t xml:space="preserve"> </w:t>
      </w:r>
      <w:proofErr w:type="spellStart"/>
      <w:r>
        <w:rPr>
          <w:color w:val="2F2F2F"/>
          <w:spacing w:val="-2"/>
          <w:sz w:val="26"/>
        </w:rPr>
        <w:t>przykłady</w:t>
      </w:r>
      <w:proofErr w:type="spellEnd"/>
    </w:p>
    <w:p w14:paraId="1541F507" w14:textId="77777777" w:rsidR="00D31054" w:rsidRDefault="00000000">
      <w:pPr>
        <w:pStyle w:val="Nagwek3"/>
        <w:spacing w:before="284"/>
      </w:pPr>
      <w:r>
        <w:rPr>
          <w:color w:val="2F2F2F"/>
          <w:spacing w:val="-2"/>
          <w:w w:val="95"/>
          <w:sz w:val="26"/>
        </w:rPr>
        <w:t>Restytucja:</w:t>
      </w:r>
    </w:p>
    <w:p w14:paraId="1E61B854" w14:textId="5424EA82" w:rsidR="00D31054" w:rsidRPr="003E11E7" w:rsidRDefault="00D31054">
      <w:pPr>
        <w:pStyle w:val="Akapitzlist"/>
        <w:numPr>
          <w:ilvl w:val="0"/>
          <w:numId w:val="2"/>
        </w:numPr>
        <w:tabs>
          <w:tab w:val="left" w:pos="1583"/>
        </w:tabs>
        <w:spacing w:before="116" w:line="184" w:lineRule="auto"/>
        <w:ind w:right="731"/>
        <w:rPr>
          <w:lang w:val="pl-PL"/>
        </w:rPr>
      </w:pPr>
      <w:hyperlink r:id="rId45">
        <w:proofErr w:type="spellStart"/>
        <w:r w:rsidRPr="003E11E7">
          <w:rPr>
            <w:i/>
            <w:color w:val="0072BC"/>
            <w:sz w:val="20"/>
            <w:lang w:val="pl-PL"/>
          </w:rPr>
          <w:t>Velikovi</w:t>
        </w:r>
        <w:proofErr w:type="spellEnd"/>
        <w:r w:rsidRPr="003E11E7">
          <w:rPr>
            <w:i/>
            <w:color w:val="0072BC"/>
            <w:sz w:val="20"/>
            <w:lang w:val="pl-PL"/>
          </w:rPr>
          <w:t xml:space="preserve"> </w:t>
        </w:r>
        <w:r w:rsidR="00B51B28" w:rsidRPr="003E11E7">
          <w:rPr>
            <w:i/>
            <w:color w:val="0072BC"/>
            <w:sz w:val="20"/>
            <w:lang w:val="pl-PL"/>
          </w:rPr>
          <w:t>i Inni</w:t>
        </w:r>
        <w:r w:rsidRPr="003E11E7">
          <w:rPr>
            <w:i/>
            <w:color w:val="0072BC"/>
            <w:sz w:val="20"/>
            <w:lang w:val="pl-PL"/>
          </w:rPr>
          <w:t xml:space="preserve"> przeciwko Bułgarii</w:t>
        </w:r>
      </w:hyperlink>
      <w:r w:rsidRPr="003E11E7">
        <w:rPr>
          <w:sz w:val="20"/>
          <w:lang w:val="pl-PL"/>
        </w:rPr>
        <w:t>, 2007</w:t>
      </w:r>
      <w:r w:rsidR="008E1131" w:rsidRPr="003E11E7">
        <w:rPr>
          <w:sz w:val="20"/>
          <w:lang w:val="pl-PL"/>
        </w:rPr>
        <w:t xml:space="preserve"> </w:t>
      </w:r>
      <w:r w:rsidR="008B2700" w:rsidRPr="003E11E7">
        <w:rPr>
          <w:sz w:val="20"/>
          <w:lang w:val="pl-PL"/>
        </w:rPr>
        <w:t>r. −</w:t>
      </w:r>
      <w:r w:rsidRPr="003E11E7">
        <w:rPr>
          <w:sz w:val="20"/>
          <w:lang w:val="pl-PL"/>
        </w:rPr>
        <w:t xml:space="preserve"> pozbawienie własności na podstawie przepisów mających na celu zrekompensowanie ofiarom arbitralnych wywłaszczeń w okresie reżimu komunistycznego.</w:t>
      </w:r>
    </w:p>
    <w:p w14:paraId="25E93D7E" w14:textId="04395415" w:rsidR="00D31054" w:rsidRPr="003E11E7" w:rsidRDefault="00000000">
      <w:pPr>
        <w:pStyle w:val="Tekstpodstawowy"/>
        <w:spacing w:before="14"/>
        <w:rPr>
          <w:lang w:val="pl-PL"/>
        </w:rPr>
      </w:pPr>
      <w:r w:rsidRPr="003E11E7">
        <w:rPr>
          <w:sz w:val="20"/>
          <w:lang w:val="pl-PL"/>
        </w:rPr>
        <w:t>Ustawodawstwo restytucyjne pozwalające na wywłaszczenie nabywców</w:t>
      </w:r>
      <w:r w:rsidR="008B2700" w:rsidRPr="003E11E7">
        <w:rPr>
          <w:sz w:val="20"/>
          <w:lang w:val="pl-PL"/>
        </w:rPr>
        <w:t xml:space="preserve"> bona </w:t>
      </w:r>
      <w:proofErr w:type="spellStart"/>
      <w:r w:rsidR="008B2700" w:rsidRPr="003E11E7">
        <w:rPr>
          <w:sz w:val="20"/>
          <w:lang w:val="pl-PL"/>
        </w:rPr>
        <w:t>fide</w:t>
      </w:r>
      <w:proofErr w:type="spellEnd"/>
      <w:r w:rsidRPr="003E11E7">
        <w:rPr>
          <w:sz w:val="20"/>
          <w:lang w:val="pl-PL"/>
        </w:rPr>
        <w:t xml:space="preserve"> znacjonalizowanych wcześniej nieruchomości bez odpowiedniego odszkodowania;</w:t>
      </w:r>
    </w:p>
    <w:p w14:paraId="7FE8CF7B" w14:textId="56A62546" w:rsidR="00D31054" w:rsidRPr="003E11E7" w:rsidRDefault="00D31054">
      <w:pPr>
        <w:pStyle w:val="Akapitzlist"/>
        <w:numPr>
          <w:ilvl w:val="0"/>
          <w:numId w:val="2"/>
        </w:numPr>
        <w:tabs>
          <w:tab w:val="left" w:pos="1583"/>
        </w:tabs>
        <w:spacing w:line="184" w:lineRule="auto"/>
        <w:ind w:right="730"/>
        <w:rPr>
          <w:lang w:val="pl-PL"/>
        </w:rPr>
      </w:pPr>
      <w:hyperlink r:id="rId46">
        <w:proofErr w:type="spellStart"/>
        <w:r w:rsidRPr="003E11E7">
          <w:rPr>
            <w:i/>
            <w:color w:val="0072BC"/>
            <w:sz w:val="20"/>
            <w:lang w:val="pl-PL"/>
          </w:rPr>
          <w:t>Dzirnis</w:t>
        </w:r>
        <w:proofErr w:type="spellEnd"/>
        <w:r w:rsidRPr="003E11E7">
          <w:rPr>
            <w:i/>
            <w:color w:val="0072BC"/>
            <w:sz w:val="20"/>
            <w:lang w:val="pl-PL"/>
          </w:rPr>
          <w:t xml:space="preserve"> przeciwko Łotwie</w:t>
        </w:r>
      </w:hyperlink>
      <w:r w:rsidRPr="003E11E7">
        <w:rPr>
          <w:sz w:val="20"/>
          <w:lang w:val="pl-PL"/>
        </w:rPr>
        <w:t>, 2017</w:t>
      </w:r>
      <w:r w:rsidR="008E1131" w:rsidRPr="003E11E7">
        <w:rPr>
          <w:sz w:val="20"/>
          <w:lang w:val="pl-PL"/>
        </w:rPr>
        <w:t xml:space="preserve"> </w:t>
      </w:r>
      <w:r w:rsidR="00265AF8" w:rsidRPr="003E11E7">
        <w:rPr>
          <w:sz w:val="20"/>
          <w:lang w:val="pl-PL"/>
        </w:rPr>
        <w:t>r. −</w:t>
      </w:r>
      <w:r w:rsidRPr="003E11E7">
        <w:rPr>
          <w:sz w:val="20"/>
          <w:lang w:val="pl-PL"/>
        </w:rPr>
        <w:t xml:space="preserve"> unieważnienie tytułu własności skarżącego do nieruchomości nabytej w dobrej wierze, ale, jak później ustalono, z naruszeniem prawa restytucyjnego, bez rekompensaty</w:t>
      </w:r>
      <w:r w:rsidR="00265AF8" w:rsidRPr="003E11E7">
        <w:rPr>
          <w:lang w:val="pl-PL"/>
        </w:rPr>
        <w:t xml:space="preserve"> </w:t>
      </w:r>
      <w:r w:rsidR="00265AF8" w:rsidRPr="003E11E7">
        <w:rPr>
          <w:sz w:val="20"/>
          <w:lang w:val="pl-PL"/>
        </w:rPr>
        <w:t>za stratę, którą poniósł; oraz</w:t>
      </w:r>
    </w:p>
    <w:p w14:paraId="5D0A4FFA" w14:textId="08452A39" w:rsidR="00D31054" w:rsidRPr="003E11E7" w:rsidRDefault="00D31054" w:rsidP="00265AF8">
      <w:pPr>
        <w:pStyle w:val="Akapitzlist"/>
        <w:numPr>
          <w:ilvl w:val="0"/>
          <w:numId w:val="2"/>
        </w:numPr>
        <w:tabs>
          <w:tab w:val="left" w:pos="1583"/>
        </w:tabs>
        <w:spacing w:line="184" w:lineRule="auto"/>
        <w:ind w:right="729"/>
        <w:jc w:val="both"/>
        <w:rPr>
          <w:lang w:val="pl-PL"/>
        </w:rPr>
      </w:pPr>
      <w:hyperlink r:id="rId47">
        <w:proofErr w:type="spellStart"/>
        <w:r w:rsidRPr="003E11E7">
          <w:rPr>
            <w:i/>
            <w:color w:val="0072BC"/>
            <w:sz w:val="20"/>
            <w:lang w:val="pl-PL"/>
          </w:rPr>
          <w:t>Beinarovič</w:t>
        </w:r>
        <w:proofErr w:type="spellEnd"/>
        <w:r w:rsidRPr="003E11E7">
          <w:rPr>
            <w:i/>
            <w:color w:val="0072BC"/>
            <w:sz w:val="20"/>
            <w:lang w:val="pl-PL"/>
          </w:rPr>
          <w:t xml:space="preserve"> i </w:t>
        </w:r>
        <w:r w:rsidR="00265AF8" w:rsidRPr="003E11E7">
          <w:rPr>
            <w:i/>
            <w:color w:val="0072BC"/>
            <w:sz w:val="20"/>
            <w:lang w:val="pl-PL"/>
          </w:rPr>
          <w:t>I</w:t>
        </w:r>
        <w:r w:rsidRPr="003E11E7">
          <w:rPr>
            <w:i/>
            <w:color w:val="0072BC"/>
            <w:sz w:val="20"/>
            <w:lang w:val="pl-PL"/>
          </w:rPr>
          <w:t>nni przeciwko Litwie</w:t>
        </w:r>
      </w:hyperlink>
      <w:r w:rsidRPr="003E11E7">
        <w:rPr>
          <w:sz w:val="20"/>
          <w:lang w:val="pl-PL"/>
        </w:rPr>
        <w:t>, 2018</w:t>
      </w:r>
      <w:r w:rsidR="00265AF8" w:rsidRPr="003E11E7">
        <w:rPr>
          <w:sz w:val="20"/>
          <w:lang w:val="pl-PL"/>
        </w:rPr>
        <w:t xml:space="preserve"> r. −</w:t>
      </w:r>
      <w:r w:rsidRPr="003E11E7">
        <w:rPr>
          <w:sz w:val="20"/>
          <w:lang w:val="pl-PL"/>
        </w:rPr>
        <w:t xml:space="preserve"> unieważnienie praw własności</w:t>
      </w:r>
      <w:r w:rsidR="00265AF8" w:rsidRPr="003E11E7">
        <w:rPr>
          <w:sz w:val="20"/>
          <w:lang w:val="pl-PL"/>
        </w:rPr>
        <w:t xml:space="preserve"> do działek </w:t>
      </w:r>
      <w:r w:rsidRPr="003E11E7">
        <w:rPr>
          <w:sz w:val="20"/>
          <w:lang w:val="pl-PL"/>
        </w:rPr>
        <w:t>nabytych w postępowaniu restytucyjnym na tej podstawie, że działki były pokryte lasami</w:t>
      </w:r>
      <w:r w:rsidR="00265AF8" w:rsidRPr="003E11E7">
        <w:rPr>
          <w:lang w:val="pl-PL"/>
        </w:rPr>
        <w:t xml:space="preserve"> </w:t>
      </w:r>
      <w:r w:rsidR="00265AF8" w:rsidRPr="003E11E7">
        <w:rPr>
          <w:sz w:val="20"/>
          <w:lang w:val="pl-PL"/>
        </w:rPr>
        <w:t>o znaczeniu krajowym.</w:t>
      </w:r>
    </w:p>
    <w:p w14:paraId="0E64DFD2" w14:textId="77777777" w:rsidR="00D31054" w:rsidRPr="003E11E7" w:rsidRDefault="00D31054">
      <w:pPr>
        <w:pStyle w:val="Tekstpodstawowy"/>
        <w:spacing w:before="15"/>
        <w:ind w:left="0"/>
        <w:rPr>
          <w:lang w:val="pl-PL"/>
        </w:rPr>
      </w:pPr>
    </w:p>
    <w:p w14:paraId="4EEB32CF" w14:textId="77777777" w:rsidR="00D31054" w:rsidRDefault="00000000">
      <w:pPr>
        <w:pStyle w:val="Nagwek3"/>
        <w:spacing w:before="1"/>
      </w:pPr>
      <w:proofErr w:type="spellStart"/>
      <w:r>
        <w:rPr>
          <w:color w:val="2F2F2F"/>
          <w:spacing w:val="-2"/>
          <w:w w:val="95"/>
          <w:sz w:val="26"/>
        </w:rPr>
        <w:t>Prywatyzacja</w:t>
      </w:r>
      <w:proofErr w:type="spellEnd"/>
      <w:r>
        <w:rPr>
          <w:color w:val="2F2F2F"/>
          <w:spacing w:val="-2"/>
          <w:w w:val="95"/>
          <w:sz w:val="26"/>
        </w:rPr>
        <w:t>:</w:t>
      </w:r>
    </w:p>
    <w:p w14:paraId="30091FE5" w14:textId="34699BB0" w:rsidR="00D31054" w:rsidRPr="003E11E7" w:rsidRDefault="00D31054">
      <w:pPr>
        <w:pStyle w:val="Akapitzlist"/>
        <w:numPr>
          <w:ilvl w:val="0"/>
          <w:numId w:val="2"/>
        </w:numPr>
        <w:tabs>
          <w:tab w:val="left" w:pos="1583"/>
        </w:tabs>
        <w:spacing w:before="116" w:line="184" w:lineRule="auto"/>
        <w:ind w:right="730"/>
        <w:jc w:val="both"/>
        <w:rPr>
          <w:lang w:val="pl-PL"/>
        </w:rPr>
      </w:pPr>
      <w:hyperlink r:id="rId48">
        <w:proofErr w:type="spellStart"/>
        <w:r w:rsidRPr="003E11E7">
          <w:rPr>
            <w:i/>
            <w:color w:val="0072BC"/>
            <w:sz w:val="20"/>
            <w:lang w:val="pl-PL"/>
          </w:rPr>
          <w:t>Gladysheva</w:t>
        </w:r>
        <w:proofErr w:type="spellEnd"/>
        <w:r w:rsidRPr="003E11E7">
          <w:rPr>
            <w:i/>
            <w:color w:val="0072BC"/>
            <w:sz w:val="20"/>
            <w:lang w:val="pl-PL"/>
          </w:rPr>
          <w:t xml:space="preserve"> przeciwko Rosji</w:t>
        </w:r>
      </w:hyperlink>
      <w:r w:rsidRPr="003E11E7">
        <w:rPr>
          <w:sz w:val="20"/>
          <w:lang w:val="pl-PL"/>
        </w:rPr>
        <w:t>, 2011 r.</w:t>
      </w:r>
      <w:r w:rsidR="00265AF8" w:rsidRPr="003E11E7">
        <w:rPr>
          <w:sz w:val="20"/>
          <w:lang w:val="pl-PL"/>
        </w:rPr>
        <w:t xml:space="preserve"> −</w:t>
      </w:r>
      <w:r w:rsidRPr="003E11E7">
        <w:rPr>
          <w:sz w:val="20"/>
          <w:lang w:val="pl-PL"/>
        </w:rPr>
        <w:t xml:space="preserve"> unieważnienie prawa własności mieszkania przysługującego nabywcy</w:t>
      </w:r>
      <w:r w:rsidR="00FD03AE" w:rsidRPr="003E11E7">
        <w:rPr>
          <w:i/>
          <w:sz w:val="20"/>
          <w:lang w:val="pl-PL"/>
        </w:rPr>
        <w:t xml:space="preserve"> </w:t>
      </w:r>
      <w:r w:rsidR="00265AF8" w:rsidRPr="003E11E7">
        <w:rPr>
          <w:i/>
          <w:sz w:val="20"/>
          <w:lang w:val="pl-PL"/>
        </w:rPr>
        <w:t xml:space="preserve">bona </w:t>
      </w:r>
      <w:proofErr w:type="spellStart"/>
      <w:r w:rsidR="00265AF8" w:rsidRPr="003E11E7">
        <w:rPr>
          <w:i/>
          <w:sz w:val="20"/>
          <w:lang w:val="pl-PL"/>
        </w:rPr>
        <w:t>fide</w:t>
      </w:r>
      <w:proofErr w:type="spellEnd"/>
      <w:r w:rsidR="00265AF8" w:rsidRPr="003E11E7">
        <w:rPr>
          <w:i/>
          <w:sz w:val="20"/>
          <w:lang w:val="pl-PL"/>
        </w:rPr>
        <w:t xml:space="preserve"> </w:t>
      </w:r>
      <w:r w:rsidRPr="003E11E7">
        <w:rPr>
          <w:sz w:val="20"/>
          <w:lang w:val="pl-PL"/>
        </w:rPr>
        <w:t xml:space="preserve">z powodu </w:t>
      </w:r>
      <w:r w:rsidR="00EC1D06" w:rsidRPr="003E11E7">
        <w:rPr>
          <w:sz w:val="20"/>
          <w:lang w:val="pl-PL"/>
        </w:rPr>
        <w:t>nieuczciwego</w:t>
      </w:r>
      <w:r w:rsidRPr="003E11E7">
        <w:rPr>
          <w:sz w:val="20"/>
          <w:lang w:val="pl-PL"/>
        </w:rPr>
        <w:t xml:space="preserve"> nabycia przez poprzedniego właściciela od władz państwowych;</w:t>
      </w:r>
      <w:r w:rsidR="00265AF8" w:rsidRPr="003E11E7">
        <w:rPr>
          <w:sz w:val="20"/>
          <w:lang w:val="pl-PL"/>
        </w:rPr>
        <w:t xml:space="preserve"> </w:t>
      </w:r>
    </w:p>
    <w:p w14:paraId="0AF33062" w14:textId="09E75E89" w:rsidR="00D31054" w:rsidRPr="003E11E7" w:rsidRDefault="00D31054" w:rsidP="00726485">
      <w:pPr>
        <w:pStyle w:val="Akapitzlist"/>
        <w:numPr>
          <w:ilvl w:val="0"/>
          <w:numId w:val="2"/>
        </w:numPr>
        <w:tabs>
          <w:tab w:val="left" w:pos="1583"/>
        </w:tabs>
        <w:spacing w:before="114" w:line="184" w:lineRule="auto"/>
        <w:ind w:right="729"/>
        <w:jc w:val="both"/>
        <w:rPr>
          <w:lang w:val="pl-PL"/>
        </w:rPr>
      </w:pPr>
      <w:hyperlink r:id="rId49">
        <w:proofErr w:type="spellStart"/>
        <w:r w:rsidRPr="003E11E7">
          <w:rPr>
            <w:i/>
            <w:color w:val="0072BC"/>
            <w:sz w:val="20"/>
            <w:lang w:val="pl-PL"/>
          </w:rPr>
          <w:t>Maksymenko</w:t>
        </w:r>
        <w:proofErr w:type="spellEnd"/>
        <w:r w:rsidRPr="003E11E7">
          <w:rPr>
            <w:i/>
            <w:color w:val="0072BC"/>
            <w:sz w:val="20"/>
            <w:lang w:val="pl-PL"/>
          </w:rPr>
          <w:t xml:space="preserve"> i </w:t>
        </w:r>
        <w:proofErr w:type="spellStart"/>
        <w:r w:rsidRPr="003E11E7">
          <w:rPr>
            <w:i/>
            <w:color w:val="0072BC"/>
            <w:sz w:val="20"/>
            <w:lang w:val="pl-PL"/>
          </w:rPr>
          <w:t>Gerasymenko</w:t>
        </w:r>
        <w:proofErr w:type="spellEnd"/>
        <w:r w:rsidRPr="003E11E7">
          <w:rPr>
            <w:i/>
            <w:color w:val="0072BC"/>
            <w:sz w:val="20"/>
            <w:lang w:val="pl-PL"/>
          </w:rPr>
          <w:t xml:space="preserve"> przeciwko Ukrainie</w:t>
        </w:r>
      </w:hyperlink>
      <w:r w:rsidRPr="003E11E7">
        <w:rPr>
          <w:sz w:val="20"/>
          <w:lang w:val="pl-PL"/>
        </w:rPr>
        <w:t>, 2013</w:t>
      </w:r>
      <w:r w:rsidR="00265AF8" w:rsidRPr="003E11E7">
        <w:rPr>
          <w:sz w:val="20"/>
          <w:lang w:val="pl-PL"/>
        </w:rPr>
        <w:t xml:space="preserve"> r.</w:t>
      </w:r>
      <w:r w:rsidRPr="003E11E7">
        <w:rPr>
          <w:sz w:val="20"/>
          <w:lang w:val="pl-PL"/>
        </w:rPr>
        <w:t xml:space="preserve"> </w:t>
      </w:r>
      <w:r w:rsidR="00265AF8" w:rsidRPr="003E11E7">
        <w:rPr>
          <w:sz w:val="20"/>
          <w:lang w:val="pl-PL"/>
        </w:rPr>
        <w:t xml:space="preserve">− </w:t>
      </w:r>
      <w:r w:rsidRPr="003E11E7">
        <w:rPr>
          <w:sz w:val="20"/>
          <w:lang w:val="pl-PL"/>
        </w:rPr>
        <w:t>unieważnienie dziesięć lat po odpowiednim wydarzeniu (prywatyzacja hostelu) i wszystkie późniejsze przeniesienia własności bez</w:t>
      </w:r>
      <w:r w:rsidR="00726485" w:rsidRPr="003E11E7">
        <w:rPr>
          <w:sz w:val="20"/>
          <w:lang w:val="pl-PL"/>
        </w:rPr>
        <w:t xml:space="preserve"> </w:t>
      </w:r>
      <w:r w:rsidRPr="003E11E7">
        <w:rPr>
          <w:sz w:val="20"/>
          <w:lang w:val="pl-PL"/>
        </w:rPr>
        <w:t xml:space="preserve">odszkodowania. To, że skarżący, którzy byli nabywcami </w:t>
      </w:r>
      <w:r w:rsidR="00336F62" w:rsidRPr="003E11E7">
        <w:rPr>
          <w:i/>
          <w:sz w:val="20"/>
          <w:lang w:val="pl-PL"/>
        </w:rPr>
        <w:t xml:space="preserve">bona </w:t>
      </w:r>
      <w:proofErr w:type="spellStart"/>
      <w:r w:rsidR="00336F62" w:rsidRPr="003E11E7">
        <w:rPr>
          <w:i/>
          <w:sz w:val="20"/>
          <w:lang w:val="pl-PL"/>
        </w:rPr>
        <w:t>fide</w:t>
      </w:r>
      <w:proofErr w:type="spellEnd"/>
      <w:r w:rsidR="00336F62" w:rsidRPr="003E11E7">
        <w:rPr>
          <w:i/>
          <w:sz w:val="20"/>
          <w:lang w:val="pl-PL"/>
        </w:rPr>
        <w:t>,</w:t>
      </w:r>
      <w:r w:rsidRPr="003E11E7">
        <w:rPr>
          <w:sz w:val="20"/>
          <w:lang w:val="pl-PL"/>
        </w:rPr>
        <w:t xml:space="preserve"> nie byli w stanie uzyskać odszkodowania za straty wyrządzone im przez niespójne i błędne decyzje organów państwowych, stanowiło nieproporcjonalne obciążenie;</w:t>
      </w:r>
    </w:p>
    <w:p w14:paraId="469F474B" w14:textId="67ECC01A" w:rsidR="00A124F1" w:rsidRPr="003E11E7" w:rsidRDefault="00A124F1" w:rsidP="00A124F1">
      <w:pPr>
        <w:pStyle w:val="Akapitzlist"/>
        <w:widowControl/>
        <w:numPr>
          <w:ilvl w:val="0"/>
          <w:numId w:val="2"/>
        </w:numPr>
        <w:autoSpaceDE/>
        <w:autoSpaceDN/>
        <w:spacing w:before="0" w:after="160"/>
        <w:ind w:right="708"/>
        <w:contextualSpacing/>
        <w:jc w:val="both"/>
        <w:rPr>
          <w:sz w:val="20"/>
          <w:szCs w:val="20"/>
          <w:lang w:val="pl-PL"/>
        </w:rPr>
      </w:pPr>
      <w:hyperlink r:id="rId50">
        <w:proofErr w:type="spellStart"/>
        <w:r w:rsidRPr="003E11E7">
          <w:rPr>
            <w:i/>
            <w:color w:val="0072BC"/>
            <w:sz w:val="20"/>
            <w:szCs w:val="20"/>
            <w:lang w:val="pl-PL"/>
          </w:rPr>
          <w:t>Pchelintseva</w:t>
        </w:r>
        <w:proofErr w:type="spellEnd"/>
        <w:r w:rsidRPr="003E11E7">
          <w:rPr>
            <w:i/>
            <w:color w:val="0072BC"/>
            <w:sz w:val="20"/>
            <w:szCs w:val="20"/>
            <w:lang w:val="pl-PL"/>
          </w:rPr>
          <w:t xml:space="preserve"> Inni przeciwko Rosji</w:t>
        </w:r>
      </w:hyperlink>
      <w:hyperlink r:id="rId51">
        <w:r w:rsidRPr="003E11E7">
          <w:rPr>
            <w:iCs/>
            <w:sz w:val="20"/>
            <w:szCs w:val="20"/>
            <w:lang w:val="pl-PL"/>
          </w:rPr>
          <w:t xml:space="preserve">, </w:t>
        </w:r>
        <w:r w:rsidRPr="003E11E7">
          <w:rPr>
            <w:sz w:val="20"/>
            <w:szCs w:val="20"/>
            <w:lang w:val="pl-PL"/>
          </w:rPr>
          <w:t xml:space="preserve">2016 r.; </w:t>
        </w:r>
        <w:proofErr w:type="spellStart"/>
        <w:r w:rsidRPr="003E11E7">
          <w:rPr>
            <w:i/>
            <w:color w:val="0072BC"/>
            <w:sz w:val="20"/>
            <w:szCs w:val="20"/>
            <w:lang w:val="pl-PL"/>
          </w:rPr>
          <w:t>Ponyayeva</w:t>
        </w:r>
        <w:proofErr w:type="spellEnd"/>
        <w:r w:rsidRPr="003E11E7">
          <w:rPr>
            <w:i/>
            <w:color w:val="0072BC"/>
            <w:sz w:val="20"/>
            <w:szCs w:val="20"/>
            <w:lang w:val="pl-PL"/>
          </w:rPr>
          <w:t xml:space="preserve"> i Inni przeciwko Rosji</w:t>
        </w:r>
      </w:hyperlink>
      <w:r w:rsidRPr="003E11E7">
        <w:rPr>
          <w:sz w:val="20"/>
          <w:szCs w:val="20"/>
          <w:lang w:val="pl-PL"/>
        </w:rPr>
        <w:t>, 2016 r.;</w:t>
      </w:r>
      <w:r w:rsidR="00FD03AE" w:rsidRPr="003E11E7">
        <w:rPr>
          <w:sz w:val="20"/>
          <w:szCs w:val="20"/>
          <w:lang w:val="pl-PL"/>
        </w:rPr>
        <w:t xml:space="preserve"> </w:t>
      </w:r>
      <w:r w:rsidRPr="003E11E7">
        <w:rPr>
          <w:spacing w:val="-5"/>
          <w:sz w:val="20"/>
          <w:szCs w:val="20"/>
          <w:lang w:val="pl-PL"/>
        </w:rPr>
        <w:t xml:space="preserve">oraz </w:t>
      </w:r>
      <w:hyperlink r:id="rId52">
        <w:proofErr w:type="spellStart"/>
        <w:r w:rsidRPr="003E11E7">
          <w:rPr>
            <w:i/>
            <w:color w:val="0072BC"/>
            <w:sz w:val="20"/>
            <w:szCs w:val="20"/>
            <w:lang w:val="pl-PL"/>
          </w:rPr>
          <w:t>Alentseva</w:t>
        </w:r>
        <w:proofErr w:type="spellEnd"/>
        <w:r w:rsidRPr="003E11E7">
          <w:rPr>
            <w:i/>
            <w:color w:val="0072BC"/>
            <w:sz w:val="20"/>
            <w:szCs w:val="20"/>
            <w:lang w:val="pl-PL"/>
          </w:rPr>
          <w:t xml:space="preserve"> przeciwko Rosji</w:t>
        </w:r>
      </w:hyperlink>
      <w:r w:rsidRPr="003E11E7">
        <w:rPr>
          <w:sz w:val="20"/>
          <w:szCs w:val="20"/>
          <w:lang w:val="pl-PL"/>
        </w:rPr>
        <w:t xml:space="preserve">, </w:t>
      </w:r>
      <w:r w:rsidRPr="003E11E7">
        <w:rPr>
          <w:spacing w:val="-1"/>
          <w:sz w:val="20"/>
          <w:szCs w:val="20"/>
          <w:lang w:val="pl-PL"/>
        </w:rPr>
        <w:t xml:space="preserve">2016 r. </w:t>
      </w:r>
      <w:r w:rsidRPr="003E11E7">
        <w:rPr>
          <w:sz w:val="20"/>
          <w:szCs w:val="20"/>
          <w:lang w:val="pl-PL"/>
        </w:rPr>
        <w:t>−</w:t>
      </w:r>
      <w:r w:rsidRPr="003E11E7">
        <w:rPr>
          <w:spacing w:val="-1"/>
          <w:sz w:val="20"/>
          <w:szCs w:val="20"/>
          <w:lang w:val="pl-PL"/>
        </w:rPr>
        <w:t xml:space="preserve"> </w:t>
      </w:r>
      <w:r w:rsidRPr="003E11E7">
        <w:rPr>
          <w:sz w:val="20"/>
          <w:szCs w:val="20"/>
          <w:lang w:val="pl-PL"/>
        </w:rPr>
        <w:t xml:space="preserve">działania podjęte przez władze miasta w celu odzyskania </w:t>
      </w:r>
      <w:r w:rsidRPr="003E11E7">
        <w:rPr>
          <w:spacing w:val="-5"/>
          <w:sz w:val="20"/>
          <w:szCs w:val="20"/>
          <w:lang w:val="pl-PL"/>
        </w:rPr>
        <w:t xml:space="preserve">własności </w:t>
      </w:r>
      <w:r w:rsidRPr="003E11E7">
        <w:rPr>
          <w:sz w:val="20"/>
          <w:szCs w:val="20"/>
          <w:lang w:val="pl-PL"/>
        </w:rPr>
        <w:t xml:space="preserve">nieruchomości, które zostały nabyte przez skarżących w dobrej wierze, na tej podstawie, że prywatyzacja mieszkań przez osoby trzecie była dotknięta różnymi niezgodnościami z prawem; </w:t>
      </w:r>
    </w:p>
    <w:p w14:paraId="01F7F969" w14:textId="56BBE4E0" w:rsidR="00D31054" w:rsidRPr="003E11E7" w:rsidRDefault="00D31054">
      <w:pPr>
        <w:pStyle w:val="Akapitzlist"/>
        <w:numPr>
          <w:ilvl w:val="0"/>
          <w:numId w:val="2"/>
        </w:numPr>
        <w:tabs>
          <w:tab w:val="left" w:pos="1583"/>
        </w:tabs>
        <w:spacing w:line="184" w:lineRule="auto"/>
        <w:ind w:right="729"/>
        <w:rPr>
          <w:lang w:val="pl-PL"/>
        </w:rPr>
      </w:pPr>
      <w:hyperlink r:id="rId53">
        <w:proofErr w:type="spellStart"/>
        <w:r w:rsidRPr="003E11E7">
          <w:rPr>
            <w:i/>
            <w:color w:val="0072BC"/>
            <w:sz w:val="20"/>
            <w:lang w:val="pl-PL"/>
          </w:rPr>
          <w:t>Atima</w:t>
        </w:r>
        <w:proofErr w:type="spellEnd"/>
        <w:r w:rsidRPr="003E11E7">
          <w:rPr>
            <w:i/>
            <w:color w:val="0072BC"/>
            <w:sz w:val="20"/>
            <w:lang w:val="pl-PL"/>
          </w:rPr>
          <w:t xml:space="preserve"> Limited przeciwko Ukrainie</w:t>
        </w:r>
      </w:hyperlink>
      <w:r w:rsidRPr="003E11E7">
        <w:rPr>
          <w:sz w:val="20"/>
          <w:lang w:val="pl-PL"/>
        </w:rPr>
        <w:t>, 2021</w:t>
      </w:r>
      <w:r w:rsidR="00336F62" w:rsidRPr="003E11E7">
        <w:rPr>
          <w:sz w:val="20"/>
          <w:lang w:val="pl-PL"/>
        </w:rPr>
        <w:t xml:space="preserve"> r. −</w:t>
      </w:r>
      <w:r w:rsidRPr="003E11E7">
        <w:rPr>
          <w:sz w:val="20"/>
          <w:lang w:val="pl-PL"/>
        </w:rPr>
        <w:t xml:space="preserve"> skarżąca spółka była nabywcą</w:t>
      </w:r>
      <w:r w:rsidRPr="003E11E7">
        <w:rPr>
          <w:i/>
          <w:sz w:val="20"/>
          <w:lang w:val="pl-PL"/>
        </w:rPr>
        <w:t xml:space="preserve"> </w:t>
      </w:r>
      <w:r w:rsidR="00336F62" w:rsidRPr="003E11E7">
        <w:rPr>
          <w:i/>
          <w:sz w:val="20"/>
          <w:lang w:val="pl-PL"/>
        </w:rPr>
        <w:t xml:space="preserve">bona </w:t>
      </w:r>
      <w:proofErr w:type="spellStart"/>
      <w:r w:rsidR="00336F62" w:rsidRPr="003E11E7">
        <w:rPr>
          <w:i/>
          <w:sz w:val="20"/>
          <w:lang w:val="pl-PL"/>
        </w:rPr>
        <w:t>fide</w:t>
      </w:r>
      <w:proofErr w:type="spellEnd"/>
      <w:r w:rsidRPr="003E11E7">
        <w:rPr>
          <w:i/>
          <w:sz w:val="20"/>
          <w:lang w:val="pl-PL"/>
        </w:rPr>
        <w:t xml:space="preserve"> </w:t>
      </w:r>
      <w:r w:rsidRPr="003E11E7">
        <w:rPr>
          <w:sz w:val="20"/>
          <w:lang w:val="pl-PL"/>
        </w:rPr>
        <w:t>akcji spółki, której prywatyzacja została z mocą wsteczną uznana za niezgodną z prawem</w:t>
      </w:r>
      <w:r w:rsidR="00336F62" w:rsidRPr="003E11E7">
        <w:rPr>
          <w:sz w:val="20"/>
          <w:lang w:val="pl-PL"/>
        </w:rPr>
        <w:t>;</w:t>
      </w:r>
      <w:r w:rsidR="00336F62" w:rsidRPr="003E11E7">
        <w:rPr>
          <w:lang w:val="pl-PL"/>
        </w:rPr>
        <w:t xml:space="preserve"> </w:t>
      </w:r>
      <w:r w:rsidR="00336F62" w:rsidRPr="003E11E7">
        <w:rPr>
          <w:sz w:val="20"/>
          <w:lang w:val="pl-PL"/>
        </w:rPr>
        <w:t>stanowiło ingerencję w tytuł prawny skarżącej do akcji.</w:t>
      </w:r>
    </w:p>
    <w:p w14:paraId="12C815F2" w14:textId="77777777" w:rsidR="00D31054" w:rsidRPr="003E11E7" w:rsidRDefault="00D31054">
      <w:pPr>
        <w:pStyle w:val="Tekstpodstawowy"/>
        <w:spacing w:before="16"/>
        <w:ind w:left="0"/>
        <w:rPr>
          <w:lang w:val="pl-PL"/>
        </w:rPr>
      </w:pPr>
    </w:p>
    <w:p w14:paraId="20FEB2C4" w14:textId="77777777" w:rsidR="00D31054" w:rsidRDefault="00000000">
      <w:pPr>
        <w:pStyle w:val="Nagwek3"/>
      </w:pPr>
      <w:proofErr w:type="spellStart"/>
      <w:r w:rsidRPr="00B10292">
        <w:rPr>
          <w:color w:val="2F2F2F"/>
          <w:spacing w:val="-2"/>
          <w:sz w:val="26"/>
        </w:rPr>
        <w:t>Błąd</w:t>
      </w:r>
      <w:proofErr w:type="spellEnd"/>
      <w:r w:rsidRPr="00B10292">
        <w:rPr>
          <w:color w:val="2F2F2F"/>
          <w:spacing w:val="-2"/>
          <w:sz w:val="26"/>
        </w:rPr>
        <w:t xml:space="preserve"> </w:t>
      </w:r>
      <w:proofErr w:type="spellStart"/>
      <w:r w:rsidRPr="00B10292">
        <w:rPr>
          <w:color w:val="2F2F2F"/>
          <w:w w:val="85"/>
          <w:sz w:val="26"/>
        </w:rPr>
        <w:t>administracyjny</w:t>
      </w:r>
      <w:proofErr w:type="spellEnd"/>
      <w:r>
        <w:rPr>
          <w:color w:val="2F2F2F"/>
          <w:spacing w:val="-2"/>
          <w:sz w:val="26"/>
        </w:rPr>
        <w:t>:</w:t>
      </w:r>
    </w:p>
    <w:p w14:paraId="7BA9A0E6" w14:textId="672DEF72" w:rsidR="00D31054" w:rsidRPr="003E11E7" w:rsidRDefault="00D31054" w:rsidP="00336F62">
      <w:pPr>
        <w:pStyle w:val="Akapitzlist"/>
        <w:numPr>
          <w:ilvl w:val="0"/>
          <w:numId w:val="2"/>
        </w:numPr>
        <w:tabs>
          <w:tab w:val="left" w:pos="1583"/>
        </w:tabs>
        <w:spacing w:before="116" w:line="184" w:lineRule="auto"/>
        <w:ind w:right="729"/>
        <w:jc w:val="both"/>
        <w:rPr>
          <w:lang w:val="pl-PL"/>
        </w:rPr>
      </w:pPr>
      <w:hyperlink r:id="rId54">
        <w:proofErr w:type="spellStart"/>
        <w:r w:rsidRPr="003E11E7">
          <w:rPr>
            <w:i/>
            <w:color w:val="0072BC"/>
            <w:sz w:val="20"/>
            <w:lang w:val="pl-PL"/>
          </w:rPr>
          <w:t>Pyrantienė</w:t>
        </w:r>
        <w:proofErr w:type="spellEnd"/>
        <w:r w:rsidRPr="003E11E7">
          <w:rPr>
            <w:i/>
            <w:color w:val="0072BC"/>
            <w:sz w:val="20"/>
            <w:lang w:val="pl-PL"/>
          </w:rPr>
          <w:t xml:space="preserve"> przeciwko Litwie</w:t>
        </w:r>
      </w:hyperlink>
      <w:r w:rsidRPr="003E11E7">
        <w:rPr>
          <w:sz w:val="20"/>
          <w:lang w:val="pl-PL"/>
        </w:rPr>
        <w:t xml:space="preserve">, 2013 </w:t>
      </w:r>
      <w:r w:rsidRPr="003E11E7">
        <w:rPr>
          <w:spacing w:val="-1"/>
          <w:sz w:val="20"/>
          <w:lang w:val="pl-PL"/>
        </w:rPr>
        <w:t>r</w:t>
      </w:r>
      <w:r w:rsidRPr="003E11E7">
        <w:rPr>
          <w:sz w:val="20"/>
          <w:lang w:val="pl-PL"/>
        </w:rPr>
        <w:t xml:space="preserve">. </w:t>
      </w:r>
      <w:r w:rsidR="00336F62" w:rsidRPr="003E11E7">
        <w:rPr>
          <w:sz w:val="20"/>
          <w:lang w:val="pl-PL"/>
        </w:rPr>
        <w:t xml:space="preserve">− </w:t>
      </w:r>
      <w:r w:rsidRPr="003E11E7">
        <w:rPr>
          <w:sz w:val="20"/>
          <w:lang w:val="pl-PL"/>
        </w:rPr>
        <w:t>poziom odszkodowania, jakie skarżąca otrzymała, gdy władze przejęły działkę, której była właścicielką w dobrej wierze. Sprzedaż ziemi</w:t>
      </w:r>
      <w:r w:rsidR="00336F62" w:rsidRPr="003E11E7">
        <w:rPr>
          <w:sz w:val="20"/>
          <w:lang w:val="pl-PL"/>
        </w:rPr>
        <w:t xml:space="preserve"> </w:t>
      </w:r>
      <w:r w:rsidRPr="003E11E7">
        <w:rPr>
          <w:sz w:val="20"/>
          <w:lang w:val="pl-PL"/>
        </w:rPr>
        <w:t xml:space="preserve">została unieważniona, ponieważ stwierdzono, że państwo nie miało prawa do sprzedaży nieruchomości, a sądy nie wzięły pod uwagę wartości rynkowej działki w 2005 r., ale zamiast tego oparły się na jej wartości nominalnej w 1996 </w:t>
      </w:r>
      <w:r w:rsidR="00FD03AE" w:rsidRPr="003E11E7">
        <w:rPr>
          <w:sz w:val="20"/>
          <w:lang w:val="pl-PL"/>
        </w:rPr>
        <w:t>r.</w:t>
      </w:r>
    </w:p>
    <w:p w14:paraId="358E9CEE" w14:textId="15EAA9BD" w:rsidR="00D31054" w:rsidRPr="003E11E7" w:rsidRDefault="00D31054">
      <w:pPr>
        <w:pStyle w:val="Akapitzlist"/>
        <w:numPr>
          <w:ilvl w:val="0"/>
          <w:numId w:val="2"/>
        </w:numPr>
        <w:tabs>
          <w:tab w:val="left" w:pos="1583"/>
        </w:tabs>
        <w:spacing w:line="184" w:lineRule="auto"/>
        <w:ind w:right="730"/>
        <w:jc w:val="both"/>
        <w:rPr>
          <w:lang w:val="pl-PL"/>
        </w:rPr>
      </w:pPr>
      <w:hyperlink r:id="rId55">
        <w:proofErr w:type="spellStart"/>
        <w:r w:rsidRPr="003E11E7">
          <w:rPr>
            <w:i/>
            <w:color w:val="0072BC"/>
            <w:sz w:val="20"/>
            <w:lang w:val="pl-PL"/>
          </w:rPr>
          <w:t>Vukušić</w:t>
        </w:r>
        <w:proofErr w:type="spellEnd"/>
        <w:r w:rsidRPr="003E11E7">
          <w:rPr>
            <w:i/>
            <w:color w:val="0072BC"/>
            <w:sz w:val="20"/>
            <w:lang w:val="pl-PL"/>
          </w:rPr>
          <w:t xml:space="preserve"> przeciwko Chorwacji</w:t>
        </w:r>
      </w:hyperlink>
      <w:r w:rsidRPr="003E11E7">
        <w:rPr>
          <w:sz w:val="20"/>
          <w:lang w:val="pl-PL"/>
        </w:rPr>
        <w:t>, 2016</w:t>
      </w:r>
      <w:r w:rsidR="00336F62" w:rsidRPr="003E11E7">
        <w:rPr>
          <w:sz w:val="20"/>
          <w:lang w:val="pl-PL"/>
        </w:rPr>
        <w:t xml:space="preserve"> r. −</w:t>
      </w:r>
      <w:r w:rsidRPr="003E11E7">
        <w:rPr>
          <w:sz w:val="20"/>
          <w:lang w:val="pl-PL"/>
        </w:rPr>
        <w:t xml:space="preserve"> unieważnienie tytułu prawnego do mieszkania skarżącego, sytuacja rzekomo stworzona przez władze, w której dwie rodziny miały sprzeczne tytuły prawne do tego samego mieszkania;</w:t>
      </w:r>
    </w:p>
    <w:p w14:paraId="3B27163A" w14:textId="73DA1288" w:rsidR="00D31054" w:rsidRPr="003E11E7" w:rsidRDefault="00D31054">
      <w:pPr>
        <w:pStyle w:val="Akapitzlist"/>
        <w:numPr>
          <w:ilvl w:val="0"/>
          <w:numId w:val="2"/>
        </w:numPr>
        <w:tabs>
          <w:tab w:val="left" w:pos="1583"/>
        </w:tabs>
        <w:spacing w:before="114" w:line="184" w:lineRule="auto"/>
        <w:ind w:right="731"/>
        <w:jc w:val="both"/>
        <w:rPr>
          <w:lang w:val="pl-PL"/>
        </w:rPr>
      </w:pPr>
      <w:hyperlink r:id="rId56">
        <w:proofErr w:type="spellStart"/>
        <w:r w:rsidRPr="003E11E7">
          <w:rPr>
            <w:i/>
            <w:color w:val="0072BC"/>
            <w:sz w:val="20"/>
            <w:lang w:val="pl-PL"/>
          </w:rPr>
          <w:t>Kurban</w:t>
        </w:r>
        <w:proofErr w:type="spellEnd"/>
        <w:r w:rsidRPr="003E11E7">
          <w:rPr>
            <w:i/>
            <w:color w:val="0072BC"/>
            <w:sz w:val="20"/>
            <w:lang w:val="pl-PL"/>
          </w:rPr>
          <w:t xml:space="preserve"> przeciwko Turcji</w:t>
        </w:r>
      </w:hyperlink>
      <w:r w:rsidRPr="003E11E7">
        <w:rPr>
          <w:sz w:val="20"/>
          <w:lang w:val="pl-PL"/>
        </w:rPr>
        <w:t>, 2020</w:t>
      </w:r>
      <w:r w:rsidR="00336F62" w:rsidRPr="003E11E7">
        <w:rPr>
          <w:sz w:val="20"/>
          <w:lang w:val="pl-PL"/>
        </w:rPr>
        <w:t xml:space="preserve"> r.</w:t>
      </w:r>
      <w:r w:rsidRPr="003E11E7">
        <w:rPr>
          <w:sz w:val="20"/>
          <w:lang w:val="pl-PL"/>
        </w:rPr>
        <w:t xml:space="preserve"> </w:t>
      </w:r>
      <w:r w:rsidR="00336F62" w:rsidRPr="003E11E7">
        <w:rPr>
          <w:sz w:val="20"/>
          <w:lang w:val="pl-PL"/>
        </w:rPr>
        <w:t xml:space="preserve">− </w:t>
      </w:r>
      <w:r w:rsidRPr="003E11E7">
        <w:rPr>
          <w:sz w:val="20"/>
          <w:lang w:val="pl-PL"/>
        </w:rPr>
        <w:t>unieważnienie umowy w sprawie zamówienia publicznego, którą skarżąca zawarła w dobrej wierze</w:t>
      </w:r>
      <w:r w:rsidRPr="003E11E7">
        <w:rPr>
          <w:spacing w:val="-2"/>
          <w:sz w:val="20"/>
          <w:lang w:val="pl-PL"/>
        </w:rPr>
        <w:t>;</w:t>
      </w:r>
    </w:p>
    <w:p w14:paraId="52590140" w14:textId="77777777" w:rsidR="006B1A14" w:rsidRPr="003E11E7" w:rsidRDefault="006B1A14" w:rsidP="006B1A14">
      <w:pPr>
        <w:tabs>
          <w:tab w:val="left" w:pos="1583"/>
        </w:tabs>
        <w:spacing w:before="114" w:line="184" w:lineRule="auto"/>
        <w:ind w:left="1299" w:right="731"/>
        <w:jc w:val="both"/>
        <w:rPr>
          <w:lang w:val="pl-PL"/>
        </w:rPr>
      </w:pPr>
    </w:p>
    <w:p w14:paraId="658C78A6" w14:textId="77777777" w:rsidR="00D31054" w:rsidRPr="003E11E7" w:rsidRDefault="00D31054">
      <w:pPr>
        <w:pStyle w:val="Akapitzlist"/>
        <w:spacing w:line="184" w:lineRule="auto"/>
        <w:jc w:val="both"/>
        <w:rPr>
          <w:lang w:val="pl-PL"/>
        </w:rPr>
        <w:sectPr w:rsidR="00D31054" w:rsidRPr="003E11E7">
          <w:pgSz w:w="11910" w:h="16840"/>
          <w:pgMar w:top="1100" w:right="708" w:bottom="920" w:left="708" w:header="723" w:footer="726" w:gutter="0"/>
          <w:cols w:space="708"/>
        </w:sectPr>
      </w:pPr>
    </w:p>
    <w:p w14:paraId="58FD6061" w14:textId="77777777" w:rsidR="00D31054" w:rsidRPr="003E11E7" w:rsidRDefault="00D31054">
      <w:pPr>
        <w:pStyle w:val="Tekstpodstawowy"/>
        <w:spacing w:before="186"/>
        <w:ind w:left="0"/>
        <w:rPr>
          <w:lang w:val="pl-PL"/>
        </w:rPr>
      </w:pPr>
    </w:p>
    <w:p w14:paraId="153CF427" w14:textId="6A4066CE" w:rsidR="00D31054" w:rsidRPr="003E11E7" w:rsidRDefault="00D31054" w:rsidP="00240EAA">
      <w:pPr>
        <w:pStyle w:val="Akapitzlist"/>
        <w:numPr>
          <w:ilvl w:val="0"/>
          <w:numId w:val="2"/>
        </w:numPr>
        <w:tabs>
          <w:tab w:val="left" w:pos="1583"/>
        </w:tabs>
        <w:spacing w:before="0" w:line="184" w:lineRule="auto"/>
        <w:ind w:right="729"/>
        <w:jc w:val="both"/>
        <w:rPr>
          <w:lang w:val="pl-PL"/>
        </w:rPr>
      </w:pPr>
      <w:hyperlink r:id="rId57">
        <w:proofErr w:type="spellStart"/>
        <w:r w:rsidRPr="003E11E7">
          <w:rPr>
            <w:i/>
            <w:color w:val="0072BC"/>
            <w:sz w:val="20"/>
            <w:lang w:val="pl-PL"/>
          </w:rPr>
          <w:t>Muharrem</w:t>
        </w:r>
        <w:proofErr w:type="spellEnd"/>
        <w:r w:rsidRPr="003E11E7">
          <w:rPr>
            <w:i/>
            <w:color w:val="0072BC"/>
            <w:sz w:val="20"/>
            <w:lang w:val="pl-PL"/>
          </w:rPr>
          <w:t xml:space="preserve"> </w:t>
        </w:r>
        <w:proofErr w:type="spellStart"/>
        <w:r w:rsidRPr="003E11E7">
          <w:rPr>
            <w:i/>
            <w:color w:val="0072BC"/>
            <w:sz w:val="20"/>
            <w:lang w:val="pl-PL"/>
          </w:rPr>
          <w:t>Güneş</w:t>
        </w:r>
        <w:proofErr w:type="spellEnd"/>
        <w:r w:rsidRPr="003E11E7">
          <w:rPr>
            <w:i/>
            <w:color w:val="0072BC"/>
            <w:sz w:val="20"/>
            <w:lang w:val="pl-PL"/>
          </w:rPr>
          <w:t xml:space="preserve"> i </w:t>
        </w:r>
        <w:r w:rsidR="00336F62" w:rsidRPr="003E11E7">
          <w:rPr>
            <w:i/>
            <w:color w:val="0072BC"/>
            <w:sz w:val="20"/>
            <w:lang w:val="pl-PL"/>
          </w:rPr>
          <w:t>I</w:t>
        </w:r>
        <w:r w:rsidRPr="003E11E7">
          <w:rPr>
            <w:i/>
            <w:color w:val="0072BC"/>
            <w:sz w:val="20"/>
            <w:lang w:val="pl-PL"/>
          </w:rPr>
          <w:t>nni przeciwko Turcji</w:t>
        </w:r>
      </w:hyperlink>
      <w:r w:rsidRPr="003E11E7">
        <w:rPr>
          <w:sz w:val="20"/>
          <w:lang w:val="pl-PL"/>
        </w:rPr>
        <w:t>, 2020</w:t>
      </w:r>
      <w:r w:rsidR="00336F62" w:rsidRPr="003E11E7">
        <w:rPr>
          <w:sz w:val="20"/>
          <w:lang w:val="pl-PL"/>
        </w:rPr>
        <w:t xml:space="preserve"> r. −</w:t>
      </w:r>
      <w:r w:rsidRPr="003E11E7">
        <w:rPr>
          <w:sz w:val="20"/>
          <w:lang w:val="pl-PL"/>
        </w:rPr>
        <w:t xml:space="preserve"> odrzucenie roszczeń </w:t>
      </w:r>
      <w:r w:rsidR="00240EAA" w:rsidRPr="003E11E7">
        <w:rPr>
          <w:sz w:val="20"/>
          <w:lang w:val="pl-PL"/>
        </w:rPr>
        <w:t xml:space="preserve">o </w:t>
      </w:r>
      <w:r w:rsidRPr="003E11E7">
        <w:rPr>
          <w:sz w:val="20"/>
          <w:lang w:val="pl-PL"/>
        </w:rPr>
        <w:t>własności nieruchomości zarejestrowanych jako własność Skarbu Państwa podczas prac związanych z rejestrem gruntów w obecności tytułu prawnego</w:t>
      </w:r>
      <w:r w:rsidR="00240EAA" w:rsidRPr="003E11E7">
        <w:rPr>
          <w:sz w:val="20"/>
          <w:lang w:val="pl-PL"/>
        </w:rPr>
        <w:t xml:space="preserve"> </w:t>
      </w:r>
      <w:r w:rsidRPr="003E11E7">
        <w:rPr>
          <w:sz w:val="20"/>
          <w:lang w:val="pl-PL"/>
        </w:rPr>
        <w:t xml:space="preserve">wcześniej przyznane powodom </w:t>
      </w:r>
      <w:r w:rsidRPr="003E11E7">
        <w:rPr>
          <w:i/>
          <w:sz w:val="20"/>
          <w:lang w:val="pl-PL"/>
        </w:rPr>
        <w:t xml:space="preserve">działającym w </w:t>
      </w:r>
      <w:r w:rsidR="00240EAA" w:rsidRPr="003E11E7">
        <w:rPr>
          <w:i/>
          <w:sz w:val="20"/>
          <w:lang w:val="pl-PL"/>
        </w:rPr>
        <w:t xml:space="preserve">bona </w:t>
      </w:r>
      <w:proofErr w:type="spellStart"/>
      <w:r w:rsidR="00240EAA" w:rsidRPr="003E11E7">
        <w:rPr>
          <w:i/>
          <w:sz w:val="20"/>
          <w:lang w:val="pl-PL"/>
        </w:rPr>
        <w:t>fide</w:t>
      </w:r>
      <w:proofErr w:type="spellEnd"/>
      <w:r w:rsidRPr="003E11E7">
        <w:rPr>
          <w:i/>
          <w:sz w:val="20"/>
          <w:lang w:val="pl-PL"/>
        </w:rPr>
        <w:t xml:space="preserve"> </w:t>
      </w:r>
      <w:r w:rsidRPr="003E11E7">
        <w:rPr>
          <w:sz w:val="20"/>
          <w:lang w:val="pl-PL"/>
        </w:rPr>
        <w:t>na mocy decyzji sądu. Szczególnie długi okres czasu, prawie czterdzieści sześć lat, doprowadził Trybunał do stwierdzenia braku reakcji władz krajowych z wymaganą szybkością i zgodnie z zasadą dobrego zarządzania i pewności prawnej.</w:t>
      </w:r>
    </w:p>
    <w:p w14:paraId="5E6F44D9" w14:textId="273A8C4A" w:rsidR="00D31054" w:rsidRPr="003E11E7" w:rsidRDefault="00D31054">
      <w:pPr>
        <w:pStyle w:val="Akapitzlist"/>
        <w:numPr>
          <w:ilvl w:val="0"/>
          <w:numId w:val="2"/>
        </w:numPr>
        <w:tabs>
          <w:tab w:val="left" w:pos="1583"/>
        </w:tabs>
        <w:spacing w:line="184" w:lineRule="auto"/>
        <w:ind w:right="730"/>
        <w:jc w:val="both"/>
        <w:rPr>
          <w:lang w:val="pl-PL"/>
        </w:rPr>
      </w:pPr>
      <w:hyperlink r:id="rId58">
        <w:proofErr w:type="spellStart"/>
        <w:r w:rsidRPr="003E11E7">
          <w:rPr>
            <w:i/>
            <w:color w:val="0072BC"/>
            <w:sz w:val="20"/>
            <w:lang w:val="pl-PL"/>
          </w:rPr>
          <w:t>Seregin</w:t>
        </w:r>
        <w:proofErr w:type="spellEnd"/>
        <w:r w:rsidRPr="003E11E7">
          <w:rPr>
            <w:i/>
            <w:color w:val="0072BC"/>
            <w:sz w:val="20"/>
            <w:lang w:val="pl-PL"/>
          </w:rPr>
          <w:t xml:space="preserve"> i </w:t>
        </w:r>
        <w:r w:rsidR="00240EAA" w:rsidRPr="003E11E7">
          <w:rPr>
            <w:i/>
            <w:color w:val="0072BC"/>
            <w:sz w:val="20"/>
            <w:lang w:val="pl-PL"/>
          </w:rPr>
          <w:t>I</w:t>
        </w:r>
        <w:r w:rsidRPr="003E11E7">
          <w:rPr>
            <w:i/>
            <w:color w:val="0072BC"/>
            <w:sz w:val="20"/>
            <w:lang w:val="pl-PL"/>
          </w:rPr>
          <w:t>nni przeciwko Rosji</w:t>
        </w:r>
      </w:hyperlink>
      <w:r w:rsidRPr="003E11E7">
        <w:rPr>
          <w:sz w:val="20"/>
          <w:lang w:val="pl-PL"/>
        </w:rPr>
        <w:t>, 2021</w:t>
      </w:r>
      <w:r w:rsidR="00240EAA" w:rsidRPr="003E11E7">
        <w:rPr>
          <w:sz w:val="20"/>
          <w:lang w:val="pl-PL"/>
        </w:rPr>
        <w:t>r. −</w:t>
      </w:r>
      <w:r w:rsidRPr="003E11E7">
        <w:rPr>
          <w:sz w:val="20"/>
          <w:lang w:val="pl-PL"/>
        </w:rPr>
        <w:t xml:space="preserve"> tytuły własności skarżących do działek zostały unieważnione na rzecz podmiotów publicznych, które utraciły prawo własności z powodu błędów administracyjnych;</w:t>
      </w:r>
    </w:p>
    <w:p w14:paraId="3E3FD57C" w14:textId="66FA03E6" w:rsidR="00D31054" w:rsidRPr="003E11E7" w:rsidRDefault="00D31054" w:rsidP="00240EAA">
      <w:pPr>
        <w:pStyle w:val="Akapitzlist"/>
        <w:numPr>
          <w:ilvl w:val="0"/>
          <w:numId w:val="2"/>
        </w:numPr>
        <w:tabs>
          <w:tab w:val="left" w:pos="1583"/>
        </w:tabs>
        <w:spacing w:before="115" w:line="184" w:lineRule="auto"/>
        <w:ind w:right="729"/>
        <w:jc w:val="both"/>
        <w:rPr>
          <w:lang w:val="pl-PL"/>
        </w:rPr>
      </w:pPr>
      <w:hyperlink r:id="rId59">
        <w:proofErr w:type="spellStart"/>
        <w:r w:rsidRPr="003E11E7">
          <w:rPr>
            <w:i/>
            <w:color w:val="0072BC"/>
            <w:sz w:val="20"/>
            <w:lang w:val="pl-PL"/>
          </w:rPr>
          <w:t>Semenov</w:t>
        </w:r>
        <w:proofErr w:type="spellEnd"/>
        <w:r w:rsidRPr="003E11E7">
          <w:rPr>
            <w:i/>
            <w:color w:val="0072BC"/>
            <w:sz w:val="20"/>
            <w:lang w:val="pl-PL"/>
          </w:rPr>
          <w:t xml:space="preserve"> przeciwko Rosji</w:t>
        </w:r>
      </w:hyperlink>
      <w:r w:rsidRPr="003E11E7">
        <w:rPr>
          <w:sz w:val="20"/>
          <w:lang w:val="pl-PL"/>
        </w:rPr>
        <w:t>, 2021</w:t>
      </w:r>
      <w:r w:rsidR="00240EAA" w:rsidRPr="003E11E7">
        <w:rPr>
          <w:sz w:val="20"/>
          <w:lang w:val="pl-PL"/>
        </w:rPr>
        <w:t xml:space="preserve"> r. −</w:t>
      </w:r>
      <w:r w:rsidRPr="003E11E7">
        <w:rPr>
          <w:sz w:val="20"/>
          <w:lang w:val="pl-PL"/>
        </w:rPr>
        <w:t xml:space="preserve"> unieważnienie tytułu własności skarżącego do działki, którą kupił od osoby prywatnej w celu prowadzenia ogrodnictwa towarowego, oraz zwrot tej działki</w:t>
      </w:r>
      <w:r w:rsidR="003622D8" w:rsidRPr="003E11E7">
        <w:rPr>
          <w:sz w:val="20"/>
          <w:lang w:val="pl-PL"/>
        </w:rPr>
        <w:t xml:space="preserve"> na rzecz</w:t>
      </w:r>
      <w:r w:rsidR="00240EAA" w:rsidRPr="003E11E7">
        <w:rPr>
          <w:sz w:val="20"/>
          <w:lang w:val="pl-PL"/>
        </w:rPr>
        <w:t xml:space="preserve"> </w:t>
      </w:r>
      <w:r w:rsidRPr="003E11E7">
        <w:rPr>
          <w:sz w:val="20"/>
          <w:lang w:val="pl-PL"/>
        </w:rPr>
        <w:t>gmin</w:t>
      </w:r>
      <w:r w:rsidR="003622D8" w:rsidRPr="003E11E7">
        <w:rPr>
          <w:sz w:val="20"/>
          <w:lang w:val="pl-PL"/>
        </w:rPr>
        <w:t>y</w:t>
      </w:r>
      <w:r w:rsidRPr="003E11E7">
        <w:rPr>
          <w:sz w:val="20"/>
          <w:lang w:val="pl-PL"/>
        </w:rPr>
        <w:t xml:space="preserve"> Omsk, na wniosek </w:t>
      </w:r>
      <w:r w:rsidRPr="003E11E7">
        <w:rPr>
          <w:spacing w:val="-2"/>
          <w:sz w:val="20"/>
          <w:lang w:val="pl-PL"/>
        </w:rPr>
        <w:t>prokuratora;</w:t>
      </w:r>
    </w:p>
    <w:p w14:paraId="0833ACD6" w14:textId="3E2FFC5D" w:rsidR="00D31054" w:rsidRPr="003E11E7" w:rsidRDefault="00D31054" w:rsidP="003622D8">
      <w:pPr>
        <w:pStyle w:val="Akapitzlist"/>
        <w:numPr>
          <w:ilvl w:val="0"/>
          <w:numId w:val="2"/>
        </w:numPr>
        <w:tabs>
          <w:tab w:val="left" w:pos="1583"/>
        </w:tabs>
        <w:spacing w:line="184" w:lineRule="auto"/>
        <w:ind w:right="731"/>
        <w:jc w:val="both"/>
        <w:rPr>
          <w:lang w:val="pl-PL"/>
        </w:rPr>
      </w:pPr>
      <w:hyperlink r:id="rId60">
        <w:proofErr w:type="spellStart"/>
        <w:r w:rsidRPr="003E11E7">
          <w:rPr>
            <w:i/>
            <w:color w:val="0072BC"/>
            <w:sz w:val="20"/>
            <w:lang w:val="pl-PL"/>
          </w:rPr>
          <w:t>Gavrilova</w:t>
        </w:r>
        <w:proofErr w:type="spellEnd"/>
        <w:r w:rsidRPr="003E11E7">
          <w:rPr>
            <w:i/>
            <w:color w:val="0072BC"/>
            <w:sz w:val="20"/>
            <w:lang w:val="pl-PL"/>
          </w:rPr>
          <w:t xml:space="preserve"> i </w:t>
        </w:r>
        <w:r w:rsidR="003622D8" w:rsidRPr="003E11E7">
          <w:rPr>
            <w:i/>
            <w:color w:val="0072BC"/>
            <w:sz w:val="20"/>
            <w:lang w:val="pl-PL"/>
          </w:rPr>
          <w:t>I</w:t>
        </w:r>
        <w:r w:rsidRPr="003E11E7">
          <w:rPr>
            <w:i/>
            <w:color w:val="0072BC"/>
            <w:sz w:val="20"/>
            <w:lang w:val="pl-PL"/>
          </w:rPr>
          <w:t>nni przeciwko Rosji</w:t>
        </w:r>
      </w:hyperlink>
      <w:r w:rsidRPr="003E11E7">
        <w:rPr>
          <w:sz w:val="20"/>
          <w:lang w:val="pl-PL"/>
        </w:rPr>
        <w:t>, 2021</w:t>
      </w:r>
      <w:r w:rsidR="003622D8" w:rsidRPr="003E11E7">
        <w:rPr>
          <w:sz w:val="20"/>
          <w:lang w:val="pl-PL"/>
        </w:rPr>
        <w:t xml:space="preserve"> r. −</w:t>
      </w:r>
      <w:r w:rsidRPr="003E11E7">
        <w:rPr>
          <w:sz w:val="20"/>
          <w:lang w:val="pl-PL"/>
        </w:rPr>
        <w:t xml:space="preserve"> unieważnienie aktów własności skarżących do działek, które nabyli w ramach szeregu transakcji, oraz zwrot tych działek</w:t>
      </w:r>
      <w:r w:rsidR="003622D8" w:rsidRPr="003E11E7">
        <w:rPr>
          <w:sz w:val="20"/>
          <w:lang w:val="pl-PL"/>
        </w:rPr>
        <w:t xml:space="preserve"> </w:t>
      </w:r>
      <w:r w:rsidRPr="003E11E7">
        <w:rPr>
          <w:sz w:val="20"/>
          <w:lang w:val="pl-PL"/>
        </w:rPr>
        <w:t xml:space="preserve">na własność państwa ze względu na to, że były to </w:t>
      </w:r>
      <w:r w:rsidR="003622D8" w:rsidRPr="003E11E7">
        <w:rPr>
          <w:sz w:val="20"/>
          <w:lang w:val="pl-PL"/>
        </w:rPr>
        <w:t>„</w:t>
      </w:r>
      <w:r w:rsidRPr="003E11E7">
        <w:rPr>
          <w:spacing w:val="-2"/>
          <w:sz w:val="20"/>
          <w:lang w:val="pl-PL"/>
        </w:rPr>
        <w:t xml:space="preserve">zasoby </w:t>
      </w:r>
      <w:r w:rsidRPr="003E11E7">
        <w:rPr>
          <w:sz w:val="20"/>
          <w:lang w:val="pl-PL"/>
        </w:rPr>
        <w:t>leśne</w:t>
      </w:r>
      <w:r w:rsidRPr="003E11E7">
        <w:rPr>
          <w:spacing w:val="-2"/>
          <w:sz w:val="20"/>
          <w:lang w:val="pl-PL"/>
        </w:rPr>
        <w:t>".</w:t>
      </w:r>
    </w:p>
    <w:p w14:paraId="417A3348" w14:textId="77777777" w:rsidR="00D31054" w:rsidRPr="003E11E7" w:rsidRDefault="00D31054">
      <w:pPr>
        <w:pStyle w:val="Tekstpodstawowy"/>
        <w:spacing w:before="15"/>
        <w:ind w:left="0"/>
        <w:rPr>
          <w:lang w:val="pl-PL"/>
        </w:rPr>
      </w:pPr>
    </w:p>
    <w:p w14:paraId="080E2B13" w14:textId="77777777" w:rsidR="00D31054" w:rsidRDefault="00000000">
      <w:pPr>
        <w:pStyle w:val="Nagwek3"/>
      </w:pPr>
      <w:proofErr w:type="spellStart"/>
      <w:r>
        <w:rPr>
          <w:color w:val="2F2F2F"/>
          <w:spacing w:val="-2"/>
          <w:sz w:val="26"/>
        </w:rPr>
        <w:t>Dobrobyt</w:t>
      </w:r>
      <w:proofErr w:type="spellEnd"/>
      <w:r>
        <w:rPr>
          <w:color w:val="2F2F2F"/>
          <w:spacing w:val="-2"/>
          <w:sz w:val="26"/>
        </w:rPr>
        <w:t>:</w:t>
      </w:r>
    </w:p>
    <w:p w14:paraId="1C39FBFB" w14:textId="39C39FDE" w:rsidR="00D31054" w:rsidRPr="003E11E7" w:rsidRDefault="00D31054" w:rsidP="0091153D">
      <w:pPr>
        <w:pStyle w:val="Akapitzlist"/>
        <w:numPr>
          <w:ilvl w:val="0"/>
          <w:numId w:val="2"/>
        </w:numPr>
        <w:tabs>
          <w:tab w:val="left" w:pos="1583"/>
        </w:tabs>
        <w:spacing w:before="116" w:line="184" w:lineRule="auto"/>
        <w:ind w:right="729"/>
        <w:jc w:val="both"/>
        <w:rPr>
          <w:lang w:val="pl-PL"/>
        </w:rPr>
      </w:pPr>
      <w:hyperlink r:id="rId61">
        <w:r w:rsidRPr="003E11E7">
          <w:rPr>
            <w:i/>
            <w:color w:val="0072BC"/>
            <w:sz w:val="20"/>
            <w:lang w:val="pl-PL"/>
          </w:rPr>
          <w:t>Moskal przeciwko Polsce</w:t>
        </w:r>
      </w:hyperlink>
      <w:r w:rsidRPr="003E11E7">
        <w:rPr>
          <w:sz w:val="20"/>
          <w:lang w:val="pl-PL"/>
        </w:rPr>
        <w:t>, 2009</w:t>
      </w:r>
      <w:r w:rsidR="003622D8" w:rsidRPr="003E11E7">
        <w:rPr>
          <w:sz w:val="20"/>
          <w:lang w:val="pl-PL"/>
        </w:rPr>
        <w:t xml:space="preserve"> r. −</w:t>
      </w:r>
      <w:r w:rsidRPr="003E11E7">
        <w:rPr>
          <w:sz w:val="20"/>
          <w:lang w:val="pl-PL"/>
        </w:rPr>
        <w:t xml:space="preserve"> cofnięcie zasiłku opiekuńczego, który został przyznany przez pomyłkę kilka miesięcy wcześniej i stanowił jedyne źródło dochodu skarżącego.</w:t>
      </w:r>
      <w:r w:rsidR="003622D8" w:rsidRPr="003E11E7">
        <w:rPr>
          <w:sz w:val="20"/>
          <w:lang w:val="pl-PL"/>
        </w:rPr>
        <w:t xml:space="preserve"> O</w:t>
      </w:r>
      <w:r w:rsidRPr="003E11E7">
        <w:rPr>
          <w:sz w:val="20"/>
          <w:lang w:val="pl-PL"/>
        </w:rPr>
        <w:t xml:space="preserve">koliczność, że </w:t>
      </w:r>
      <w:r w:rsidR="00B51B28" w:rsidRPr="003E11E7">
        <w:rPr>
          <w:sz w:val="20"/>
          <w:lang w:val="pl-PL"/>
        </w:rPr>
        <w:t>skarżący</w:t>
      </w:r>
      <w:r w:rsidRPr="003E11E7">
        <w:rPr>
          <w:sz w:val="20"/>
          <w:lang w:val="pl-PL"/>
        </w:rPr>
        <w:t xml:space="preserve"> nie został zobowiązany do zwrotu omyłkowo wypłaconej emerytury, nie łagodziła dostatecznie skutków nagłego zaprzestania </w:t>
      </w:r>
      <w:r w:rsidRPr="003E11E7">
        <w:rPr>
          <w:spacing w:val="-2"/>
          <w:sz w:val="20"/>
          <w:lang w:val="pl-PL"/>
        </w:rPr>
        <w:t>wypłat;</w:t>
      </w:r>
    </w:p>
    <w:p w14:paraId="3532D940" w14:textId="0F3A2B80" w:rsidR="00D31054" w:rsidRPr="003E11E7" w:rsidRDefault="00D31054" w:rsidP="0091153D">
      <w:pPr>
        <w:pStyle w:val="Akapitzlist"/>
        <w:numPr>
          <w:ilvl w:val="0"/>
          <w:numId w:val="2"/>
        </w:numPr>
        <w:tabs>
          <w:tab w:val="left" w:pos="1583"/>
        </w:tabs>
        <w:spacing w:line="184" w:lineRule="auto"/>
        <w:ind w:right="728"/>
        <w:jc w:val="both"/>
        <w:rPr>
          <w:lang w:val="pl-PL"/>
        </w:rPr>
      </w:pPr>
      <w:hyperlink r:id="rId62">
        <w:proofErr w:type="spellStart"/>
        <w:r w:rsidRPr="003E11E7">
          <w:rPr>
            <w:i/>
            <w:color w:val="0072BC"/>
            <w:sz w:val="20"/>
            <w:lang w:val="pl-PL"/>
          </w:rPr>
          <w:t>Casarin</w:t>
        </w:r>
        <w:proofErr w:type="spellEnd"/>
        <w:r w:rsidRPr="003E11E7">
          <w:rPr>
            <w:i/>
            <w:color w:val="0072BC"/>
            <w:sz w:val="20"/>
            <w:lang w:val="pl-PL"/>
          </w:rPr>
          <w:t xml:space="preserve"> przeciwko Włochom</w:t>
        </w:r>
      </w:hyperlink>
      <w:r w:rsidRPr="003E11E7">
        <w:rPr>
          <w:sz w:val="20"/>
          <w:lang w:val="pl-PL"/>
        </w:rPr>
        <w:t>, 2021</w:t>
      </w:r>
      <w:r w:rsidR="003622D8" w:rsidRPr="003E11E7">
        <w:rPr>
          <w:sz w:val="20"/>
          <w:lang w:val="pl-PL"/>
        </w:rPr>
        <w:t xml:space="preserve"> r. −</w:t>
      </w:r>
      <w:r w:rsidRPr="003E11E7">
        <w:rPr>
          <w:sz w:val="20"/>
          <w:lang w:val="pl-PL"/>
        </w:rPr>
        <w:t xml:space="preserve"> nakaz zwrotu świadczeń pracownika związanych z wdrożeniem programu mobilności dla urzędników państwowych po tym, jak otrzymywał on nienależne wynagrodzenie przez sześć lat. Trybunał nie zgodził się z Rządem, że skarżąca powinna była wiedzieć, że kwoty były jej przekazywane błędnie</w:t>
      </w:r>
      <w:r w:rsidR="003622D8" w:rsidRPr="003E11E7">
        <w:rPr>
          <w:sz w:val="20"/>
          <w:lang w:val="pl-PL"/>
        </w:rPr>
        <w:t>.</w:t>
      </w:r>
    </w:p>
    <w:p w14:paraId="7AC549FB" w14:textId="77777777" w:rsidR="00D31054" w:rsidRPr="003E11E7" w:rsidRDefault="00D31054">
      <w:pPr>
        <w:pStyle w:val="Tekstpodstawowy"/>
        <w:spacing w:before="15"/>
        <w:ind w:left="0"/>
        <w:rPr>
          <w:lang w:val="pl-PL"/>
        </w:rPr>
      </w:pPr>
    </w:p>
    <w:p w14:paraId="7DB42B4D" w14:textId="77777777" w:rsidR="00D31054" w:rsidRDefault="00000000">
      <w:pPr>
        <w:pStyle w:val="Nagwek3"/>
      </w:pPr>
      <w:proofErr w:type="spellStart"/>
      <w:r>
        <w:rPr>
          <w:color w:val="2F2F2F"/>
          <w:spacing w:val="-2"/>
          <w:w w:val="85"/>
          <w:sz w:val="26"/>
        </w:rPr>
        <w:t>Wina</w:t>
      </w:r>
      <w:proofErr w:type="spellEnd"/>
      <w:r>
        <w:rPr>
          <w:color w:val="2F2F2F"/>
          <w:spacing w:val="-2"/>
          <w:w w:val="85"/>
          <w:sz w:val="26"/>
        </w:rPr>
        <w:t xml:space="preserve"> </w:t>
      </w:r>
      <w:proofErr w:type="spellStart"/>
      <w:r>
        <w:rPr>
          <w:color w:val="2F2F2F"/>
          <w:w w:val="85"/>
          <w:sz w:val="26"/>
        </w:rPr>
        <w:t>strony</w:t>
      </w:r>
      <w:proofErr w:type="spellEnd"/>
      <w:r>
        <w:rPr>
          <w:color w:val="2F2F2F"/>
          <w:w w:val="85"/>
          <w:sz w:val="26"/>
        </w:rPr>
        <w:t xml:space="preserve"> </w:t>
      </w:r>
      <w:proofErr w:type="spellStart"/>
      <w:r>
        <w:rPr>
          <w:color w:val="2F2F2F"/>
          <w:w w:val="85"/>
          <w:sz w:val="26"/>
        </w:rPr>
        <w:t>trzeciej</w:t>
      </w:r>
      <w:proofErr w:type="spellEnd"/>
      <w:r>
        <w:rPr>
          <w:color w:val="2F2F2F"/>
          <w:w w:val="85"/>
          <w:sz w:val="26"/>
        </w:rPr>
        <w:t>:</w:t>
      </w:r>
    </w:p>
    <w:p w14:paraId="5F449C68" w14:textId="0844E574" w:rsidR="00D31054" w:rsidRPr="003E11E7" w:rsidRDefault="00D31054" w:rsidP="0091153D">
      <w:pPr>
        <w:pStyle w:val="Akapitzlist"/>
        <w:numPr>
          <w:ilvl w:val="0"/>
          <w:numId w:val="2"/>
        </w:numPr>
        <w:tabs>
          <w:tab w:val="left" w:pos="1583"/>
        </w:tabs>
        <w:spacing w:before="116" w:line="184" w:lineRule="auto"/>
        <w:ind w:right="728"/>
        <w:jc w:val="both"/>
        <w:rPr>
          <w:lang w:val="pl-PL"/>
        </w:rPr>
      </w:pPr>
      <w:hyperlink r:id="rId63">
        <w:proofErr w:type="spellStart"/>
        <w:r w:rsidRPr="003E11E7">
          <w:rPr>
            <w:i/>
            <w:color w:val="0072BC"/>
            <w:sz w:val="20"/>
            <w:lang w:val="pl-PL"/>
          </w:rPr>
          <w:t>Belova</w:t>
        </w:r>
        <w:proofErr w:type="spellEnd"/>
        <w:r w:rsidRPr="003E11E7">
          <w:rPr>
            <w:i/>
            <w:color w:val="0072BC"/>
            <w:sz w:val="20"/>
            <w:lang w:val="pl-PL"/>
          </w:rPr>
          <w:t xml:space="preserve"> przeciwko Rosji</w:t>
        </w:r>
      </w:hyperlink>
      <w:r w:rsidRPr="003E11E7">
        <w:rPr>
          <w:sz w:val="20"/>
          <w:lang w:val="pl-PL"/>
        </w:rPr>
        <w:t>, 2020</w:t>
      </w:r>
      <w:r w:rsidR="003622D8" w:rsidRPr="003E11E7">
        <w:rPr>
          <w:sz w:val="20"/>
          <w:lang w:val="pl-PL"/>
        </w:rPr>
        <w:t xml:space="preserve"> r. −</w:t>
      </w:r>
      <w:r w:rsidRPr="003E11E7">
        <w:rPr>
          <w:sz w:val="20"/>
          <w:lang w:val="pl-PL"/>
        </w:rPr>
        <w:t xml:space="preserve"> odzyskanie nieruchomości, która kiedyś należała do państwa w związku z budową na Zimowe Igrzyska Olimpijskie </w:t>
      </w:r>
      <w:r w:rsidRPr="003E11E7">
        <w:rPr>
          <w:spacing w:val="-1"/>
          <w:sz w:val="20"/>
          <w:lang w:val="pl-PL"/>
        </w:rPr>
        <w:t>2014</w:t>
      </w:r>
      <w:r w:rsidR="0091153D" w:rsidRPr="003E11E7">
        <w:rPr>
          <w:spacing w:val="-1"/>
          <w:sz w:val="20"/>
          <w:lang w:val="pl-PL"/>
        </w:rPr>
        <w:t xml:space="preserve"> </w:t>
      </w:r>
      <w:r w:rsidR="007F12BD" w:rsidRPr="003E11E7">
        <w:rPr>
          <w:spacing w:val="-1"/>
          <w:sz w:val="20"/>
          <w:lang w:val="pl-PL"/>
        </w:rPr>
        <w:t>r.</w:t>
      </w:r>
      <w:r w:rsidRPr="003E11E7">
        <w:rPr>
          <w:sz w:val="20"/>
          <w:lang w:val="pl-PL"/>
        </w:rPr>
        <w:t xml:space="preserve"> Tytuł prawny skarżącej </w:t>
      </w:r>
      <w:r w:rsidR="007F12BD" w:rsidRPr="003E11E7">
        <w:rPr>
          <w:sz w:val="20"/>
          <w:lang w:val="pl-PL"/>
        </w:rPr>
        <w:t>został unieważniony</w:t>
      </w:r>
      <w:r w:rsidRPr="003E11E7">
        <w:rPr>
          <w:sz w:val="20"/>
          <w:lang w:val="pl-PL"/>
        </w:rPr>
        <w:t xml:space="preserve"> na </w:t>
      </w:r>
      <w:r w:rsidR="007F12BD" w:rsidRPr="003E11E7">
        <w:rPr>
          <w:sz w:val="20"/>
          <w:lang w:val="pl-PL"/>
        </w:rPr>
        <w:t>podstawie, że</w:t>
      </w:r>
      <w:r w:rsidRPr="003E11E7">
        <w:rPr>
          <w:sz w:val="20"/>
          <w:lang w:val="pl-PL"/>
        </w:rPr>
        <w:t xml:space="preserve"> przeniesienie własności nieruchomości było wadliwe, a </w:t>
      </w:r>
      <w:r w:rsidR="00B51B28" w:rsidRPr="003E11E7">
        <w:rPr>
          <w:sz w:val="20"/>
          <w:lang w:val="pl-PL"/>
        </w:rPr>
        <w:t>skarżąca</w:t>
      </w:r>
      <w:r w:rsidRPr="003E11E7">
        <w:rPr>
          <w:sz w:val="20"/>
          <w:lang w:val="pl-PL"/>
        </w:rPr>
        <w:t xml:space="preserve"> nie nabył nieruchomości w </w:t>
      </w:r>
      <w:bookmarkStart w:id="0" w:name="_Hlk200707818"/>
      <w:r w:rsidRPr="003E11E7">
        <w:rPr>
          <w:sz w:val="20"/>
          <w:lang w:val="pl-PL"/>
        </w:rPr>
        <w:t>dobrej</w:t>
      </w:r>
      <w:bookmarkEnd w:id="0"/>
      <w:r w:rsidRPr="003E11E7">
        <w:rPr>
          <w:sz w:val="20"/>
          <w:lang w:val="pl-PL"/>
        </w:rPr>
        <w:t xml:space="preserve"> </w:t>
      </w:r>
      <w:r w:rsidR="007F12BD" w:rsidRPr="003E11E7">
        <w:rPr>
          <w:sz w:val="20"/>
          <w:lang w:val="pl-PL"/>
        </w:rPr>
        <w:t>wierze.</w:t>
      </w:r>
    </w:p>
    <w:p w14:paraId="09BD5DBB" w14:textId="076DB1F5" w:rsidR="00D31054" w:rsidRPr="003E11E7" w:rsidRDefault="00D31054" w:rsidP="0091153D">
      <w:pPr>
        <w:pStyle w:val="Akapitzlist"/>
        <w:numPr>
          <w:ilvl w:val="0"/>
          <w:numId w:val="2"/>
        </w:numPr>
        <w:tabs>
          <w:tab w:val="left" w:pos="1583"/>
        </w:tabs>
        <w:spacing w:line="184" w:lineRule="auto"/>
        <w:ind w:right="728"/>
        <w:jc w:val="both"/>
        <w:rPr>
          <w:lang w:val="pl-PL"/>
        </w:rPr>
      </w:pPr>
      <w:hyperlink r:id="rId64">
        <w:proofErr w:type="spellStart"/>
        <w:r w:rsidRPr="003E11E7">
          <w:rPr>
            <w:i/>
            <w:color w:val="0072BC"/>
            <w:sz w:val="20"/>
            <w:lang w:val="pl-PL"/>
          </w:rPr>
          <w:t>Kanevska</w:t>
        </w:r>
        <w:proofErr w:type="spellEnd"/>
        <w:r w:rsidRPr="003E11E7">
          <w:rPr>
            <w:i/>
            <w:color w:val="0072BC"/>
            <w:sz w:val="20"/>
            <w:lang w:val="pl-PL"/>
          </w:rPr>
          <w:t xml:space="preserve"> przeciwko Ukrainie </w:t>
        </w:r>
      </w:hyperlink>
      <w:r w:rsidRPr="003E11E7">
        <w:rPr>
          <w:sz w:val="20"/>
          <w:lang w:val="pl-PL"/>
        </w:rPr>
        <w:t>(</w:t>
      </w:r>
      <w:proofErr w:type="spellStart"/>
      <w:r w:rsidRPr="003E11E7">
        <w:rPr>
          <w:sz w:val="20"/>
          <w:lang w:val="pl-PL"/>
        </w:rPr>
        <w:t>dec</w:t>
      </w:r>
      <w:proofErr w:type="spellEnd"/>
      <w:r w:rsidRPr="003E11E7">
        <w:rPr>
          <w:sz w:val="20"/>
          <w:lang w:val="pl-PL"/>
        </w:rPr>
        <w:t>.), 2020 r.</w:t>
      </w:r>
      <w:r w:rsidR="0091153D" w:rsidRPr="003E11E7">
        <w:rPr>
          <w:sz w:val="20"/>
          <w:lang w:val="pl-PL"/>
        </w:rPr>
        <w:t xml:space="preserve"> −</w:t>
      </w:r>
      <w:r w:rsidRPr="003E11E7">
        <w:rPr>
          <w:sz w:val="20"/>
          <w:lang w:val="pl-PL"/>
        </w:rPr>
        <w:t xml:space="preserve"> skarżąca, ostateczna nabywczyni nieruchomości </w:t>
      </w:r>
      <w:r w:rsidR="0091153D" w:rsidRPr="003E11E7">
        <w:rPr>
          <w:i/>
          <w:sz w:val="20"/>
          <w:lang w:val="pl-PL"/>
        </w:rPr>
        <w:t xml:space="preserve">bona </w:t>
      </w:r>
      <w:proofErr w:type="spellStart"/>
      <w:r w:rsidR="0091153D" w:rsidRPr="003E11E7">
        <w:rPr>
          <w:i/>
          <w:sz w:val="20"/>
          <w:lang w:val="pl-PL"/>
        </w:rPr>
        <w:t>fide</w:t>
      </w:r>
      <w:proofErr w:type="spellEnd"/>
      <w:r w:rsidR="0091153D" w:rsidRPr="003E11E7">
        <w:rPr>
          <w:i/>
          <w:sz w:val="20"/>
          <w:lang w:val="pl-PL"/>
        </w:rPr>
        <w:t>,</w:t>
      </w:r>
      <w:r w:rsidRPr="003E11E7">
        <w:rPr>
          <w:sz w:val="20"/>
          <w:lang w:val="pl-PL"/>
        </w:rPr>
        <w:t xml:space="preserve"> utraciła prawo własności na rzecz pierwotnego właściciela nieruchomości (podmiotu prywatnego)</w:t>
      </w:r>
      <w:r w:rsidR="00C81141" w:rsidRPr="003E11E7">
        <w:rPr>
          <w:sz w:val="20"/>
          <w:lang w:val="pl-PL"/>
        </w:rPr>
        <w:t xml:space="preserve"> </w:t>
      </w:r>
      <w:r w:rsidRPr="003E11E7">
        <w:rPr>
          <w:sz w:val="20"/>
          <w:lang w:val="pl-PL"/>
        </w:rPr>
        <w:t xml:space="preserve">na tej podstawie, że przeniesienie własności nieruchomości było wynikiem </w:t>
      </w:r>
      <w:r w:rsidR="00B51B28" w:rsidRPr="003E11E7">
        <w:rPr>
          <w:sz w:val="20"/>
          <w:lang w:val="pl-PL"/>
        </w:rPr>
        <w:t>nieuczciwych</w:t>
      </w:r>
      <w:r w:rsidRPr="003E11E7">
        <w:rPr>
          <w:sz w:val="20"/>
          <w:lang w:val="pl-PL"/>
        </w:rPr>
        <w:t xml:space="preserve"> działań innego podmiotu </w:t>
      </w:r>
      <w:r w:rsidR="007F12BD" w:rsidRPr="003E11E7">
        <w:rPr>
          <w:sz w:val="20"/>
          <w:lang w:val="pl-PL"/>
        </w:rPr>
        <w:t>prywatnego.</w:t>
      </w:r>
    </w:p>
    <w:p w14:paraId="5DDC8379" w14:textId="2809BCEC" w:rsidR="00D31054" w:rsidRPr="003E11E7" w:rsidRDefault="00D31054" w:rsidP="00C81141">
      <w:pPr>
        <w:pStyle w:val="Akapitzlist"/>
        <w:numPr>
          <w:ilvl w:val="0"/>
          <w:numId w:val="2"/>
        </w:numPr>
        <w:tabs>
          <w:tab w:val="left" w:pos="1583"/>
        </w:tabs>
        <w:spacing w:line="184" w:lineRule="auto"/>
        <w:ind w:right="729"/>
        <w:jc w:val="both"/>
        <w:rPr>
          <w:lang w:val="pl-PL"/>
        </w:rPr>
      </w:pPr>
      <w:hyperlink r:id="rId65">
        <w:r w:rsidRPr="003E11E7">
          <w:rPr>
            <w:i/>
            <w:color w:val="0072BC"/>
            <w:sz w:val="20"/>
            <w:lang w:val="pl-PL"/>
          </w:rPr>
          <w:t xml:space="preserve">Nikolay </w:t>
        </w:r>
        <w:proofErr w:type="spellStart"/>
        <w:r w:rsidRPr="003E11E7">
          <w:rPr>
            <w:i/>
            <w:color w:val="0072BC"/>
            <w:sz w:val="20"/>
            <w:lang w:val="pl-PL"/>
          </w:rPr>
          <w:t>Kostadinov</w:t>
        </w:r>
        <w:proofErr w:type="spellEnd"/>
        <w:r w:rsidRPr="003E11E7">
          <w:rPr>
            <w:i/>
            <w:color w:val="0072BC"/>
            <w:sz w:val="20"/>
            <w:lang w:val="pl-PL"/>
          </w:rPr>
          <w:t xml:space="preserve"> przeciwko Bułgarii</w:t>
        </w:r>
      </w:hyperlink>
      <w:r w:rsidRPr="003E11E7">
        <w:rPr>
          <w:sz w:val="20"/>
          <w:lang w:val="pl-PL"/>
        </w:rPr>
        <w:t>, 2022</w:t>
      </w:r>
      <w:r w:rsidR="00C81141" w:rsidRPr="003E11E7">
        <w:rPr>
          <w:sz w:val="20"/>
          <w:lang w:val="pl-PL"/>
        </w:rPr>
        <w:t xml:space="preserve"> r.</w:t>
      </w:r>
      <w:r w:rsidR="00C81141" w:rsidRPr="003E11E7">
        <w:rPr>
          <w:lang w:val="pl-PL"/>
        </w:rPr>
        <w:t xml:space="preserve"> </w:t>
      </w:r>
      <w:r w:rsidR="007F12BD" w:rsidRPr="003E11E7">
        <w:rPr>
          <w:sz w:val="20"/>
          <w:lang w:val="pl-PL"/>
        </w:rPr>
        <w:t>− sprzeczne</w:t>
      </w:r>
      <w:r w:rsidRPr="003E11E7">
        <w:rPr>
          <w:sz w:val="20"/>
          <w:lang w:val="pl-PL"/>
        </w:rPr>
        <w:t xml:space="preserve"> interesy prywatne w odniesieniu do spornej nieruchomości z perspektywy pierwotneg</w:t>
      </w:r>
      <w:r w:rsidR="00C81141" w:rsidRPr="003E11E7">
        <w:rPr>
          <w:sz w:val="20"/>
          <w:lang w:val="pl-PL"/>
        </w:rPr>
        <w:t>o właściciela</w:t>
      </w:r>
      <w:r w:rsidRPr="003E11E7">
        <w:rPr>
          <w:sz w:val="20"/>
          <w:lang w:val="pl-PL"/>
        </w:rPr>
        <w:t>: brak ochrony akcjonariusza przed</w:t>
      </w:r>
      <w:r w:rsidR="00C81141" w:rsidRPr="003E11E7">
        <w:rPr>
          <w:sz w:val="20"/>
          <w:lang w:val="pl-PL"/>
        </w:rPr>
        <w:t xml:space="preserve"> </w:t>
      </w:r>
      <w:r w:rsidR="00B51B28" w:rsidRPr="003E11E7">
        <w:rPr>
          <w:sz w:val="20"/>
          <w:lang w:val="pl-PL"/>
        </w:rPr>
        <w:t>nieuczciwym</w:t>
      </w:r>
      <w:r w:rsidRPr="003E11E7">
        <w:rPr>
          <w:sz w:val="20"/>
          <w:lang w:val="pl-PL"/>
        </w:rPr>
        <w:t xml:space="preserve"> przejęcie</w:t>
      </w:r>
      <w:r w:rsidR="002539F9" w:rsidRPr="003E11E7">
        <w:rPr>
          <w:sz w:val="20"/>
          <w:lang w:val="pl-PL"/>
        </w:rPr>
        <w:t>m</w:t>
      </w:r>
      <w:r w:rsidRPr="003E11E7">
        <w:rPr>
          <w:sz w:val="20"/>
          <w:lang w:val="pl-PL"/>
        </w:rPr>
        <w:t xml:space="preserve"> jego firmy, jej udziałów i aktywów </w:t>
      </w:r>
      <w:r w:rsidRPr="003E11E7">
        <w:rPr>
          <w:spacing w:val="-2"/>
          <w:sz w:val="20"/>
          <w:lang w:val="pl-PL"/>
        </w:rPr>
        <w:t xml:space="preserve">przez podmiot </w:t>
      </w:r>
      <w:r w:rsidRPr="003E11E7">
        <w:rPr>
          <w:sz w:val="20"/>
          <w:lang w:val="pl-PL"/>
        </w:rPr>
        <w:t>prywatny</w:t>
      </w:r>
      <w:r w:rsidRPr="003E11E7">
        <w:rPr>
          <w:spacing w:val="-2"/>
          <w:sz w:val="20"/>
          <w:lang w:val="pl-PL"/>
        </w:rPr>
        <w:t>.</w:t>
      </w:r>
    </w:p>
    <w:p w14:paraId="6FACB197" w14:textId="77777777" w:rsidR="00D31054" w:rsidRPr="003E11E7" w:rsidRDefault="00D31054">
      <w:pPr>
        <w:pStyle w:val="Tekstpodstawowy"/>
        <w:spacing w:before="11"/>
        <w:ind w:left="0"/>
        <w:rPr>
          <w:lang w:val="pl-PL"/>
        </w:rPr>
      </w:pPr>
    </w:p>
    <w:p w14:paraId="4F25D8A1" w14:textId="77777777" w:rsidR="00D31054" w:rsidRDefault="00000000">
      <w:pPr>
        <w:pStyle w:val="Nagwek2"/>
      </w:pPr>
      <w:r>
        <w:rPr>
          <w:noProof/>
        </w:rPr>
        <mc:AlternateContent>
          <mc:Choice Requires="wps">
            <w:drawing>
              <wp:anchor distT="0" distB="0" distL="0" distR="0" simplePos="0" relativeHeight="251672576" behindDoc="1" locked="0" layoutInCell="1" allowOverlap="1" wp14:anchorId="77871F03" wp14:editId="15BDBB17">
                <wp:simplePos x="0" y="0"/>
                <wp:positionH relativeFrom="page">
                  <wp:posOffset>895985</wp:posOffset>
                </wp:positionH>
                <wp:positionV relativeFrom="paragraph">
                  <wp:posOffset>239612</wp:posOffset>
                </wp:positionV>
                <wp:extent cx="5768975" cy="1270"/>
                <wp:effectExtent l="0" t="0" r="0" b="0"/>
                <wp:wrapTopAndBottom/>
                <wp:docPr id="14" name="Graphic 14"/>
                <wp:cNvGraphicFramePr/>
                <a:graphic xmlns:a="http://schemas.openxmlformats.org/drawingml/2006/main">
                  <a:graphicData uri="http://schemas.microsoft.com/office/word/2010/wordprocessingShape">
                    <wps:wsp>
                      <wps:cNvSpPr/>
                      <wps:spPr>
                        <a:xfrm>
                          <a:off x="0" y="0"/>
                          <a:ext cx="5768975" cy="1270"/>
                        </a:xfrm>
                        <a:custGeom>
                          <a:avLst/>
                          <a:gdLst/>
                          <a:ahLst/>
                          <a:cxnLst/>
                          <a:rect l="l" t="t" r="r" b="b"/>
                          <a:pathLst>
                            <a:path w="5768975">
                              <a:moveTo>
                                <a:pt x="0" y="0"/>
                              </a:moveTo>
                              <a:lnTo>
                                <a:pt x="5768974" y="0"/>
                              </a:lnTo>
                            </a:path>
                          </a:pathLst>
                        </a:custGeom>
                        <a:ln w="19050">
                          <a:solidFill>
                            <a:srgbClr val="949494"/>
                          </a:solidFill>
                          <a:prstDash val="solid"/>
                        </a:ln>
                      </wps:spPr>
                      <wps:bodyPr wrap="square" lIns="0" tIns="0" rIns="0" bIns="0" rtlCol="0">
                        <a:prstTxWarp prst="textNoShape">
                          <a:avLst/>
                        </a:prstTxWarp>
                      </wps:bodyPr>
                    </wps:wsp>
                  </a:graphicData>
                </a:graphic>
              </wp:anchor>
            </w:drawing>
          </mc:Choice>
          <mc:Fallback>
            <w:pict>
              <v:shape w14:anchorId="0BA208E9" id="Graphic 14" o:spid="_x0000_s1026" style="position:absolute;margin-left:70.55pt;margin-top:18.85pt;width:454.25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5768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" path="m,l5768974,e" filled="f" strokecolor="#949494" strokeweight="1.5pt">
                <v:path arrowok="t"/>
                <w10:wrap type="topAndBottom" anchorx="page"/>
              </v:shape>
            </w:pict>
          </mc:Fallback>
        </mc:AlternateContent>
      </w:r>
      <w:proofErr w:type="spellStart"/>
      <w:r>
        <w:rPr>
          <w:color w:val="2F2F2F"/>
          <w:sz w:val="26"/>
        </w:rPr>
        <w:t>Podsumowanie</w:t>
      </w:r>
      <w:proofErr w:type="spellEnd"/>
      <w:r>
        <w:rPr>
          <w:color w:val="2F2F2F"/>
          <w:sz w:val="26"/>
        </w:rPr>
        <w:t xml:space="preserve"> </w:t>
      </w:r>
      <w:proofErr w:type="spellStart"/>
      <w:r>
        <w:rPr>
          <w:color w:val="2F2F2F"/>
          <w:sz w:val="26"/>
        </w:rPr>
        <w:t>ogólnych</w:t>
      </w:r>
      <w:proofErr w:type="spellEnd"/>
      <w:r>
        <w:rPr>
          <w:color w:val="2F2F2F"/>
          <w:sz w:val="26"/>
        </w:rPr>
        <w:t xml:space="preserve"> </w:t>
      </w:r>
      <w:proofErr w:type="spellStart"/>
      <w:r>
        <w:rPr>
          <w:color w:val="2F2F2F"/>
          <w:spacing w:val="-2"/>
          <w:sz w:val="26"/>
        </w:rPr>
        <w:t>zasad</w:t>
      </w:r>
      <w:proofErr w:type="spellEnd"/>
    </w:p>
    <w:p w14:paraId="79F46C2E" w14:textId="77777777" w:rsidR="00D31054" w:rsidRDefault="00000000">
      <w:pPr>
        <w:pStyle w:val="Nagwek4"/>
        <w:numPr>
          <w:ilvl w:val="0"/>
          <w:numId w:val="1"/>
        </w:numPr>
        <w:tabs>
          <w:tab w:val="left" w:pos="1024"/>
        </w:tabs>
        <w:spacing w:before="280"/>
        <w:ind w:left="1024" w:hanging="292"/>
      </w:pPr>
      <w:r>
        <w:rPr>
          <w:color w:val="2F2F2F"/>
          <w:spacing w:val="-2"/>
          <w:sz w:val="22"/>
        </w:rPr>
        <w:t xml:space="preserve">Kontekst </w:t>
      </w:r>
      <w:r>
        <w:rPr>
          <w:color w:val="2F2F2F"/>
          <w:sz w:val="22"/>
        </w:rPr>
        <w:t>publiczno-prawny</w:t>
      </w:r>
    </w:p>
    <w:p w14:paraId="30E71CCB" w14:textId="2EF41861" w:rsidR="00D31054" w:rsidRPr="003E11E7" w:rsidRDefault="00D31054">
      <w:pPr>
        <w:pStyle w:val="Akapitzlist"/>
        <w:numPr>
          <w:ilvl w:val="1"/>
          <w:numId w:val="1"/>
        </w:numPr>
        <w:tabs>
          <w:tab w:val="left" w:pos="1582"/>
        </w:tabs>
        <w:spacing w:before="34"/>
        <w:ind w:left="1582" w:hanging="283"/>
        <w:rPr>
          <w:lang w:val="pl-PL"/>
        </w:rPr>
      </w:pPr>
      <w:hyperlink r:id="rId66">
        <w:proofErr w:type="spellStart"/>
        <w:r w:rsidRPr="003E11E7">
          <w:rPr>
            <w:i/>
            <w:color w:val="0072BC"/>
            <w:sz w:val="20"/>
            <w:lang w:val="pl-PL"/>
          </w:rPr>
          <w:t>Beinarovič</w:t>
        </w:r>
        <w:proofErr w:type="spellEnd"/>
        <w:r w:rsidRPr="003E11E7">
          <w:rPr>
            <w:i/>
            <w:color w:val="0072BC"/>
            <w:sz w:val="20"/>
            <w:lang w:val="pl-PL"/>
          </w:rPr>
          <w:t xml:space="preserve"> i </w:t>
        </w:r>
        <w:r w:rsidR="00C81141" w:rsidRPr="003E11E7">
          <w:rPr>
            <w:i/>
            <w:color w:val="0072BC"/>
            <w:sz w:val="20"/>
            <w:lang w:val="pl-PL"/>
          </w:rPr>
          <w:t>I</w:t>
        </w:r>
        <w:r w:rsidRPr="003E11E7">
          <w:rPr>
            <w:i/>
            <w:color w:val="0072BC"/>
            <w:sz w:val="20"/>
            <w:lang w:val="pl-PL"/>
          </w:rPr>
          <w:t>nni przeciwko Litwie</w:t>
        </w:r>
      </w:hyperlink>
      <w:r w:rsidRPr="003E11E7">
        <w:rPr>
          <w:sz w:val="20"/>
          <w:lang w:val="pl-PL"/>
        </w:rPr>
        <w:t>, 2018</w:t>
      </w:r>
      <w:r w:rsidR="00C81141" w:rsidRPr="003E11E7">
        <w:rPr>
          <w:sz w:val="20"/>
          <w:lang w:val="pl-PL"/>
        </w:rPr>
        <w:t xml:space="preserve"> r.</w:t>
      </w:r>
      <w:r w:rsidRPr="003E11E7">
        <w:rPr>
          <w:sz w:val="20"/>
          <w:lang w:val="pl-PL"/>
        </w:rPr>
        <w:t>, §§ 138-142</w:t>
      </w:r>
      <w:r w:rsidRPr="003E11E7">
        <w:rPr>
          <w:spacing w:val="-4"/>
          <w:sz w:val="20"/>
          <w:lang w:val="pl-PL"/>
        </w:rPr>
        <w:t>.</w:t>
      </w:r>
    </w:p>
    <w:p w14:paraId="2D4869CB" w14:textId="77777777" w:rsidR="00D31054" w:rsidRDefault="00000000">
      <w:pPr>
        <w:pStyle w:val="Nagwek4"/>
        <w:numPr>
          <w:ilvl w:val="0"/>
          <w:numId w:val="1"/>
        </w:numPr>
        <w:tabs>
          <w:tab w:val="left" w:pos="1024"/>
        </w:tabs>
        <w:spacing w:before="200"/>
        <w:ind w:left="1024" w:hanging="292"/>
      </w:pPr>
      <w:proofErr w:type="spellStart"/>
      <w:r>
        <w:rPr>
          <w:color w:val="2F2F2F"/>
          <w:spacing w:val="-2"/>
          <w:sz w:val="22"/>
        </w:rPr>
        <w:t>Kontekst</w:t>
      </w:r>
      <w:proofErr w:type="spellEnd"/>
      <w:r>
        <w:rPr>
          <w:color w:val="2F2F2F"/>
          <w:spacing w:val="-2"/>
          <w:sz w:val="22"/>
        </w:rPr>
        <w:t xml:space="preserve"> </w:t>
      </w:r>
      <w:proofErr w:type="spellStart"/>
      <w:r>
        <w:rPr>
          <w:color w:val="2F2F2F"/>
          <w:sz w:val="22"/>
        </w:rPr>
        <w:t>prywatny</w:t>
      </w:r>
      <w:proofErr w:type="spellEnd"/>
    </w:p>
    <w:p w14:paraId="4E0F669D" w14:textId="4D1D3FD2" w:rsidR="00D31054" w:rsidRPr="003E11E7" w:rsidRDefault="00D31054">
      <w:pPr>
        <w:pStyle w:val="Akapitzlist"/>
        <w:numPr>
          <w:ilvl w:val="1"/>
          <w:numId w:val="1"/>
        </w:numPr>
        <w:tabs>
          <w:tab w:val="left" w:pos="1582"/>
        </w:tabs>
        <w:spacing w:before="35"/>
        <w:ind w:left="1582" w:hanging="283"/>
        <w:rPr>
          <w:lang w:val="pl-PL"/>
        </w:rPr>
      </w:pPr>
      <w:hyperlink r:id="rId67">
        <w:proofErr w:type="spellStart"/>
        <w:r w:rsidRPr="003E11E7">
          <w:rPr>
            <w:i/>
            <w:color w:val="0072BC"/>
            <w:sz w:val="20"/>
            <w:lang w:val="pl-PL"/>
          </w:rPr>
          <w:t>Kanevska</w:t>
        </w:r>
        <w:proofErr w:type="spellEnd"/>
        <w:r w:rsidRPr="003E11E7">
          <w:rPr>
            <w:i/>
            <w:color w:val="0072BC"/>
            <w:sz w:val="20"/>
            <w:lang w:val="pl-PL"/>
          </w:rPr>
          <w:t xml:space="preserve"> przeciwko Ukrainie </w:t>
        </w:r>
      </w:hyperlink>
      <w:r w:rsidRPr="003E11E7">
        <w:rPr>
          <w:sz w:val="20"/>
          <w:lang w:val="pl-PL"/>
        </w:rPr>
        <w:t>(</w:t>
      </w:r>
      <w:proofErr w:type="spellStart"/>
      <w:r w:rsidRPr="003E11E7">
        <w:rPr>
          <w:sz w:val="20"/>
          <w:lang w:val="pl-PL"/>
        </w:rPr>
        <w:t>dec</w:t>
      </w:r>
      <w:proofErr w:type="spellEnd"/>
      <w:r w:rsidRPr="003E11E7">
        <w:rPr>
          <w:sz w:val="20"/>
          <w:lang w:val="pl-PL"/>
        </w:rPr>
        <w:t>.), 2020</w:t>
      </w:r>
      <w:r w:rsidR="00C81141" w:rsidRPr="003E11E7">
        <w:rPr>
          <w:sz w:val="20"/>
          <w:lang w:val="pl-PL"/>
        </w:rPr>
        <w:t xml:space="preserve"> r.</w:t>
      </w:r>
      <w:r w:rsidRPr="003E11E7">
        <w:rPr>
          <w:sz w:val="20"/>
          <w:lang w:val="pl-PL"/>
        </w:rPr>
        <w:t xml:space="preserve">, § </w:t>
      </w:r>
      <w:r w:rsidRPr="003E11E7">
        <w:rPr>
          <w:spacing w:val="-5"/>
          <w:sz w:val="20"/>
          <w:lang w:val="pl-PL"/>
        </w:rPr>
        <w:t>45.</w:t>
      </w:r>
    </w:p>
    <w:p w14:paraId="2C7CAEE9" w14:textId="77777777" w:rsidR="006B1A14" w:rsidRPr="003E11E7" w:rsidRDefault="006B1A14" w:rsidP="006B1A14">
      <w:pPr>
        <w:tabs>
          <w:tab w:val="left" w:pos="1582"/>
        </w:tabs>
        <w:spacing w:before="35"/>
        <w:rPr>
          <w:lang w:val="pl-PL"/>
        </w:rPr>
      </w:pPr>
    </w:p>
    <w:p w14:paraId="3FE07505" w14:textId="77777777" w:rsidR="00D31054" w:rsidRPr="003E11E7" w:rsidRDefault="00D31054">
      <w:pPr>
        <w:pStyle w:val="Akapitzlist"/>
        <w:rPr>
          <w:lang w:val="pl-PL"/>
        </w:rPr>
        <w:sectPr w:rsidR="00D31054" w:rsidRPr="003E11E7">
          <w:pgSz w:w="11910" w:h="16840"/>
          <w:pgMar w:top="1100" w:right="708" w:bottom="920" w:left="708" w:header="723" w:footer="726" w:gutter="0"/>
          <w:cols w:space="708"/>
        </w:sectPr>
      </w:pPr>
    </w:p>
    <w:p w14:paraId="20F60E72" w14:textId="77777777" w:rsidR="00D31054" w:rsidRPr="003E11E7" w:rsidRDefault="00D31054">
      <w:pPr>
        <w:pStyle w:val="Tekstpodstawowy"/>
        <w:spacing w:before="24"/>
        <w:ind w:left="0"/>
        <w:rPr>
          <w:sz w:val="32"/>
          <w:lang w:val="pl-PL"/>
        </w:rPr>
      </w:pPr>
    </w:p>
    <w:p w14:paraId="1A94E5C9" w14:textId="77777777" w:rsidR="00D31054" w:rsidRPr="003E11E7" w:rsidRDefault="00000000">
      <w:pPr>
        <w:pStyle w:val="Nagwek1"/>
        <w:ind w:left="732" w:right="0"/>
        <w:jc w:val="left"/>
        <w:rPr>
          <w:lang w:val="pl-PL"/>
        </w:rPr>
      </w:pPr>
      <w:r w:rsidRPr="003E11E7">
        <w:rPr>
          <w:color w:val="2F2F2F"/>
          <w:sz w:val="30"/>
          <w:lang w:val="pl-PL"/>
        </w:rPr>
        <w:t xml:space="preserve">KLUCZOWE </w:t>
      </w:r>
      <w:r w:rsidRPr="003E11E7">
        <w:rPr>
          <w:color w:val="2F2F2F"/>
          <w:spacing w:val="-2"/>
          <w:sz w:val="30"/>
          <w:lang w:val="pl-PL"/>
        </w:rPr>
        <w:t xml:space="preserve">ODNIESIENIA DO </w:t>
      </w:r>
      <w:r w:rsidRPr="003E11E7">
        <w:rPr>
          <w:color w:val="2F2F2F"/>
          <w:sz w:val="30"/>
          <w:lang w:val="pl-PL"/>
        </w:rPr>
        <w:t>ORZECZNICTWA</w:t>
      </w:r>
    </w:p>
    <w:p w14:paraId="5D40169A" w14:textId="77777777" w:rsidR="00D31054" w:rsidRPr="003E11E7" w:rsidRDefault="00000000">
      <w:pPr>
        <w:pStyle w:val="Nagwek2"/>
        <w:spacing w:before="280"/>
        <w:rPr>
          <w:lang w:val="pl-PL"/>
        </w:rPr>
      </w:pPr>
      <w:r>
        <w:rPr>
          <w:noProof/>
        </w:rPr>
        <mc:AlternateContent>
          <mc:Choice Requires="wps">
            <w:drawing>
              <wp:anchor distT="0" distB="0" distL="0" distR="0" simplePos="0" relativeHeight="251674624" behindDoc="1" locked="0" layoutInCell="1" allowOverlap="1" wp14:anchorId="2ABF24B8" wp14:editId="01F065A3">
                <wp:simplePos x="0" y="0"/>
                <wp:positionH relativeFrom="page">
                  <wp:posOffset>895985</wp:posOffset>
                </wp:positionH>
                <wp:positionV relativeFrom="paragraph">
                  <wp:posOffset>417315</wp:posOffset>
                </wp:positionV>
                <wp:extent cx="5768975" cy="1270"/>
                <wp:effectExtent l="0" t="0" r="0" b="0"/>
                <wp:wrapTopAndBottom/>
                <wp:docPr id="15" name="Graphic 15"/>
                <wp:cNvGraphicFramePr/>
                <a:graphic xmlns:a="http://schemas.openxmlformats.org/drawingml/2006/main">
                  <a:graphicData uri="http://schemas.microsoft.com/office/word/2010/wordprocessingShape">
                    <wps:wsp>
                      <wps:cNvSpPr/>
                      <wps:spPr>
                        <a:xfrm>
                          <a:off x="0" y="0"/>
                          <a:ext cx="5768975" cy="1270"/>
                        </a:xfrm>
                        <a:custGeom>
                          <a:avLst/>
                          <a:gdLst/>
                          <a:ahLst/>
                          <a:cxnLst/>
                          <a:rect l="l" t="t" r="r" b="b"/>
                          <a:pathLst>
                            <a:path w="5768975">
                              <a:moveTo>
                                <a:pt x="0" y="0"/>
                              </a:moveTo>
                              <a:lnTo>
                                <a:pt x="5768974" y="0"/>
                              </a:lnTo>
                            </a:path>
                          </a:pathLst>
                        </a:custGeom>
                        <a:ln w="19050">
                          <a:solidFill>
                            <a:srgbClr val="949494"/>
                          </a:solidFill>
                          <a:prstDash val="solid"/>
                        </a:ln>
                      </wps:spPr>
                      <wps:bodyPr wrap="square" lIns="0" tIns="0" rIns="0" bIns="0" rtlCol="0">
                        <a:prstTxWarp prst="textNoShape">
                          <a:avLst/>
                        </a:prstTxWarp>
                      </wps:bodyPr>
                    </wps:wsp>
                  </a:graphicData>
                </a:graphic>
              </wp:anchor>
            </w:drawing>
          </mc:Choice>
          <mc:Fallback>
            <w:pict>
              <v:shape w14:anchorId="693FDD4C" id="Graphic 15" o:spid="_x0000_s1026" style="position:absolute;margin-left:70.55pt;margin-top:32.85pt;width:454.25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5768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" path="m,l5768974,e" filled="f" strokecolor="#949494" strokeweight="1.5pt">
                <v:path arrowok="t"/>
                <w10:wrap type="topAndBottom" anchorx="page"/>
              </v:shape>
            </w:pict>
          </mc:Fallback>
        </mc:AlternateContent>
      </w:r>
      <w:r w:rsidRPr="003E11E7">
        <w:rPr>
          <w:color w:val="2F2F2F"/>
          <w:sz w:val="26"/>
          <w:lang w:val="pl-PL"/>
        </w:rPr>
        <w:t xml:space="preserve">Wiodące </w:t>
      </w:r>
      <w:r w:rsidRPr="003E11E7">
        <w:rPr>
          <w:color w:val="2F2F2F"/>
          <w:spacing w:val="-2"/>
          <w:sz w:val="26"/>
          <w:lang w:val="pl-PL"/>
        </w:rPr>
        <w:t>przypadki</w:t>
      </w:r>
    </w:p>
    <w:p w14:paraId="7EAFEFD4" w14:textId="5FC52AC9" w:rsidR="00D31054" w:rsidRPr="003E11E7" w:rsidRDefault="00D31054" w:rsidP="00C81141">
      <w:pPr>
        <w:pStyle w:val="Akapitzlist"/>
        <w:numPr>
          <w:ilvl w:val="1"/>
          <w:numId w:val="1"/>
        </w:numPr>
        <w:tabs>
          <w:tab w:val="left" w:pos="1582"/>
        </w:tabs>
        <w:spacing w:before="34" w:line="351" w:lineRule="exact"/>
        <w:ind w:left="1582" w:hanging="283"/>
        <w:jc w:val="both"/>
        <w:rPr>
          <w:lang w:val="pl-PL"/>
        </w:rPr>
      </w:pPr>
      <w:hyperlink r:id="rId68">
        <w:proofErr w:type="spellStart"/>
        <w:r w:rsidRPr="003E11E7">
          <w:rPr>
            <w:i/>
            <w:color w:val="0072BC"/>
            <w:sz w:val="20"/>
            <w:lang w:val="pl-PL"/>
          </w:rPr>
          <w:t>Beyeler</w:t>
        </w:r>
        <w:proofErr w:type="spellEnd"/>
        <w:r w:rsidRPr="003E11E7">
          <w:rPr>
            <w:i/>
            <w:color w:val="0072BC"/>
            <w:sz w:val="20"/>
            <w:lang w:val="pl-PL"/>
          </w:rPr>
          <w:t xml:space="preserve"> przeciwko Włochom </w:t>
        </w:r>
      </w:hyperlink>
      <w:r w:rsidRPr="003E11E7">
        <w:rPr>
          <w:sz w:val="20"/>
          <w:lang w:val="pl-PL"/>
        </w:rPr>
        <w:t>[</w:t>
      </w:r>
      <w:r w:rsidR="00C81141" w:rsidRPr="003E11E7">
        <w:rPr>
          <w:sz w:val="20"/>
          <w:lang w:val="pl-PL"/>
        </w:rPr>
        <w:t>WI</w:t>
      </w:r>
      <w:r w:rsidRPr="003E11E7">
        <w:rPr>
          <w:sz w:val="20"/>
          <w:lang w:val="pl-PL"/>
        </w:rPr>
        <w:t xml:space="preserve">], nr 33202/96, ECHR 2000-I (naruszenie art. 1 Protokołu nr </w:t>
      </w:r>
      <w:r w:rsidRPr="003E11E7">
        <w:rPr>
          <w:spacing w:val="-5"/>
          <w:sz w:val="20"/>
          <w:lang w:val="pl-PL"/>
        </w:rPr>
        <w:t>1);</w:t>
      </w:r>
    </w:p>
    <w:p w14:paraId="3E9088B5" w14:textId="2A075D67" w:rsidR="00D31054" w:rsidRPr="003E11E7" w:rsidRDefault="00D31054" w:rsidP="00C81141">
      <w:pPr>
        <w:pStyle w:val="Akapitzlist"/>
        <w:numPr>
          <w:ilvl w:val="1"/>
          <w:numId w:val="1"/>
        </w:numPr>
        <w:tabs>
          <w:tab w:val="left" w:pos="1583"/>
        </w:tabs>
        <w:spacing w:before="31" w:line="184" w:lineRule="auto"/>
        <w:ind w:right="731"/>
        <w:jc w:val="both"/>
        <w:rPr>
          <w:lang w:val="pl-PL"/>
        </w:rPr>
      </w:pPr>
      <w:hyperlink r:id="rId69">
        <w:proofErr w:type="spellStart"/>
        <w:r w:rsidRPr="003E11E7">
          <w:rPr>
            <w:i/>
            <w:color w:val="0072BC"/>
            <w:sz w:val="20"/>
            <w:lang w:val="pl-PL"/>
          </w:rPr>
          <w:t>Pincová</w:t>
        </w:r>
        <w:proofErr w:type="spellEnd"/>
        <w:r w:rsidRPr="003E11E7">
          <w:rPr>
            <w:i/>
            <w:color w:val="0072BC"/>
            <w:sz w:val="20"/>
            <w:lang w:val="pl-PL"/>
          </w:rPr>
          <w:t xml:space="preserve"> i </w:t>
        </w:r>
        <w:proofErr w:type="spellStart"/>
        <w:r w:rsidRPr="003E11E7">
          <w:rPr>
            <w:i/>
            <w:color w:val="0072BC"/>
            <w:sz w:val="20"/>
            <w:lang w:val="pl-PL"/>
          </w:rPr>
          <w:t>Pinc</w:t>
        </w:r>
        <w:proofErr w:type="spellEnd"/>
        <w:r w:rsidRPr="003E11E7">
          <w:rPr>
            <w:i/>
            <w:color w:val="0072BC"/>
            <w:sz w:val="20"/>
            <w:lang w:val="pl-PL"/>
          </w:rPr>
          <w:t xml:space="preserve"> przeciwko Republice Czeskiej</w:t>
        </w:r>
      </w:hyperlink>
      <w:r w:rsidRPr="003E11E7">
        <w:rPr>
          <w:sz w:val="20"/>
          <w:lang w:val="pl-PL"/>
        </w:rPr>
        <w:t>, nr 36548/97, ECHR 2002-VIII (naruszenie art. 1 Protokołu nr 1);</w:t>
      </w:r>
    </w:p>
    <w:p w14:paraId="49D968C9" w14:textId="7796FFF9" w:rsidR="00D31054" w:rsidRPr="003E11E7" w:rsidRDefault="00D31054" w:rsidP="00C81141">
      <w:pPr>
        <w:pStyle w:val="Akapitzlist"/>
        <w:numPr>
          <w:ilvl w:val="1"/>
          <w:numId w:val="1"/>
        </w:numPr>
        <w:tabs>
          <w:tab w:val="left" w:pos="1583"/>
        </w:tabs>
        <w:spacing w:before="103" w:line="184" w:lineRule="auto"/>
        <w:ind w:right="732"/>
        <w:jc w:val="both"/>
        <w:rPr>
          <w:lang w:val="pl-PL"/>
        </w:rPr>
      </w:pPr>
      <w:hyperlink r:id="rId70">
        <w:proofErr w:type="spellStart"/>
        <w:r w:rsidRPr="003E11E7">
          <w:rPr>
            <w:i/>
            <w:color w:val="0072BC"/>
            <w:sz w:val="20"/>
            <w:lang w:val="pl-PL"/>
          </w:rPr>
          <w:t>Scordino</w:t>
        </w:r>
        <w:proofErr w:type="spellEnd"/>
        <w:r w:rsidRPr="003E11E7">
          <w:rPr>
            <w:i/>
            <w:color w:val="0072BC"/>
            <w:sz w:val="20"/>
            <w:lang w:val="pl-PL"/>
          </w:rPr>
          <w:t xml:space="preserve"> przeciwko Włochom (nr 1) </w:t>
        </w:r>
      </w:hyperlink>
      <w:r w:rsidRPr="003E11E7">
        <w:rPr>
          <w:sz w:val="20"/>
          <w:lang w:val="pl-PL"/>
        </w:rPr>
        <w:t>[</w:t>
      </w:r>
      <w:r w:rsidR="00C81141" w:rsidRPr="003E11E7">
        <w:rPr>
          <w:sz w:val="20"/>
          <w:lang w:val="pl-PL"/>
        </w:rPr>
        <w:t>WI</w:t>
      </w:r>
      <w:r w:rsidRPr="003E11E7">
        <w:rPr>
          <w:sz w:val="20"/>
          <w:lang w:val="pl-PL"/>
        </w:rPr>
        <w:t>], nr 36813/97, ECHR 2006-V (naruszenie art. 6 § 1 i art. 1 Protokołu nr 1);</w:t>
      </w:r>
    </w:p>
    <w:p w14:paraId="715F1AB8" w14:textId="54F62501" w:rsidR="00D31054" w:rsidRPr="003E11E7" w:rsidRDefault="00D31054" w:rsidP="00C2245F">
      <w:pPr>
        <w:pStyle w:val="Akapitzlist"/>
        <w:numPr>
          <w:ilvl w:val="1"/>
          <w:numId w:val="1"/>
        </w:numPr>
        <w:tabs>
          <w:tab w:val="left" w:pos="1583"/>
        </w:tabs>
        <w:spacing w:before="103" w:line="184" w:lineRule="auto"/>
        <w:ind w:right="730"/>
        <w:jc w:val="both"/>
        <w:rPr>
          <w:lang w:val="pl-PL"/>
        </w:rPr>
      </w:pPr>
      <w:hyperlink r:id="rId71">
        <w:proofErr w:type="spellStart"/>
        <w:r w:rsidRPr="003E11E7">
          <w:rPr>
            <w:i/>
            <w:color w:val="0072BC"/>
            <w:sz w:val="20"/>
            <w:lang w:val="pl-PL"/>
          </w:rPr>
          <w:t>Velikovi</w:t>
        </w:r>
        <w:proofErr w:type="spellEnd"/>
        <w:r w:rsidRPr="003E11E7">
          <w:rPr>
            <w:i/>
            <w:color w:val="0072BC"/>
            <w:sz w:val="20"/>
            <w:lang w:val="pl-PL"/>
          </w:rPr>
          <w:t xml:space="preserve"> i </w:t>
        </w:r>
        <w:r w:rsidR="00C81141" w:rsidRPr="003E11E7">
          <w:rPr>
            <w:i/>
            <w:color w:val="0072BC"/>
            <w:sz w:val="20"/>
            <w:lang w:val="pl-PL"/>
          </w:rPr>
          <w:t>I</w:t>
        </w:r>
        <w:r w:rsidRPr="003E11E7">
          <w:rPr>
            <w:i/>
            <w:color w:val="0072BC"/>
            <w:sz w:val="20"/>
            <w:lang w:val="pl-PL"/>
          </w:rPr>
          <w:t>nni przeciwko Bułgari</w:t>
        </w:r>
        <w:r w:rsidR="00101D88" w:rsidRPr="003E11E7">
          <w:rPr>
            <w:i/>
            <w:color w:val="0072BC"/>
            <w:sz w:val="20"/>
            <w:lang w:val="pl-PL"/>
          </w:rPr>
          <w:t>i</w:t>
        </w:r>
      </w:hyperlink>
      <w:r w:rsidRPr="003E11E7">
        <w:rPr>
          <w:sz w:val="20"/>
          <w:lang w:val="pl-PL"/>
        </w:rPr>
        <w:t xml:space="preserve">, nr 43278/98 i 8 innym, 15 marca 2007 r. (brak </w:t>
      </w:r>
      <w:r w:rsidRPr="003E11E7">
        <w:rPr>
          <w:spacing w:val="-1"/>
          <w:sz w:val="20"/>
          <w:lang w:val="pl-PL"/>
        </w:rPr>
        <w:t xml:space="preserve">naruszenia </w:t>
      </w:r>
      <w:r w:rsidRPr="003E11E7">
        <w:rPr>
          <w:sz w:val="20"/>
          <w:lang w:val="pl-PL"/>
        </w:rPr>
        <w:t xml:space="preserve">art. 1 </w:t>
      </w:r>
      <w:bookmarkStart w:id="1" w:name="_Hlk200703976"/>
      <w:bookmarkStart w:id="2" w:name="_Hlk200704399"/>
      <w:r w:rsidRPr="003E11E7">
        <w:rPr>
          <w:sz w:val="20"/>
          <w:lang w:val="pl-PL"/>
        </w:rPr>
        <w:t>Protokołu nr 1 w pięciu sprawach z powodu nadużyć popełnionych przez skarżących prz</w:t>
      </w:r>
      <w:r w:rsidR="00C81141" w:rsidRPr="003E11E7">
        <w:rPr>
          <w:sz w:val="20"/>
          <w:lang w:val="pl-PL"/>
        </w:rPr>
        <w:t xml:space="preserve">y </w:t>
      </w:r>
      <w:r w:rsidR="00B0122F" w:rsidRPr="003E11E7">
        <w:rPr>
          <w:sz w:val="20"/>
          <w:lang w:val="pl-PL"/>
        </w:rPr>
        <w:t>nabywaniu</w:t>
      </w:r>
      <w:r w:rsidR="003851ED" w:rsidRPr="003E11E7">
        <w:rPr>
          <w:sz w:val="20"/>
          <w:lang w:val="pl-PL"/>
        </w:rPr>
        <w:t xml:space="preserve"> </w:t>
      </w:r>
      <w:r w:rsidR="00B0122F" w:rsidRPr="003E11E7">
        <w:rPr>
          <w:sz w:val="20"/>
          <w:lang w:val="pl-PL"/>
        </w:rPr>
        <w:t>mienia,</w:t>
      </w:r>
      <w:r w:rsidR="003851ED" w:rsidRPr="003E11E7">
        <w:rPr>
          <w:sz w:val="20"/>
          <w:lang w:val="pl-PL"/>
        </w:rPr>
        <w:t xml:space="preserve"> </w:t>
      </w:r>
      <w:r w:rsidR="00B0122F" w:rsidRPr="003E11E7">
        <w:rPr>
          <w:sz w:val="20"/>
          <w:lang w:val="pl-PL"/>
        </w:rPr>
        <w:t>istotne naruszenia</w:t>
      </w:r>
      <w:r w:rsidR="003851ED" w:rsidRPr="003E11E7">
        <w:rPr>
          <w:sz w:val="20"/>
          <w:lang w:val="pl-PL"/>
        </w:rPr>
        <w:t xml:space="preserve"> obowiązujących przepisów dotyczących prawa mieszkaniowego lub/I wypłatę skarżącemu odpowiedniego odszkodowania; </w:t>
      </w:r>
      <w:bookmarkEnd w:id="1"/>
      <w:r w:rsidR="00C2245F" w:rsidRPr="003E11E7">
        <w:rPr>
          <w:sz w:val="20"/>
          <w:lang w:val="pl-PL"/>
        </w:rPr>
        <w:t xml:space="preserve">stwierdzenie </w:t>
      </w:r>
      <w:r w:rsidRPr="003E11E7">
        <w:rPr>
          <w:sz w:val="20"/>
          <w:lang w:val="pl-PL"/>
        </w:rPr>
        <w:t>naruszeni</w:t>
      </w:r>
      <w:r w:rsidR="00C2245F" w:rsidRPr="003E11E7">
        <w:rPr>
          <w:sz w:val="20"/>
          <w:lang w:val="pl-PL"/>
        </w:rPr>
        <w:t>a</w:t>
      </w:r>
      <w:r w:rsidRPr="003E11E7">
        <w:rPr>
          <w:sz w:val="20"/>
          <w:lang w:val="pl-PL"/>
        </w:rPr>
        <w:t xml:space="preserve"> art. 1 Protokołu nr 1 w czterech sprawach, w których administracja państwowa była odpowiedzialna za nieprawidłowości skutkujące unieważnieniem tytułów własności skarżących lub nadmierną interpretacją zakresu zastosowania ustawy reprywatyzacyjnej);</w:t>
      </w:r>
    </w:p>
    <w:bookmarkEnd w:id="2"/>
    <w:p w14:paraId="6890F708" w14:textId="05EE1716" w:rsidR="00D31054" w:rsidRPr="003E11E7" w:rsidRDefault="00D31054" w:rsidP="00C81141">
      <w:pPr>
        <w:pStyle w:val="Akapitzlist"/>
        <w:numPr>
          <w:ilvl w:val="1"/>
          <w:numId w:val="1"/>
        </w:numPr>
        <w:tabs>
          <w:tab w:val="left" w:pos="1582"/>
        </w:tabs>
        <w:spacing w:before="34" w:line="351" w:lineRule="exact"/>
        <w:ind w:left="1582" w:hanging="283"/>
        <w:jc w:val="both"/>
        <w:rPr>
          <w:lang w:val="pl-PL"/>
        </w:rPr>
      </w:pPr>
      <w:r>
        <w:fldChar w:fldCharType="begin"/>
      </w:r>
      <w:r w:rsidRPr="003E11E7">
        <w:rPr>
          <w:lang w:val="pl-PL"/>
        </w:rPr>
        <w:instrText>HYPERLINK "https://hudoc.echr.coe.int/eng?i=001-84005" \h</w:instrText>
      </w:r>
      <w:r>
        <w:fldChar w:fldCharType="separate"/>
      </w:r>
      <w:proofErr w:type="spellStart"/>
      <w:r w:rsidRPr="003E11E7">
        <w:rPr>
          <w:i/>
          <w:color w:val="0072BC"/>
          <w:sz w:val="20"/>
          <w:lang w:val="pl-PL"/>
        </w:rPr>
        <w:t>Gashi</w:t>
      </w:r>
      <w:proofErr w:type="spellEnd"/>
      <w:r w:rsidRPr="003E11E7">
        <w:rPr>
          <w:i/>
          <w:color w:val="0072BC"/>
          <w:sz w:val="20"/>
          <w:lang w:val="pl-PL"/>
        </w:rPr>
        <w:t xml:space="preserve"> przeciwko Chorwacji</w:t>
      </w:r>
      <w:r>
        <w:fldChar w:fldCharType="end"/>
      </w:r>
      <w:r w:rsidRPr="003E11E7">
        <w:rPr>
          <w:sz w:val="20"/>
          <w:lang w:val="pl-PL"/>
        </w:rPr>
        <w:t xml:space="preserve">, nr 32457/05, 13 grudnia 2007 r. (naruszenie art. 1 Protokołu nr </w:t>
      </w:r>
      <w:r w:rsidRPr="003E11E7">
        <w:rPr>
          <w:spacing w:val="-5"/>
          <w:sz w:val="20"/>
          <w:lang w:val="pl-PL"/>
        </w:rPr>
        <w:t>1);</w:t>
      </w:r>
    </w:p>
    <w:p w14:paraId="1C61E738" w14:textId="05791B70" w:rsidR="00D31054" w:rsidRPr="003E11E7" w:rsidRDefault="00D31054" w:rsidP="00C81141">
      <w:pPr>
        <w:pStyle w:val="Akapitzlist"/>
        <w:numPr>
          <w:ilvl w:val="1"/>
          <w:numId w:val="1"/>
        </w:numPr>
        <w:tabs>
          <w:tab w:val="left" w:pos="1583"/>
        </w:tabs>
        <w:spacing w:before="31" w:line="184" w:lineRule="auto"/>
        <w:ind w:right="730"/>
        <w:jc w:val="both"/>
        <w:rPr>
          <w:lang w:val="pl-PL"/>
        </w:rPr>
      </w:pPr>
      <w:hyperlink r:id="rId72">
        <w:proofErr w:type="spellStart"/>
        <w:r w:rsidRPr="003E11E7">
          <w:rPr>
            <w:i/>
            <w:color w:val="0072BC"/>
            <w:sz w:val="20"/>
            <w:lang w:val="pl-PL"/>
          </w:rPr>
          <w:t>Kozacıoğlu</w:t>
        </w:r>
        <w:proofErr w:type="spellEnd"/>
        <w:r w:rsidRPr="003E11E7">
          <w:rPr>
            <w:i/>
            <w:color w:val="0072BC"/>
            <w:sz w:val="20"/>
            <w:lang w:val="pl-PL"/>
          </w:rPr>
          <w:t xml:space="preserve"> przeciwko Turcji </w:t>
        </w:r>
      </w:hyperlink>
      <w:r w:rsidRPr="003E11E7">
        <w:rPr>
          <w:sz w:val="20"/>
          <w:lang w:val="pl-PL"/>
        </w:rPr>
        <w:t>[</w:t>
      </w:r>
      <w:r w:rsidR="00B459E1" w:rsidRPr="003E11E7">
        <w:rPr>
          <w:sz w:val="20"/>
          <w:lang w:val="pl-PL"/>
        </w:rPr>
        <w:t>WI</w:t>
      </w:r>
      <w:r w:rsidRPr="003E11E7">
        <w:rPr>
          <w:sz w:val="20"/>
          <w:lang w:val="pl-PL"/>
        </w:rPr>
        <w:t>], nr 2334/03, 19 lutego 2009 r. (naruszenie art. 1 Protokołu nr 1).</w:t>
      </w:r>
    </w:p>
    <w:p w14:paraId="72F005BD" w14:textId="77777777" w:rsidR="00D31054" w:rsidRPr="003E11E7" w:rsidRDefault="00D31054">
      <w:pPr>
        <w:pStyle w:val="Tekstpodstawowy"/>
        <w:spacing w:before="26"/>
        <w:ind w:left="0"/>
        <w:rPr>
          <w:lang w:val="pl-PL"/>
        </w:rPr>
      </w:pPr>
    </w:p>
    <w:p w14:paraId="7D191EEA" w14:textId="77777777" w:rsidR="00D31054" w:rsidRPr="003E11E7" w:rsidRDefault="00000000">
      <w:pPr>
        <w:pStyle w:val="Nagwek2"/>
        <w:rPr>
          <w:lang w:val="pl-PL"/>
        </w:rPr>
      </w:pPr>
      <w:r>
        <w:rPr>
          <w:noProof/>
        </w:rPr>
        <mc:AlternateContent>
          <mc:Choice Requires="wps">
            <w:drawing>
              <wp:anchor distT="0" distB="0" distL="0" distR="0" simplePos="0" relativeHeight="251676672" behindDoc="1" locked="0" layoutInCell="1" allowOverlap="1" wp14:anchorId="7E77D9EE" wp14:editId="56F076C0">
                <wp:simplePos x="0" y="0"/>
                <wp:positionH relativeFrom="page">
                  <wp:posOffset>895985</wp:posOffset>
                </wp:positionH>
                <wp:positionV relativeFrom="paragraph">
                  <wp:posOffset>239484</wp:posOffset>
                </wp:positionV>
                <wp:extent cx="5768975" cy="1270"/>
                <wp:effectExtent l="0" t="0" r="0" b="0"/>
                <wp:wrapTopAndBottom/>
                <wp:docPr id="16" name="Graphic 16"/>
                <wp:cNvGraphicFramePr/>
                <a:graphic xmlns:a="http://schemas.openxmlformats.org/drawingml/2006/main">
                  <a:graphicData uri="http://schemas.microsoft.com/office/word/2010/wordprocessingShape">
                    <wps:wsp>
                      <wps:cNvSpPr/>
                      <wps:spPr>
                        <a:xfrm>
                          <a:off x="0" y="0"/>
                          <a:ext cx="5768975" cy="1270"/>
                        </a:xfrm>
                        <a:custGeom>
                          <a:avLst/>
                          <a:gdLst/>
                          <a:ahLst/>
                          <a:cxnLst/>
                          <a:rect l="l" t="t" r="r" b="b"/>
                          <a:pathLst>
                            <a:path w="5768975">
                              <a:moveTo>
                                <a:pt x="0" y="0"/>
                              </a:moveTo>
                              <a:lnTo>
                                <a:pt x="5768974" y="0"/>
                              </a:lnTo>
                            </a:path>
                          </a:pathLst>
                        </a:custGeom>
                        <a:ln w="19050">
                          <a:solidFill>
                            <a:srgbClr val="949494"/>
                          </a:solidFill>
                          <a:prstDash val="solid"/>
                        </a:ln>
                      </wps:spPr>
                      <wps:bodyPr wrap="square" lIns="0" tIns="0" rIns="0" bIns="0" rtlCol="0">
                        <a:prstTxWarp prst="textNoShape">
                          <a:avLst/>
                        </a:prstTxWarp>
                      </wps:bodyPr>
                    </wps:wsp>
                  </a:graphicData>
                </a:graphic>
              </wp:anchor>
            </w:drawing>
          </mc:Choice>
          <mc:Fallback>
            <w:pict>
              <v:shape w14:anchorId="09828CF8" id="Graphic 16" o:spid="_x0000_s1026" style="position:absolute;margin-left:70.55pt;margin-top:18.85pt;width:454.25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5768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" path="m,l5768974,e" filled="f" strokecolor="#949494" strokeweight="1.5pt">
                <v:path arrowok="t"/>
                <w10:wrap type="topAndBottom" anchorx="page"/>
              </v:shape>
            </w:pict>
          </mc:Fallback>
        </mc:AlternateContent>
      </w:r>
      <w:r w:rsidRPr="003E11E7">
        <w:rPr>
          <w:color w:val="2F2F2F"/>
          <w:sz w:val="26"/>
          <w:lang w:val="pl-PL"/>
        </w:rPr>
        <w:t xml:space="preserve">Inne przypadki na mocy art. 1 Protokołu nr </w:t>
      </w:r>
      <w:r w:rsidRPr="003E11E7">
        <w:rPr>
          <w:color w:val="2F2F2F"/>
          <w:spacing w:val="-10"/>
          <w:sz w:val="26"/>
          <w:lang w:val="pl-PL"/>
        </w:rPr>
        <w:t>1</w:t>
      </w:r>
    </w:p>
    <w:p w14:paraId="47C3EF91" w14:textId="337812C0" w:rsidR="00D31054" w:rsidRPr="003E11E7" w:rsidRDefault="00D31054" w:rsidP="00B459E1">
      <w:pPr>
        <w:pStyle w:val="Akapitzlist"/>
        <w:numPr>
          <w:ilvl w:val="1"/>
          <w:numId w:val="1"/>
        </w:numPr>
        <w:tabs>
          <w:tab w:val="left" w:pos="1583"/>
        </w:tabs>
        <w:spacing w:before="88" w:line="184" w:lineRule="auto"/>
        <w:ind w:right="730"/>
        <w:jc w:val="both"/>
        <w:rPr>
          <w:lang w:val="pl-PL"/>
        </w:rPr>
      </w:pPr>
      <w:hyperlink r:id="rId73">
        <w:r w:rsidRPr="003E11E7">
          <w:rPr>
            <w:i/>
            <w:color w:val="0072BC"/>
            <w:sz w:val="20"/>
            <w:lang w:val="pl-PL"/>
          </w:rPr>
          <w:t xml:space="preserve">Moskal </w:t>
        </w:r>
        <w:r w:rsidR="004A386F" w:rsidRPr="003E11E7">
          <w:rPr>
            <w:i/>
            <w:color w:val="0072BC"/>
            <w:sz w:val="20"/>
            <w:lang w:val="pl-PL"/>
          </w:rPr>
          <w:t>przeciwko</w:t>
        </w:r>
        <w:r w:rsidRPr="003E11E7">
          <w:rPr>
            <w:i/>
            <w:color w:val="0072BC"/>
            <w:sz w:val="20"/>
            <w:lang w:val="pl-PL"/>
          </w:rPr>
          <w:t xml:space="preserve"> Pols</w:t>
        </w:r>
        <w:r w:rsidR="004A386F" w:rsidRPr="003E11E7">
          <w:rPr>
            <w:i/>
            <w:color w:val="0072BC"/>
            <w:sz w:val="20"/>
            <w:lang w:val="pl-PL"/>
          </w:rPr>
          <w:t>ce</w:t>
        </w:r>
      </w:hyperlink>
      <w:r w:rsidRPr="003E11E7">
        <w:rPr>
          <w:sz w:val="20"/>
          <w:lang w:val="pl-PL"/>
        </w:rPr>
        <w:t>, n</w:t>
      </w:r>
      <w:r w:rsidR="00B10292" w:rsidRPr="003E11E7">
        <w:rPr>
          <w:sz w:val="20"/>
          <w:lang w:val="pl-PL"/>
        </w:rPr>
        <w:t>r</w:t>
      </w:r>
      <w:r w:rsidR="00B459E1" w:rsidRPr="003E11E7">
        <w:rPr>
          <w:sz w:val="20"/>
          <w:lang w:val="pl-PL"/>
        </w:rPr>
        <w:t xml:space="preserve"> </w:t>
      </w:r>
      <w:r w:rsidRPr="003E11E7">
        <w:rPr>
          <w:sz w:val="20"/>
          <w:lang w:val="pl-PL"/>
        </w:rPr>
        <w:t>10373/05, 15 września 2009</w:t>
      </w:r>
      <w:r w:rsidR="00B459E1" w:rsidRPr="003E11E7">
        <w:rPr>
          <w:sz w:val="20"/>
          <w:lang w:val="pl-PL"/>
        </w:rPr>
        <w:t xml:space="preserve"> r.</w:t>
      </w:r>
      <w:r w:rsidRPr="003E11E7">
        <w:rPr>
          <w:sz w:val="20"/>
          <w:lang w:val="pl-PL"/>
        </w:rPr>
        <w:t xml:space="preserve"> (naruszenie art</w:t>
      </w:r>
      <w:r w:rsidR="00B459E1" w:rsidRPr="003E11E7">
        <w:rPr>
          <w:sz w:val="20"/>
          <w:lang w:val="pl-PL"/>
        </w:rPr>
        <w:t>.</w:t>
      </w:r>
      <w:r w:rsidRPr="003E11E7">
        <w:rPr>
          <w:sz w:val="20"/>
          <w:lang w:val="pl-PL"/>
        </w:rPr>
        <w:t xml:space="preserve"> 1 Protokołu nr 1);</w:t>
      </w:r>
    </w:p>
    <w:p w14:paraId="42CA718E" w14:textId="77777777" w:rsidR="00D31054" w:rsidRPr="003E11E7" w:rsidRDefault="00D31054" w:rsidP="00B459E1">
      <w:pPr>
        <w:pStyle w:val="Akapitzlist"/>
        <w:numPr>
          <w:ilvl w:val="1"/>
          <w:numId w:val="1"/>
        </w:numPr>
        <w:tabs>
          <w:tab w:val="left" w:pos="1583"/>
        </w:tabs>
        <w:spacing w:before="103" w:line="184" w:lineRule="auto"/>
        <w:ind w:right="730"/>
        <w:jc w:val="both"/>
        <w:rPr>
          <w:lang w:val="pl-PL"/>
        </w:rPr>
      </w:pPr>
      <w:hyperlink r:id="rId74">
        <w:proofErr w:type="spellStart"/>
        <w:r w:rsidRPr="003E11E7">
          <w:rPr>
            <w:i/>
            <w:color w:val="0072BC"/>
            <w:sz w:val="20"/>
            <w:lang w:val="pl-PL"/>
          </w:rPr>
          <w:t>Gladysheva</w:t>
        </w:r>
        <w:proofErr w:type="spellEnd"/>
        <w:r w:rsidRPr="003E11E7">
          <w:rPr>
            <w:i/>
            <w:color w:val="0072BC"/>
            <w:sz w:val="20"/>
            <w:lang w:val="pl-PL"/>
          </w:rPr>
          <w:t xml:space="preserve"> przeciwko Rosji</w:t>
        </w:r>
      </w:hyperlink>
      <w:r w:rsidRPr="003E11E7">
        <w:rPr>
          <w:sz w:val="20"/>
          <w:lang w:val="pl-PL"/>
        </w:rPr>
        <w:t>, nr 7097/10, 6 grudnia 2011 r. (naruszenie art. 8 i art. 1 Protokołu nr 1);</w:t>
      </w:r>
    </w:p>
    <w:p w14:paraId="6B73334B" w14:textId="2F853233" w:rsidR="00D31054" w:rsidRPr="003E11E7" w:rsidRDefault="00D31054" w:rsidP="00B459E1">
      <w:pPr>
        <w:pStyle w:val="Akapitzlist"/>
        <w:numPr>
          <w:ilvl w:val="1"/>
          <w:numId w:val="1"/>
        </w:numPr>
        <w:tabs>
          <w:tab w:val="left" w:pos="1582"/>
        </w:tabs>
        <w:spacing w:before="48" w:line="351" w:lineRule="exact"/>
        <w:ind w:left="1582" w:hanging="283"/>
        <w:jc w:val="both"/>
        <w:rPr>
          <w:lang w:val="pl-PL"/>
        </w:rPr>
      </w:pPr>
      <w:hyperlink r:id="rId75">
        <w:proofErr w:type="spellStart"/>
        <w:r w:rsidRPr="003E11E7">
          <w:rPr>
            <w:i/>
            <w:color w:val="0072BC"/>
            <w:sz w:val="20"/>
            <w:lang w:val="pl-PL"/>
          </w:rPr>
          <w:t>Kotov</w:t>
        </w:r>
        <w:proofErr w:type="spellEnd"/>
        <w:r w:rsidRPr="003E11E7">
          <w:rPr>
            <w:i/>
            <w:color w:val="0072BC"/>
            <w:sz w:val="20"/>
            <w:lang w:val="pl-PL"/>
          </w:rPr>
          <w:t xml:space="preserve"> przeciwko Rosji </w:t>
        </w:r>
      </w:hyperlink>
      <w:r w:rsidRPr="003E11E7">
        <w:rPr>
          <w:sz w:val="20"/>
          <w:lang w:val="pl-PL"/>
        </w:rPr>
        <w:t>[</w:t>
      </w:r>
      <w:r w:rsidR="00B459E1" w:rsidRPr="003E11E7">
        <w:rPr>
          <w:sz w:val="20"/>
          <w:lang w:val="pl-PL"/>
        </w:rPr>
        <w:t>WI</w:t>
      </w:r>
      <w:r w:rsidRPr="003E11E7">
        <w:rPr>
          <w:sz w:val="20"/>
          <w:lang w:val="pl-PL"/>
        </w:rPr>
        <w:t xml:space="preserve">], nr 54522/00, 3 kwietnia 2012 r. (brak naruszenia art. 1 Protokołu nr </w:t>
      </w:r>
      <w:r w:rsidRPr="003E11E7">
        <w:rPr>
          <w:spacing w:val="-5"/>
          <w:sz w:val="20"/>
          <w:lang w:val="pl-PL"/>
        </w:rPr>
        <w:t>1);</w:t>
      </w:r>
    </w:p>
    <w:p w14:paraId="3D83B4DD" w14:textId="3656BD65" w:rsidR="00D31054" w:rsidRPr="003E11E7" w:rsidRDefault="00D31054" w:rsidP="00B459E1">
      <w:pPr>
        <w:pStyle w:val="Akapitzlist"/>
        <w:numPr>
          <w:ilvl w:val="1"/>
          <w:numId w:val="1"/>
        </w:numPr>
        <w:tabs>
          <w:tab w:val="left" w:pos="1583"/>
        </w:tabs>
        <w:spacing w:before="32" w:line="184" w:lineRule="auto"/>
        <w:ind w:right="729"/>
        <w:jc w:val="both"/>
        <w:rPr>
          <w:lang w:val="pl-PL"/>
        </w:rPr>
      </w:pPr>
      <w:hyperlink r:id="rId76">
        <w:proofErr w:type="spellStart"/>
        <w:r w:rsidRPr="003E11E7">
          <w:rPr>
            <w:i/>
            <w:color w:val="0072BC"/>
            <w:sz w:val="20"/>
            <w:lang w:val="pl-PL"/>
          </w:rPr>
          <w:t>Vistiņš</w:t>
        </w:r>
        <w:proofErr w:type="spellEnd"/>
        <w:r w:rsidRPr="003E11E7">
          <w:rPr>
            <w:i/>
            <w:color w:val="0072BC"/>
            <w:sz w:val="20"/>
            <w:lang w:val="pl-PL"/>
          </w:rPr>
          <w:t xml:space="preserve"> i </w:t>
        </w:r>
        <w:proofErr w:type="spellStart"/>
        <w:r w:rsidRPr="003E11E7">
          <w:rPr>
            <w:i/>
            <w:color w:val="0072BC"/>
            <w:sz w:val="20"/>
            <w:lang w:val="pl-PL"/>
          </w:rPr>
          <w:t>Perepjolkins</w:t>
        </w:r>
        <w:proofErr w:type="spellEnd"/>
        <w:r w:rsidRPr="003E11E7">
          <w:rPr>
            <w:i/>
            <w:color w:val="0072BC"/>
            <w:sz w:val="20"/>
            <w:lang w:val="pl-PL"/>
          </w:rPr>
          <w:t xml:space="preserve"> przeciwko Łotwie </w:t>
        </w:r>
      </w:hyperlink>
      <w:r w:rsidRPr="003E11E7">
        <w:rPr>
          <w:sz w:val="20"/>
          <w:lang w:val="pl-PL"/>
        </w:rPr>
        <w:t>[</w:t>
      </w:r>
      <w:r w:rsidR="00B459E1" w:rsidRPr="003E11E7">
        <w:rPr>
          <w:sz w:val="20"/>
          <w:lang w:val="pl-PL"/>
        </w:rPr>
        <w:t>WI</w:t>
      </w:r>
      <w:r w:rsidRPr="003E11E7">
        <w:rPr>
          <w:sz w:val="20"/>
          <w:lang w:val="pl-PL"/>
        </w:rPr>
        <w:t>], nr 71243/01, 25 października 2012 r. (naruszenie art. 1 Protokołu nr 1);</w:t>
      </w:r>
    </w:p>
    <w:p w14:paraId="00BE5C6E" w14:textId="23E3993C" w:rsidR="00D31054" w:rsidRPr="003E11E7" w:rsidRDefault="00D31054" w:rsidP="00B459E1">
      <w:pPr>
        <w:pStyle w:val="Akapitzlist"/>
        <w:numPr>
          <w:ilvl w:val="1"/>
          <w:numId w:val="1"/>
        </w:numPr>
        <w:tabs>
          <w:tab w:val="left" w:pos="1583"/>
        </w:tabs>
        <w:spacing w:before="102" w:line="184" w:lineRule="auto"/>
        <w:ind w:right="730"/>
        <w:jc w:val="both"/>
        <w:rPr>
          <w:lang w:val="pl-PL"/>
        </w:rPr>
      </w:pPr>
      <w:hyperlink r:id="rId77">
        <w:proofErr w:type="spellStart"/>
        <w:r w:rsidRPr="003E11E7">
          <w:rPr>
            <w:i/>
            <w:color w:val="0072BC"/>
            <w:sz w:val="20"/>
            <w:lang w:val="pl-PL"/>
          </w:rPr>
          <w:t>Maksymenko</w:t>
        </w:r>
        <w:proofErr w:type="spellEnd"/>
        <w:r w:rsidRPr="003E11E7">
          <w:rPr>
            <w:i/>
            <w:color w:val="0072BC"/>
            <w:sz w:val="20"/>
            <w:lang w:val="pl-PL"/>
          </w:rPr>
          <w:t xml:space="preserve"> i </w:t>
        </w:r>
        <w:proofErr w:type="spellStart"/>
        <w:r w:rsidRPr="003E11E7">
          <w:rPr>
            <w:i/>
            <w:color w:val="0072BC"/>
            <w:sz w:val="20"/>
            <w:lang w:val="pl-PL"/>
          </w:rPr>
          <w:t>Gerasymenko</w:t>
        </w:r>
        <w:proofErr w:type="spellEnd"/>
        <w:r w:rsidRPr="003E11E7">
          <w:rPr>
            <w:i/>
            <w:color w:val="0072BC"/>
            <w:sz w:val="20"/>
            <w:lang w:val="pl-PL"/>
          </w:rPr>
          <w:t xml:space="preserve"> przeciwko Ukrainie</w:t>
        </w:r>
      </w:hyperlink>
      <w:r w:rsidRPr="003E11E7">
        <w:rPr>
          <w:sz w:val="20"/>
          <w:lang w:val="pl-PL"/>
        </w:rPr>
        <w:t>, nr 49317/07, 16 maja 2013 r. (naruszenie art. 1 Protokołu nr 1);</w:t>
      </w:r>
    </w:p>
    <w:p w14:paraId="21EC88C8" w14:textId="6D7A49F1" w:rsidR="00D31054" w:rsidRPr="003E11E7" w:rsidRDefault="00D31054" w:rsidP="00B459E1">
      <w:pPr>
        <w:pStyle w:val="Akapitzlist"/>
        <w:numPr>
          <w:ilvl w:val="1"/>
          <w:numId w:val="1"/>
        </w:numPr>
        <w:tabs>
          <w:tab w:val="left" w:pos="1583"/>
        </w:tabs>
        <w:spacing w:before="103" w:line="184" w:lineRule="auto"/>
        <w:ind w:right="729"/>
        <w:jc w:val="both"/>
        <w:rPr>
          <w:lang w:val="pl-PL"/>
        </w:rPr>
      </w:pPr>
      <w:hyperlink r:id="rId78">
        <w:proofErr w:type="spellStart"/>
        <w:r w:rsidRPr="003E11E7">
          <w:rPr>
            <w:i/>
            <w:color w:val="0072BC"/>
            <w:sz w:val="20"/>
            <w:lang w:val="pl-PL"/>
          </w:rPr>
          <w:t>Pyrantienė</w:t>
        </w:r>
        <w:proofErr w:type="spellEnd"/>
        <w:r w:rsidRPr="003E11E7">
          <w:rPr>
            <w:i/>
            <w:color w:val="0072BC"/>
            <w:sz w:val="20"/>
            <w:lang w:val="pl-PL"/>
          </w:rPr>
          <w:t xml:space="preserve"> przeciwko Litwie</w:t>
        </w:r>
      </w:hyperlink>
      <w:r w:rsidRPr="003E11E7">
        <w:rPr>
          <w:sz w:val="20"/>
          <w:lang w:val="pl-PL"/>
        </w:rPr>
        <w:t>, nr 45092/07, 12 listopada 2013 r. (naruszenie art. 1 Protokołu nr 1);</w:t>
      </w:r>
    </w:p>
    <w:p w14:paraId="0A482991" w14:textId="1E6F677A" w:rsidR="00D31054" w:rsidRPr="003E11E7" w:rsidRDefault="00D31054" w:rsidP="00B459E1">
      <w:pPr>
        <w:pStyle w:val="Akapitzlist"/>
        <w:numPr>
          <w:ilvl w:val="1"/>
          <w:numId w:val="1"/>
        </w:numPr>
        <w:tabs>
          <w:tab w:val="left" w:pos="1583"/>
        </w:tabs>
        <w:spacing w:before="102" w:line="184" w:lineRule="auto"/>
        <w:ind w:right="731"/>
        <w:jc w:val="both"/>
        <w:rPr>
          <w:lang w:val="pl-PL"/>
        </w:rPr>
      </w:pPr>
      <w:hyperlink r:id="rId79">
        <w:proofErr w:type="spellStart"/>
        <w:r w:rsidRPr="003E11E7">
          <w:rPr>
            <w:i/>
            <w:color w:val="0072BC"/>
            <w:sz w:val="20"/>
            <w:lang w:val="pl-PL"/>
          </w:rPr>
          <w:t>Stolyarova</w:t>
        </w:r>
        <w:proofErr w:type="spellEnd"/>
        <w:r w:rsidRPr="003E11E7">
          <w:rPr>
            <w:i/>
            <w:color w:val="0072BC"/>
            <w:sz w:val="20"/>
            <w:lang w:val="pl-PL"/>
          </w:rPr>
          <w:t xml:space="preserve"> przeciwko Rosji</w:t>
        </w:r>
      </w:hyperlink>
      <w:r w:rsidRPr="003E11E7">
        <w:rPr>
          <w:sz w:val="20"/>
          <w:lang w:val="pl-PL"/>
        </w:rPr>
        <w:t>, nr 15711/13, 29 stycznia 2015 r. (naruszenie art. 8 i art. 1 Protokołu nr</w:t>
      </w:r>
      <w:r w:rsidR="00B459E1" w:rsidRPr="003E11E7">
        <w:rPr>
          <w:sz w:val="20"/>
          <w:lang w:val="pl-PL"/>
        </w:rPr>
        <w:t> </w:t>
      </w:r>
      <w:r w:rsidRPr="003E11E7">
        <w:rPr>
          <w:sz w:val="20"/>
          <w:lang w:val="pl-PL"/>
        </w:rPr>
        <w:t>1);</w:t>
      </w:r>
    </w:p>
    <w:p w14:paraId="0D6F548B" w14:textId="77777777" w:rsidR="00D31054" w:rsidRPr="003E11E7" w:rsidRDefault="00D31054" w:rsidP="00B459E1">
      <w:pPr>
        <w:pStyle w:val="Akapitzlist"/>
        <w:numPr>
          <w:ilvl w:val="1"/>
          <w:numId w:val="1"/>
        </w:numPr>
        <w:tabs>
          <w:tab w:val="left" w:pos="1582"/>
        </w:tabs>
        <w:spacing w:before="49" w:line="351" w:lineRule="exact"/>
        <w:ind w:left="1582" w:hanging="283"/>
        <w:jc w:val="both"/>
        <w:rPr>
          <w:lang w:val="pl-PL"/>
        </w:rPr>
      </w:pPr>
      <w:hyperlink r:id="rId80">
        <w:proofErr w:type="spellStart"/>
        <w:r w:rsidRPr="003E11E7">
          <w:rPr>
            <w:i/>
            <w:color w:val="0072BC"/>
            <w:sz w:val="20"/>
            <w:lang w:val="pl-PL"/>
          </w:rPr>
          <w:t>Vukušić</w:t>
        </w:r>
        <w:proofErr w:type="spellEnd"/>
        <w:r w:rsidRPr="003E11E7">
          <w:rPr>
            <w:i/>
            <w:color w:val="0072BC"/>
            <w:sz w:val="20"/>
            <w:lang w:val="pl-PL"/>
          </w:rPr>
          <w:t xml:space="preserve"> przeciwko Chorwacji</w:t>
        </w:r>
      </w:hyperlink>
      <w:r w:rsidRPr="003E11E7">
        <w:rPr>
          <w:sz w:val="20"/>
          <w:lang w:val="pl-PL"/>
        </w:rPr>
        <w:t xml:space="preserve">, nr 69735/11, 31 maja 2016 r. (brak naruszenia art. 1 Protokołu nr </w:t>
      </w:r>
      <w:r w:rsidRPr="003E11E7">
        <w:rPr>
          <w:spacing w:val="-5"/>
          <w:sz w:val="20"/>
          <w:lang w:val="pl-PL"/>
        </w:rPr>
        <w:t>1);</w:t>
      </w:r>
    </w:p>
    <w:p w14:paraId="030AFE74" w14:textId="077396C5" w:rsidR="00D31054" w:rsidRPr="003E11E7" w:rsidRDefault="00D31054" w:rsidP="00B459E1">
      <w:pPr>
        <w:pStyle w:val="Akapitzlist"/>
        <w:numPr>
          <w:ilvl w:val="1"/>
          <w:numId w:val="1"/>
        </w:numPr>
        <w:tabs>
          <w:tab w:val="left" w:pos="1583"/>
        </w:tabs>
        <w:spacing w:before="31" w:line="184" w:lineRule="auto"/>
        <w:ind w:right="729"/>
        <w:jc w:val="both"/>
        <w:rPr>
          <w:lang w:val="pl-PL"/>
        </w:rPr>
      </w:pPr>
      <w:hyperlink r:id="rId81">
        <w:proofErr w:type="spellStart"/>
        <w:r w:rsidRPr="003E11E7">
          <w:rPr>
            <w:i/>
            <w:color w:val="0072BC"/>
            <w:sz w:val="20"/>
            <w:lang w:val="pl-PL"/>
          </w:rPr>
          <w:t>Alentseva</w:t>
        </w:r>
        <w:proofErr w:type="spellEnd"/>
        <w:r w:rsidRPr="003E11E7">
          <w:rPr>
            <w:i/>
            <w:color w:val="0072BC"/>
            <w:sz w:val="20"/>
            <w:lang w:val="pl-PL"/>
          </w:rPr>
          <w:t xml:space="preserve"> przeciwko Rosji</w:t>
        </w:r>
      </w:hyperlink>
      <w:r w:rsidRPr="003E11E7">
        <w:rPr>
          <w:sz w:val="20"/>
          <w:lang w:val="pl-PL"/>
        </w:rPr>
        <w:t>, nr 31788/06, 17 listopada 2016 r. (naruszenie art. 1 Protokołu nr 1);</w:t>
      </w:r>
    </w:p>
    <w:p w14:paraId="57D04879" w14:textId="2CB17AA7" w:rsidR="00D31054" w:rsidRPr="003E11E7" w:rsidRDefault="00D31054" w:rsidP="00B459E1">
      <w:pPr>
        <w:pStyle w:val="Akapitzlist"/>
        <w:numPr>
          <w:ilvl w:val="1"/>
          <w:numId w:val="1"/>
        </w:numPr>
        <w:tabs>
          <w:tab w:val="left" w:pos="1583"/>
        </w:tabs>
        <w:spacing w:before="74" w:line="213" w:lineRule="auto"/>
        <w:ind w:right="729"/>
        <w:jc w:val="both"/>
        <w:rPr>
          <w:lang w:val="pl-PL"/>
        </w:rPr>
      </w:pPr>
      <w:hyperlink r:id="rId82">
        <w:proofErr w:type="spellStart"/>
        <w:r w:rsidRPr="003E11E7">
          <w:rPr>
            <w:i/>
            <w:color w:val="0072BC"/>
            <w:sz w:val="20"/>
            <w:lang w:val="pl-PL"/>
          </w:rPr>
          <w:t>Pchelintseva</w:t>
        </w:r>
        <w:proofErr w:type="spellEnd"/>
        <w:r w:rsidRPr="003E11E7">
          <w:rPr>
            <w:i/>
            <w:color w:val="0072BC"/>
            <w:sz w:val="20"/>
            <w:lang w:val="pl-PL"/>
          </w:rPr>
          <w:t xml:space="preserve"> i </w:t>
        </w:r>
        <w:r w:rsidR="00B459E1" w:rsidRPr="003E11E7">
          <w:rPr>
            <w:i/>
            <w:color w:val="0072BC"/>
            <w:sz w:val="20"/>
            <w:lang w:val="pl-PL"/>
          </w:rPr>
          <w:t>I</w:t>
        </w:r>
        <w:r w:rsidRPr="003E11E7">
          <w:rPr>
            <w:i/>
            <w:color w:val="0072BC"/>
            <w:sz w:val="20"/>
            <w:lang w:val="pl-PL"/>
          </w:rPr>
          <w:t>nni przeciwko Rosji</w:t>
        </w:r>
      </w:hyperlink>
      <w:r w:rsidRPr="003E11E7">
        <w:rPr>
          <w:sz w:val="20"/>
          <w:lang w:val="pl-PL"/>
        </w:rPr>
        <w:t xml:space="preserve">, nr 47724/07 i 4 inne, 17 listopada 2016 r. (niedopuszczalne niezgodne </w:t>
      </w:r>
      <w:proofErr w:type="spellStart"/>
      <w:r w:rsidRPr="003E11E7">
        <w:rPr>
          <w:i/>
          <w:sz w:val="20"/>
          <w:lang w:val="pl-PL"/>
        </w:rPr>
        <w:t>ratione</w:t>
      </w:r>
      <w:proofErr w:type="spellEnd"/>
      <w:r w:rsidRPr="003E11E7">
        <w:rPr>
          <w:i/>
          <w:sz w:val="20"/>
          <w:lang w:val="pl-PL"/>
        </w:rPr>
        <w:t xml:space="preserve"> </w:t>
      </w:r>
      <w:proofErr w:type="spellStart"/>
      <w:r w:rsidRPr="003E11E7">
        <w:rPr>
          <w:i/>
          <w:sz w:val="20"/>
          <w:lang w:val="pl-PL"/>
        </w:rPr>
        <w:t>materiae</w:t>
      </w:r>
      <w:proofErr w:type="spellEnd"/>
      <w:r w:rsidRPr="003E11E7">
        <w:rPr>
          <w:i/>
          <w:sz w:val="20"/>
          <w:lang w:val="pl-PL"/>
        </w:rPr>
        <w:t xml:space="preserve"> </w:t>
      </w:r>
      <w:r w:rsidRPr="003E11E7">
        <w:rPr>
          <w:sz w:val="20"/>
          <w:lang w:val="pl-PL"/>
        </w:rPr>
        <w:t>dla członków rodziny właścicieli</w:t>
      </w:r>
      <w:r w:rsidR="00B459E1" w:rsidRPr="003E11E7">
        <w:rPr>
          <w:rFonts w:ascii="Arial" w:hAnsi="Arial"/>
          <w:sz w:val="20"/>
          <w:lang w:val="pl-PL"/>
        </w:rPr>
        <w:t>;</w:t>
      </w:r>
      <w:r w:rsidR="00E56E7E" w:rsidRPr="003E11E7">
        <w:rPr>
          <w:rFonts w:ascii="Arial" w:hAnsi="Arial"/>
          <w:sz w:val="20"/>
          <w:lang w:val="pl-PL"/>
        </w:rPr>
        <w:t xml:space="preserve"> </w:t>
      </w:r>
      <w:r w:rsidR="00B459E1" w:rsidRPr="003E11E7">
        <w:rPr>
          <w:rFonts w:asciiTheme="minorHAnsi" w:hAnsiTheme="minorHAnsi" w:cstheme="minorHAnsi"/>
          <w:sz w:val="20"/>
          <w:lang w:val="pl-PL"/>
        </w:rPr>
        <w:t>naruszenie</w:t>
      </w:r>
      <w:r w:rsidRPr="003E11E7">
        <w:rPr>
          <w:spacing w:val="40"/>
          <w:sz w:val="20"/>
          <w:lang w:val="pl-PL"/>
        </w:rPr>
        <w:t xml:space="preserve"> </w:t>
      </w:r>
      <w:r w:rsidRPr="003E11E7">
        <w:rPr>
          <w:sz w:val="20"/>
          <w:lang w:val="pl-PL"/>
        </w:rPr>
        <w:t>art. 1 Protokołu nr 1 w odniesieniu do właścicieli);</w:t>
      </w:r>
    </w:p>
    <w:p w14:paraId="6C791F1D" w14:textId="4F27277E" w:rsidR="00D31054" w:rsidRPr="003E11E7" w:rsidRDefault="00D31054" w:rsidP="00B459E1">
      <w:pPr>
        <w:pStyle w:val="Akapitzlist"/>
        <w:numPr>
          <w:ilvl w:val="1"/>
          <w:numId w:val="1"/>
        </w:numPr>
        <w:tabs>
          <w:tab w:val="left" w:pos="1583"/>
        </w:tabs>
        <w:spacing w:before="67" w:line="213" w:lineRule="auto"/>
        <w:ind w:right="729"/>
        <w:jc w:val="both"/>
        <w:rPr>
          <w:lang w:val="pl-PL"/>
        </w:rPr>
      </w:pPr>
      <w:hyperlink r:id="rId83">
        <w:proofErr w:type="spellStart"/>
        <w:r w:rsidRPr="003E11E7">
          <w:rPr>
            <w:i/>
            <w:color w:val="0072BC"/>
            <w:sz w:val="20"/>
            <w:lang w:val="pl-PL"/>
          </w:rPr>
          <w:t>Ponyayeva</w:t>
        </w:r>
        <w:proofErr w:type="spellEnd"/>
        <w:r w:rsidRPr="003E11E7">
          <w:rPr>
            <w:i/>
            <w:color w:val="0072BC"/>
            <w:sz w:val="20"/>
            <w:lang w:val="pl-PL"/>
          </w:rPr>
          <w:t xml:space="preserve"> i Inni przeciwko Rosja</w:t>
        </w:r>
      </w:hyperlink>
      <w:r w:rsidRPr="003E11E7">
        <w:rPr>
          <w:sz w:val="20"/>
          <w:lang w:val="pl-PL"/>
        </w:rPr>
        <w:t>, n</w:t>
      </w:r>
      <w:r w:rsidR="004A386F" w:rsidRPr="003E11E7">
        <w:rPr>
          <w:sz w:val="20"/>
          <w:lang w:val="pl-PL"/>
        </w:rPr>
        <w:t xml:space="preserve">r </w:t>
      </w:r>
      <w:r w:rsidRPr="003E11E7">
        <w:rPr>
          <w:sz w:val="20"/>
          <w:lang w:val="pl-PL"/>
        </w:rPr>
        <w:t>63508/11, 17 listopada 2016</w:t>
      </w:r>
      <w:r w:rsidR="007F12BD" w:rsidRPr="003E11E7">
        <w:rPr>
          <w:sz w:val="20"/>
          <w:lang w:val="pl-PL"/>
        </w:rPr>
        <w:t xml:space="preserve"> r.</w:t>
      </w:r>
      <w:r w:rsidRPr="003E11E7">
        <w:rPr>
          <w:sz w:val="20"/>
          <w:lang w:val="pl-PL"/>
        </w:rPr>
        <w:t xml:space="preserve"> (niedopuszczalne</w:t>
      </w:r>
      <w:r w:rsidR="007F12BD" w:rsidRPr="003E11E7">
        <w:rPr>
          <w:sz w:val="20"/>
          <w:lang w:val="pl-PL"/>
        </w:rPr>
        <w:t xml:space="preserve"> −</w:t>
      </w:r>
      <w:r w:rsidRPr="003E11E7">
        <w:rPr>
          <w:sz w:val="20"/>
          <w:lang w:val="pl-PL"/>
        </w:rPr>
        <w:t xml:space="preserve"> niezgodne </w:t>
      </w:r>
      <w:proofErr w:type="spellStart"/>
      <w:r w:rsidRPr="003E11E7">
        <w:rPr>
          <w:i/>
          <w:sz w:val="20"/>
          <w:lang w:val="pl-PL"/>
        </w:rPr>
        <w:t>ratione</w:t>
      </w:r>
      <w:proofErr w:type="spellEnd"/>
      <w:r w:rsidRPr="003E11E7">
        <w:rPr>
          <w:i/>
          <w:sz w:val="20"/>
          <w:lang w:val="pl-PL"/>
        </w:rPr>
        <w:t xml:space="preserve"> </w:t>
      </w:r>
      <w:proofErr w:type="spellStart"/>
      <w:r w:rsidRPr="003E11E7">
        <w:rPr>
          <w:i/>
          <w:sz w:val="20"/>
          <w:lang w:val="pl-PL"/>
        </w:rPr>
        <w:t>materiae</w:t>
      </w:r>
      <w:proofErr w:type="spellEnd"/>
      <w:r w:rsidRPr="003E11E7">
        <w:rPr>
          <w:i/>
          <w:sz w:val="20"/>
          <w:lang w:val="pl-PL"/>
        </w:rPr>
        <w:t xml:space="preserve"> </w:t>
      </w:r>
      <w:r w:rsidRPr="003E11E7">
        <w:rPr>
          <w:sz w:val="20"/>
          <w:lang w:val="pl-PL"/>
        </w:rPr>
        <w:t>dla członków rodziny właściciela</w:t>
      </w:r>
      <w:r w:rsidR="007F12BD" w:rsidRPr="003E11E7">
        <w:rPr>
          <w:rFonts w:ascii="Arial" w:hAnsi="Arial"/>
          <w:sz w:val="20"/>
          <w:lang w:val="pl-PL"/>
        </w:rPr>
        <w:t xml:space="preserve">; </w:t>
      </w:r>
      <w:r w:rsidR="007F12BD" w:rsidRPr="003E11E7">
        <w:rPr>
          <w:rFonts w:asciiTheme="minorHAnsi" w:hAnsiTheme="minorHAnsi" w:cstheme="minorHAnsi"/>
          <w:sz w:val="20"/>
          <w:lang w:val="pl-PL"/>
        </w:rPr>
        <w:t>naruszenie</w:t>
      </w:r>
      <w:r w:rsidR="007F12BD" w:rsidRPr="003E11E7">
        <w:rPr>
          <w:rFonts w:ascii="Arial" w:hAnsi="Arial"/>
          <w:sz w:val="20"/>
          <w:lang w:val="pl-PL"/>
        </w:rPr>
        <w:t xml:space="preserve"> </w:t>
      </w:r>
      <w:r w:rsidRPr="003E11E7">
        <w:rPr>
          <w:sz w:val="20"/>
          <w:lang w:val="pl-PL"/>
        </w:rPr>
        <w:t>art. 1 Protokołu nr 1 w odniesieniu do właściciela);</w:t>
      </w:r>
    </w:p>
    <w:p w14:paraId="7DAB89D3" w14:textId="77777777" w:rsidR="00D31054" w:rsidRPr="003E11E7" w:rsidRDefault="00D31054" w:rsidP="00B459E1">
      <w:pPr>
        <w:pStyle w:val="Akapitzlist"/>
        <w:numPr>
          <w:ilvl w:val="1"/>
          <w:numId w:val="1"/>
        </w:numPr>
        <w:tabs>
          <w:tab w:val="left" w:pos="1582"/>
        </w:tabs>
        <w:spacing w:before="41" w:line="351" w:lineRule="exact"/>
        <w:ind w:left="1582" w:hanging="283"/>
        <w:jc w:val="both"/>
        <w:rPr>
          <w:lang w:val="pl-PL"/>
        </w:rPr>
      </w:pPr>
      <w:hyperlink r:id="rId84">
        <w:proofErr w:type="spellStart"/>
        <w:r w:rsidRPr="003E11E7">
          <w:rPr>
            <w:i/>
            <w:color w:val="0072BC"/>
            <w:sz w:val="20"/>
            <w:lang w:val="pl-PL"/>
          </w:rPr>
          <w:t>Dzirnis</w:t>
        </w:r>
        <w:proofErr w:type="spellEnd"/>
        <w:r w:rsidRPr="003E11E7">
          <w:rPr>
            <w:i/>
            <w:color w:val="0072BC"/>
            <w:sz w:val="20"/>
            <w:lang w:val="pl-PL"/>
          </w:rPr>
          <w:t xml:space="preserve"> przeciwko Łotwie</w:t>
        </w:r>
      </w:hyperlink>
      <w:r w:rsidRPr="003E11E7">
        <w:rPr>
          <w:sz w:val="20"/>
          <w:lang w:val="pl-PL"/>
        </w:rPr>
        <w:t xml:space="preserve">, nr 25082/05, 26 stycznia 2017 r. (naruszenie art. 1 Protokołu nr </w:t>
      </w:r>
      <w:r w:rsidRPr="003E11E7">
        <w:rPr>
          <w:spacing w:val="-5"/>
          <w:sz w:val="20"/>
          <w:lang w:val="pl-PL"/>
        </w:rPr>
        <w:t>1);</w:t>
      </w:r>
    </w:p>
    <w:p w14:paraId="38D3723E" w14:textId="2C22E604" w:rsidR="00D31054" w:rsidRPr="003E11E7" w:rsidRDefault="00D31054" w:rsidP="00B459E1">
      <w:pPr>
        <w:pStyle w:val="Akapitzlist"/>
        <w:numPr>
          <w:ilvl w:val="1"/>
          <w:numId w:val="1"/>
        </w:numPr>
        <w:tabs>
          <w:tab w:val="left" w:pos="1582"/>
        </w:tabs>
        <w:spacing w:before="0" w:line="351" w:lineRule="exact"/>
        <w:ind w:left="1582" w:hanging="283"/>
        <w:jc w:val="both"/>
        <w:rPr>
          <w:lang w:val="pl-PL"/>
        </w:rPr>
      </w:pPr>
      <w:hyperlink r:id="rId85">
        <w:proofErr w:type="spellStart"/>
        <w:r w:rsidRPr="003E11E7">
          <w:rPr>
            <w:i/>
            <w:color w:val="0072BC"/>
            <w:sz w:val="20"/>
            <w:lang w:val="pl-PL"/>
          </w:rPr>
          <w:t>Čakarević</w:t>
        </w:r>
        <w:proofErr w:type="spellEnd"/>
        <w:r w:rsidRPr="003E11E7">
          <w:rPr>
            <w:i/>
            <w:color w:val="0072BC"/>
            <w:sz w:val="20"/>
            <w:lang w:val="pl-PL"/>
          </w:rPr>
          <w:t xml:space="preserve"> przeciwko Chorwacji</w:t>
        </w:r>
      </w:hyperlink>
      <w:r w:rsidRPr="003E11E7">
        <w:rPr>
          <w:sz w:val="20"/>
          <w:lang w:val="pl-PL"/>
        </w:rPr>
        <w:t xml:space="preserve">, nr 48921/13, 26 kwietnia 2018 r. (naruszenie art. 1 Protokołu nr </w:t>
      </w:r>
      <w:r w:rsidRPr="003E11E7">
        <w:rPr>
          <w:spacing w:val="-5"/>
          <w:sz w:val="20"/>
          <w:lang w:val="pl-PL"/>
        </w:rPr>
        <w:t>1);</w:t>
      </w:r>
    </w:p>
    <w:p w14:paraId="3CE5D1E2" w14:textId="77777777" w:rsidR="006B1A14" w:rsidRPr="003E11E7" w:rsidRDefault="006B1A14" w:rsidP="006B1A14">
      <w:pPr>
        <w:tabs>
          <w:tab w:val="left" w:pos="1582"/>
        </w:tabs>
        <w:spacing w:line="351" w:lineRule="exact"/>
        <w:jc w:val="both"/>
        <w:rPr>
          <w:lang w:val="pl-PL"/>
        </w:rPr>
      </w:pPr>
    </w:p>
    <w:p w14:paraId="22D2817A" w14:textId="77777777" w:rsidR="00D31054" w:rsidRPr="003E11E7" w:rsidRDefault="00D31054">
      <w:pPr>
        <w:pStyle w:val="Akapitzlist"/>
        <w:spacing w:line="351" w:lineRule="exact"/>
        <w:jc w:val="both"/>
        <w:rPr>
          <w:lang w:val="pl-PL"/>
        </w:rPr>
        <w:sectPr w:rsidR="00D31054" w:rsidRPr="003E11E7">
          <w:pgSz w:w="11910" w:h="16840"/>
          <w:pgMar w:top="1100" w:right="708" w:bottom="920" w:left="708" w:header="723" w:footer="726" w:gutter="0"/>
          <w:cols w:space="708"/>
        </w:sectPr>
      </w:pPr>
    </w:p>
    <w:p w14:paraId="00BDEDB5" w14:textId="77777777" w:rsidR="00D31054" w:rsidRPr="003E11E7" w:rsidRDefault="00D31054">
      <w:pPr>
        <w:pStyle w:val="Tekstpodstawowy"/>
        <w:spacing w:before="174"/>
        <w:ind w:left="0"/>
        <w:rPr>
          <w:lang w:val="pl-PL"/>
        </w:rPr>
      </w:pPr>
    </w:p>
    <w:p w14:paraId="1154D7B4" w14:textId="453A174F" w:rsidR="00D31054" w:rsidRPr="003E11E7" w:rsidRDefault="00D31054" w:rsidP="004176D1">
      <w:pPr>
        <w:pStyle w:val="Akapitzlist"/>
        <w:numPr>
          <w:ilvl w:val="1"/>
          <w:numId w:val="1"/>
        </w:numPr>
        <w:tabs>
          <w:tab w:val="left" w:pos="1583"/>
        </w:tabs>
        <w:spacing w:before="1" w:line="184" w:lineRule="auto"/>
        <w:ind w:right="729"/>
        <w:jc w:val="both"/>
        <w:rPr>
          <w:lang w:val="pl-PL"/>
        </w:rPr>
      </w:pPr>
      <w:hyperlink r:id="rId86">
        <w:proofErr w:type="spellStart"/>
        <w:r w:rsidRPr="003E11E7">
          <w:rPr>
            <w:i/>
            <w:color w:val="0072BC"/>
            <w:sz w:val="20"/>
            <w:lang w:val="pl-PL"/>
          </w:rPr>
          <w:t>Beinarovič</w:t>
        </w:r>
        <w:proofErr w:type="spellEnd"/>
        <w:r w:rsidRPr="003E11E7">
          <w:rPr>
            <w:i/>
            <w:color w:val="0072BC"/>
            <w:sz w:val="20"/>
            <w:lang w:val="pl-PL"/>
          </w:rPr>
          <w:t xml:space="preserve"> i </w:t>
        </w:r>
        <w:r w:rsidR="007F12BD" w:rsidRPr="003E11E7">
          <w:rPr>
            <w:i/>
            <w:color w:val="0072BC"/>
            <w:sz w:val="20"/>
            <w:lang w:val="pl-PL"/>
          </w:rPr>
          <w:t>I</w:t>
        </w:r>
        <w:r w:rsidRPr="003E11E7">
          <w:rPr>
            <w:i/>
            <w:color w:val="0072BC"/>
            <w:sz w:val="20"/>
            <w:lang w:val="pl-PL"/>
          </w:rPr>
          <w:t>nni przeciwko Litwie</w:t>
        </w:r>
      </w:hyperlink>
      <w:r w:rsidRPr="003E11E7">
        <w:rPr>
          <w:sz w:val="20"/>
          <w:lang w:val="pl-PL"/>
        </w:rPr>
        <w:t>, nr 70520/10 i 2 inne, 12 czerwca 2018 r. (naruszenie art. 1 Protokołu nr 1);</w:t>
      </w:r>
    </w:p>
    <w:p w14:paraId="7EE3C88A" w14:textId="74D34EDA" w:rsidR="00D31054" w:rsidRPr="003E11E7" w:rsidRDefault="00D31054" w:rsidP="004176D1">
      <w:pPr>
        <w:pStyle w:val="Akapitzlist"/>
        <w:numPr>
          <w:ilvl w:val="1"/>
          <w:numId w:val="1"/>
        </w:numPr>
        <w:tabs>
          <w:tab w:val="left" w:pos="1583"/>
        </w:tabs>
        <w:spacing w:before="102" w:line="184" w:lineRule="auto"/>
        <w:ind w:right="730"/>
        <w:jc w:val="both"/>
        <w:rPr>
          <w:lang w:val="pl-PL"/>
        </w:rPr>
      </w:pPr>
      <w:hyperlink r:id="rId87">
        <w:proofErr w:type="spellStart"/>
        <w:r w:rsidRPr="003E11E7">
          <w:rPr>
            <w:i/>
            <w:color w:val="0072BC"/>
            <w:sz w:val="20"/>
            <w:lang w:val="pl-PL"/>
          </w:rPr>
          <w:t>Romeva</w:t>
        </w:r>
        <w:proofErr w:type="spellEnd"/>
        <w:r w:rsidRPr="003E11E7">
          <w:rPr>
            <w:i/>
            <w:color w:val="0072BC"/>
            <w:sz w:val="20"/>
            <w:lang w:val="pl-PL"/>
          </w:rPr>
          <w:t xml:space="preserve"> przeciwko Macedonii Północnej</w:t>
        </w:r>
      </w:hyperlink>
      <w:r w:rsidRPr="003E11E7">
        <w:rPr>
          <w:sz w:val="20"/>
          <w:lang w:val="pl-PL"/>
        </w:rPr>
        <w:t>, nr</w:t>
      </w:r>
      <w:r w:rsidR="004A386F" w:rsidRPr="003E11E7">
        <w:rPr>
          <w:sz w:val="20"/>
          <w:lang w:val="pl-PL"/>
        </w:rPr>
        <w:t xml:space="preserve"> </w:t>
      </w:r>
      <w:r w:rsidRPr="003E11E7">
        <w:rPr>
          <w:sz w:val="20"/>
          <w:lang w:val="pl-PL"/>
        </w:rPr>
        <w:t>32141/10, 12 grudnia 2019 r. (naruszenie art. 1 Protokołu nr 1);</w:t>
      </w:r>
    </w:p>
    <w:p w14:paraId="03914BA9" w14:textId="6984F0E9" w:rsidR="00D31054" w:rsidRPr="003E11E7" w:rsidRDefault="00D31054" w:rsidP="004176D1">
      <w:pPr>
        <w:pStyle w:val="Akapitzlist"/>
        <w:numPr>
          <w:ilvl w:val="1"/>
          <w:numId w:val="1"/>
        </w:numPr>
        <w:tabs>
          <w:tab w:val="left" w:pos="1583"/>
        </w:tabs>
        <w:spacing w:before="103" w:line="184" w:lineRule="auto"/>
        <w:ind w:right="729"/>
        <w:jc w:val="both"/>
        <w:rPr>
          <w:lang w:val="pl-PL"/>
        </w:rPr>
      </w:pPr>
      <w:hyperlink r:id="rId88">
        <w:proofErr w:type="spellStart"/>
        <w:r w:rsidRPr="003E11E7">
          <w:rPr>
            <w:i/>
            <w:color w:val="0072BC"/>
            <w:sz w:val="20"/>
            <w:lang w:val="pl-PL"/>
          </w:rPr>
          <w:t>Belova</w:t>
        </w:r>
        <w:proofErr w:type="spellEnd"/>
        <w:r w:rsidRPr="003E11E7">
          <w:rPr>
            <w:i/>
            <w:color w:val="0072BC"/>
            <w:sz w:val="20"/>
            <w:lang w:val="pl-PL"/>
          </w:rPr>
          <w:t xml:space="preserve"> przeciwko Rosji</w:t>
        </w:r>
      </w:hyperlink>
      <w:r w:rsidRPr="003E11E7">
        <w:rPr>
          <w:sz w:val="20"/>
          <w:lang w:val="pl-PL"/>
        </w:rPr>
        <w:t>, nr 33955/08, 15 września 2020 r. (brak naruszenia art. 1 Protokołu nr 1; naruszenie art. 6 § 1);</w:t>
      </w:r>
    </w:p>
    <w:p w14:paraId="78105574" w14:textId="7DBA5619" w:rsidR="00D31054" w:rsidRPr="003E11E7" w:rsidRDefault="00D31054" w:rsidP="004176D1">
      <w:pPr>
        <w:pStyle w:val="Akapitzlist"/>
        <w:numPr>
          <w:ilvl w:val="1"/>
          <w:numId w:val="1"/>
        </w:numPr>
        <w:tabs>
          <w:tab w:val="left" w:pos="1583"/>
        </w:tabs>
        <w:spacing w:before="93" w:line="194" w:lineRule="auto"/>
        <w:ind w:right="729"/>
        <w:jc w:val="both"/>
        <w:rPr>
          <w:lang w:val="pl-PL"/>
        </w:rPr>
      </w:pPr>
      <w:hyperlink r:id="rId89">
        <w:proofErr w:type="spellStart"/>
        <w:r w:rsidRPr="003E11E7">
          <w:rPr>
            <w:i/>
            <w:color w:val="0072BC"/>
            <w:sz w:val="20"/>
            <w:lang w:val="pl-PL"/>
          </w:rPr>
          <w:t>Kanevska</w:t>
        </w:r>
        <w:proofErr w:type="spellEnd"/>
        <w:r w:rsidRPr="003E11E7">
          <w:rPr>
            <w:i/>
            <w:color w:val="0072BC"/>
            <w:sz w:val="20"/>
            <w:lang w:val="pl-PL"/>
          </w:rPr>
          <w:t xml:space="preserve"> przeciwko Ukrainie </w:t>
        </w:r>
      </w:hyperlink>
      <w:r w:rsidRPr="003E11E7">
        <w:rPr>
          <w:sz w:val="20"/>
          <w:lang w:val="pl-PL"/>
        </w:rPr>
        <w:t>(</w:t>
      </w:r>
      <w:proofErr w:type="spellStart"/>
      <w:r w:rsidRPr="003E11E7">
        <w:rPr>
          <w:sz w:val="20"/>
          <w:lang w:val="pl-PL"/>
        </w:rPr>
        <w:t>dec</w:t>
      </w:r>
      <w:proofErr w:type="spellEnd"/>
      <w:r w:rsidRPr="003E11E7">
        <w:rPr>
          <w:sz w:val="20"/>
          <w:lang w:val="pl-PL"/>
        </w:rPr>
        <w:t xml:space="preserve">.), nr 73944/11, 17 listopada 2020 r. (art. 1 Protokołu nr 1 i art. 13: niedopuszczalne </w:t>
      </w:r>
      <w:r w:rsidR="00B51B28" w:rsidRPr="003E11E7">
        <w:rPr>
          <w:sz w:val="20"/>
          <w:lang w:val="pl-PL"/>
        </w:rPr>
        <w:t>–</w:t>
      </w:r>
      <w:r w:rsidRPr="003E11E7">
        <w:rPr>
          <w:sz w:val="20"/>
          <w:lang w:val="pl-PL"/>
        </w:rPr>
        <w:t xml:space="preserve"> </w:t>
      </w:r>
      <w:r w:rsidR="00B51B28" w:rsidRPr="003E11E7">
        <w:rPr>
          <w:sz w:val="20"/>
          <w:lang w:val="pl-PL"/>
        </w:rPr>
        <w:t>w sposób oczywisty nieuzasadnione</w:t>
      </w:r>
      <w:r w:rsidRPr="003E11E7">
        <w:rPr>
          <w:sz w:val="20"/>
          <w:lang w:val="pl-PL"/>
        </w:rPr>
        <w:t>);</w:t>
      </w:r>
    </w:p>
    <w:p w14:paraId="25AB32C9" w14:textId="77777777" w:rsidR="00D31054" w:rsidRPr="003E11E7" w:rsidRDefault="00D31054" w:rsidP="004176D1">
      <w:pPr>
        <w:pStyle w:val="Akapitzlist"/>
        <w:numPr>
          <w:ilvl w:val="1"/>
          <w:numId w:val="1"/>
        </w:numPr>
        <w:tabs>
          <w:tab w:val="left" w:pos="1583"/>
        </w:tabs>
        <w:spacing w:before="98" w:line="184" w:lineRule="auto"/>
        <w:ind w:right="729"/>
        <w:jc w:val="both"/>
        <w:rPr>
          <w:lang w:val="pl-PL"/>
        </w:rPr>
      </w:pPr>
      <w:hyperlink r:id="rId90">
        <w:proofErr w:type="spellStart"/>
        <w:r w:rsidRPr="003E11E7">
          <w:rPr>
            <w:i/>
            <w:color w:val="0072BC"/>
            <w:sz w:val="20"/>
            <w:lang w:val="pl-PL"/>
          </w:rPr>
          <w:t>Kurban</w:t>
        </w:r>
        <w:proofErr w:type="spellEnd"/>
        <w:r w:rsidRPr="003E11E7">
          <w:rPr>
            <w:i/>
            <w:color w:val="0072BC"/>
            <w:sz w:val="20"/>
            <w:lang w:val="pl-PL"/>
          </w:rPr>
          <w:t xml:space="preserve"> przeciwko Turcji</w:t>
        </w:r>
      </w:hyperlink>
      <w:r w:rsidRPr="003E11E7">
        <w:rPr>
          <w:sz w:val="20"/>
          <w:lang w:val="pl-PL"/>
        </w:rPr>
        <w:t>, nr 75414/10, 24 listopada 2020 r. (naruszenie art. 1 Protokołu nr 1; brak naruszenia art. 6 § 2);</w:t>
      </w:r>
    </w:p>
    <w:p w14:paraId="33C8155F" w14:textId="01B9D6DD" w:rsidR="00D31054" w:rsidRPr="003E11E7" w:rsidRDefault="00D31054" w:rsidP="004176D1">
      <w:pPr>
        <w:pStyle w:val="Akapitzlist"/>
        <w:numPr>
          <w:ilvl w:val="1"/>
          <w:numId w:val="1"/>
        </w:numPr>
        <w:tabs>
          <w:tab w:val="left" w:pos="1583"/>
        </w:tabs>
        <w:spacing w:before="102" w:line="184" w:lineRule="auto"/>
        <w:ind w:right="728"/>
        <w:jc w:val="both"/>
        <w:rPr>
          <w:lang w:val="pl-PL"/>
        </w:rPr>
      </w:pPr>
      <w:hyperlink r:id="rId91">
        <w:proofErr w:type="spellStart"/>
        <w:r w:rsidRPr="003E11E7">
          <w:rPr>
            <w:i/>
            <w:color w:val="0072BC"/>
            <w:sz w:val="20"/>
            <w:lang w:val="pl-PL"/>
          </w:rPr>
          <w:t>Muharrem</w:t>
        </w:r>
        <w:proofErr w:type="spellEnd"/>
        <w:r w:rsidRPr="003E11E7">
          <w:rPr>
            <w:i/>
            <w:color w:val="0072BC"/>
            <w:sz w:val="20"/>
            <w:lang w:val="pl-PL"/>
          </w:rPr>
          <w:t xml:space="preserve"> </w:t>
        </w:r>
        <w:proofErr w:type="spellStart"/>
        <w:r w:rsidRPr="003E11E7">
          <w:rPr>
            <w:i/>
            <w:color w:val="0072BC"/>
            <w:sz w:val="20"/>
            <w:lang w:val="pl-PL"/>
          </w:rPr>
          <w:t>Güneş</w:t>
        </w:r>
        <w:proofErr w:type="spellEnd"/>
        <w:r w:rsidRPr="003E11E7">
          <w:rPr>
            <w:i/>
            <w:color w:val="0072BC"/>
            <w:sz w:val="20"/>
            <w:lang w:val="pl-PL"/>
          </w:rPr>
          <w:t xml:space="preserve"> i </w:t>
        </w:r>
        <w:r w:rsidR="007F12BD" w:rsidRPr="003E11E7">
          <w:rPr>
            <w:i/>
            <w:color w:val="0072BC"/>
            <w:sz w:val="20"/>
            <w:lang w:val="pl-PL"/>
          </w:rPr>
          <w:t>I</w:t>
        </w:r>
        <w:r w:rsidRPr="003E11E7">
          <w:rPr>
            <w:i/>
            <w:color w:val="0072BC"/>
            <w:sz w:val="20"/>
            <w:lang w:val="pl-PL"/>
          </w:rPr>
          <w:t>nni przeciwko Turcji</w:t>
        </w:r>
      </w:hyperlink>
      <w:r w:rsidRPr="003E11E7">
        <w:rPr>
          <w:sz w:val="20"/>
          <w:lang w:val="pl-PL"/>
        </w:rPr>
        <w:t>, nr 23060/08, 24 listopada 2020 r. (art. 1 Protokołu nr 1: dopuszczalny w odniesieniu do mienia innego niż nieruchomości leśne, naruszenie);</w:t>
      </w:r>
    </w:p>
    <w:p w14:paraId="1DE8BAE0" w14:textId="2C1B1441" w:rsidR="00D31054" w:rsidRPr="003E11E7" w:rsidRDefault="00D31054" w:rsidP="004176D1">
      <w:pPr>
        <w:pStyle w:val="Akapitzlist"/>
        <w:numPr>
          <w:ilvl w:val="1"/>
          <w:numId w:val="1"/>
        </w:numPr>
        <w:tabs>
          <w:tab w:val="left" w:pos="1582"/>
        </w:tabs>
        <w:spacing w:before="49" w:line="351" w:lineRule="exact"/>
        <w:ind w:left="1582" w:hanging="283"/>
        <w:jc w:val="both"/>
        <w:rPr>
          <w:lang w:val="pl-PL"/>
        </w:rPr>
      </w:pPr>
      <w:hyperlink r:id="rId92">
        <w:proofErr w:type="spellStart"/>
        <w:r w:rsidRPr="003E11E7">
          <w:rPr>
            <w:i/>
            <w:color w:val="0072BC"/>
            <w:sz w:val="20"/>
            <w:lang w:val="pl-PL"/>
          </w:rPr>
          <w:t>Casarin</w:t>
        </w:r>
        <w:proofErr w:type="spellEnd"/>
        <w:r w:rsidRPr="003E11E7">
          <w:rPr>
            <w:i/>
            <w:color w:val="0072BC"/>
            <w:sz w:val="20"/>
            <w:lang w:val="pl-PL"/>
          </w:rPr>
          <w:t xml:space="preserve"> przeciwko Włochom</w:t>
        </w:r>
      </w:hyperlink>
      <w:r w:rsidRPr="003E11E7">
        <w:rPr>
          <w:sz w:val="20"/>
          <w:lang w:val="pl-PL"/>
        </w:rPr>
        <w:t xml:space="preserve">, nr 4893/13, 11 lutego 2021 r. (naruszenie art. 1 Protokołu nr </w:t>
      </w:r>
      <w:r w:rsidRPr="003E11E7">
        <w:rPr>
          <w:spacing w:val="-5"/>
          <w:sz w:val="20"/>
          <w:lang w:val="pl-PL"/>
        </w:rPr>
        <w:t>1);</w:t>
      </w:r>
    </w:p>
    <w:p w14:paraId="0455E34B" w14:textId="4B742ECA" w:rsidR="00D31054" w:rsidRPr="003E11E7" w:rsidRDefault="00D31054" w:rsidP="004176D1">
      <w:pPr>
        <w:pStyle w:val="Akapitzlist"/>
        <w:numPr>
          <w:ilvl w:val="1"/>
          <w:numId w:val="1"/>
        </w:numPr>
        <w:tabs>
          <w:tab w:val="left" w:pos="1583"/>
        </w:tabs>
        <w:spacing w:before="31" w:line="184" w:lineRule="auto"/>
        <w:ind w:right="732"/>
        <w:jc w:val="both"/>
        <w:rPr>
          <w:lang w:val="pl-PL"/>
        </w:rPr>
      </w:pPr>
      <w:hyperlink r:id="rId93">
        <w:proofErr w:type="spellStart"/>
        <w:r w:rsidRPr="003E11E7">
          <w:rPr>
            <w:i/>
            <w:color w:val="0072BC"/>
            <w:sz w:val="20"/>
            <w:lang w:val="pl-PL"/>
          </w:rPr>
          <w:t>Gavrilova</w:t>
        </w:r>
        <w:proofErr w:type="spellEnd"/>
        <w:r w:rsidRPr="003E11E7">
          <w:rPr>
            <w:i/>
            <w:color w:val="0072BC"/>
            <w:sz w:val="20"/>
            <w:lang w:val="pl-PL"/>
          </w:rPr>
          <w:t xml:space="preserve"> i </w:t>
        </w:r>
        <w:r w:rsidR="004176D1" w:rsidRPr="003E11E7">
          <w:rPr>
            <w:i/>
            <w:color w:val="0072BC"/>
            <w:sz w:val="20"/>
            <w:lang w:val="pl-PL"/>
          </w:rPr>
          <w:t>I</w:t>
        </w:r>
        <w:r w:rsidRPr="003E11E7">
          <w:rPr>
            <w:i/>
            <w:color w:val="0072BC"/>
            <w:sz w:val="20"/>
            <w:lang w:val="pl-PL"/>
          </w:rPr>
          <w:t>nni przeciwko Rosji</w:t>
        </w:r>
      </w:hyperlink>
      <w:r w:rsidRPr="003E11E7">
        <w:rPr>
          <w:sz w:val="20"/>
          <w:lang w:val="pl-PL"/>
        </w:rPr>
        <w:t>, nr 2625/17, 16 marca 2021 r. (naruszenie art. 1 Protokołu nr 1);</w:t>
      </w:r>
    </w:p>
    <w:p w14:paraId="6DFD6566" w14:textId="77777777" w:rsidR="00D31054" w:rsidRPr="003E11E7" w:rsidRDefault="00D31054" w:rsidP="004176D1">
      <w:pPr>
        <w:pStyle w:val="Akapitzlist"/>
        <w:numPr>
          <w:ilvl w:val="1"/>
          <w:numId w:val="1"/>
        </w:numPr>
        <w:tabs>
          <w:tab w:val="left" w:pos="1582"/>
        </w:tabs>
        <w:spacing w:before="49" w:line="351" w:lineRule="exact"/>
        <w:ind w:left="1582" w:hanging="283"/>
        <w:jc w:val="both"/>
        <w:rPr>
          <w:lang w:val="pl-PL"/>
        </w:rPr>
      </w:pPr>
      <w:hyperlink r:id="rId94">
        <w:proofErr w:type="spellStart"/>
        <w:r w:rsidRPr="003E11E7">
          <w:rPr>
            <w:i/>
            <w:color w:val="0072BC"/>
            <w:sz w:val="20"/>
            <w:lang w:val="pl-PL"/>
          </w:rPr>
          <w:t>Semenov</w:t>
        </w:r>
        <w:proofErr w:type="spellEnd"/>
        <w:r w:rsidRPr="003E11E7">
          <w:rPr>
            <w:i/>
            <w:color w:val="0072BC"/>
            <w:sz w:val="20"/>
            <w:lang w:val="pl-PL"/>
          </w:rPr>
          <w:t xml:space="preserve"> przeciwko Rosji</w:t>
        </w:r>
      </w:hyperlink>
      <w:r w:rsidRPr="003E11E7">
        <w:rPr>
          <w:sz w:val="20"/>
          <w:lang w:val="pl-PL"/>
        </w:rPr>
        <w:t xml:space="preserve">, nr 17254/15, 16 marca 2021 r. (naruszenie art. 1 Protokołu nr </w:t>
      </w:r>
      <w:r w:rsidRPr="003E11E7">
        <w:rPr>
          <w:spacing w:val="-5"/>
          <w:sz w:val="20"/>
          <w:lang w:val="pl-PL"/>
        </w:rPr>
        <w:t>1);</w:t>
      </w:r>
    </w:p>
    <w:p w14:paraId="2D27D9E4" w14:textId="16EBB398" w:rsidR="00D31054" w:rsidRPr="003E11E7" w:rsidRDefault="00D31054" w:rsidP="004176D1">
      <w:pPr>
        <w:pStyle w:val="Akapitzlist"/>
        <w:numPr>
          <w:ilvl w:val="1"/>
          <w:numId w:val="1"/>
        </w:numPr>
        <w:tabs>
          <w:tab w:val="left" w:pos="1583"/>
        </w:tabs>
        <w:spacing w:before="31" w:line="184" w:lineRule="auto"/>
        <w:ind w:right="731"/>
        <w:jc w:val="both"/>
        <w:rPr>
          <w:lang w:val="pl-PL"/>
        </w:rPr>
      </w:pPr>
      <w:hyperlink r:id="rId95">
        <w:proofErr w:type="spellStart"/>
        <w:r w:rsidRPr="003E11E7">
          <w:rPr>
            <w:i/>
            <w:color w:val="0072BC"/>
            <w:sz w:val="20"/>
            <w:lang w:val="pl-PL"/>
          </w:rPr>
          <w:t>Seregin</w:t>
        </w:r>
        <w:proofErr w:type="spellEnd"/>
        <w:r w:rsidRPr="003E11E7">
          <w:rPr>
            <w:i/>
            <w:color w:val="0072BC"/>
            <w:sz w:val="20"/>
            <w:lang w:val="pl-PL"/>
          </w:rPr>
          <w:t xml:space="preserve"> i </w:t>
        </w:r>
        <w:r w:rsidR="004176D1" w:rsidRPr="003E11E7">
          <w:rPr>
            <w:i/>
            <w:color w:val="0072BC"/>
            <w:sz w:val="20"/>
            <w:lang w:val="pl-PL"/>
          </w:rPr>
          <w:t>I</w:t>
        </w:r>
        <w:r w:rsidRPr="003E11E7">
          <w:rPr>
            <w:i/>
            <w:color w:val="0072BC"/>
            <w:sz w:val="20"/>
            <w:lang w:val="pl-PL"/>
          </w:rPr>
          <w:t>nni przeciwko Rosji</w:t>
        </w:r>
      </w:hyperlink>
      <w:r w:rsidRPr="003E11E7">
        <w:rPr>
          <w:sz w:val="20"/>
          <w:lang w:val="pl-PL"/>
        </w:rPr>
        <w:t xml:space="preserve">, nr 31686/16 i 4 inne, 16 marca 2021 r. </w:t>
      </w:r>
      <w:r w:rsidR="004176D1" w:rsidRPr="003E11E7">
        <w:rPr>
          <w:sz w:val="20"/>
          <w:lang w:val="pl-PL"/>
        </w:rPr>
        <w:t>(naruszenie</w:t>
      </w:r>
      <w:r w:rsidRPr="003E11E7">
        <w:rPr>
          <w:spacing w:val="39"/>
          <w:sz w:val="20"/>
          <w:lang w:val="pl-PL"/>
        </w:rPr>
        <w:t xml:space="preserve"> </w:t>
      </w:r>
      <w:r w:rsidRPr="003E11E7">
        <w:rPr>
          <w:sz w:val="20"/>
          <w:lang w:val="pl-PL"/>
        </w:rPr>
        <w:t>art. 1 Protokołu</w:t>
      </w:r>
      <w:r w:rsidR="004176D1" w:rsidRPr="003E11E7">
        <w:rPr>
          <w:sz w:val="20"/>
          <w:lang w:val="pl-PL"/>
        </w:rPr>
        <w:t xml:space="preserve"> </w:t>
      </w:r>
      <w:r w:rsidRPr="003E11E7">
        <w:rPr>
          <w:sz w:val="20"/>
          <w:lang w:val="pl-PL"/>
        </w:rPr>
        <w:t>nr</w:t>
      </w:r>
      <w:r w:rsidR="004176D1" w:rsidRPr="003E11E7">
        <w:rPr>
          <w:sz w:val="20"/>
          <w:lang w:val="pl-PL"/>
        </w:rPr>
        <w:t> </w:t>
      </w:r>
      <w:r w:rsidRPr="003E11E7">
        <w:rPr>
          <w:sz w:val="20"/>
          <w:lang w:val="pl-PL"/>
        </w:rPr>
        <w:t>1);</w:t>
      </w:r>
    </w:p>
    <w:p w14:paraId="6CDEBF97" w14:textId="0A4DB800" w:rsidR="00D31054" w:rsidRPr="003E11E7" w:rsidRDefault="00D31054" w:rsidP="004176D1">
      <w:pPr>
        <w:pStyle w:val="Akapitzlist"/>
        <w:numPr>
          <w:ilvl w:val="1"/>
          <w:numId w:val="1"/>
        </w:numPr>
        <w:tabs>
          <w:tab w:val="left" w:pos="1583"/>
        </w:tabs>
        <w:spacing w:before="103" w:line="184" w:lineRule="auto"/>
        <w:ind w:right="730"/>
        <w:jc w:val="both"/>
        <w:rPr>
          <w:lang w:val="pl-PL"/>
        </w:rPr>
      </w:pPr>
      <w:hyperlink r:id="rId96">
        <w:proofErr w:type="spellStart"/>
        <w:r w:rsidRPr="003E11E7">
          <w:rPr>
            <w:i/>
            <w:color w:val="0072BC"/>
            <w:sz w:val="20"/>
            <w:lang w:val="pl-PL"/>
          </w:rPr>
          <w:t>Atima</w:t>
        </w:r>
        <w:proofErr w:type="spellEnd"/>
        <w:r w:rsidRPr="003E11E7">
          <w:rPr>
            <w:i/>
            <w:color w:val="0072BC"/>
            <w:sz w:val="20"/>
            <w:lang w:val="pl-PL"/>
          </w:rPr>
          <w:t xml:space="preserve"> Limited przeciwko Ukrainie</w:t>
        </w:r>
      </w:hyperlink>
      <w:r w:rsidRPr="003E11E7">
        <w:rPr>
          <w:sz w:val="20"/>
          <w:lang w:val="pl-PL"/>
        </w:rPr>
        <w:t>, nr</w:t>
      </w:r>
      <w:r w:rsidR="004A386F" w:rsidRPr="003E11E7">
        <w:rPr>
          <w:sz w:val="20"/>
          <w:lang w:val="pl-PL"/>
        </w:rPr>
        <w:t xml:space="preserve"> </w:t>
      </w:r>
      <w:r w:rsidRPr="003E11E7">
        <w:rPr>
          <w:sz w:val="20"/>
          <w:lang w:val="pl-PL"/>
        </w:rPr>
        <w:t>56714/11, 20 maja 2021 r. (naruszenie art. 1 Protokołu nr 1);</w:t>
      </w:r>
    </w:p>
    <w:p w14:paraId="3868F3CD" w14:textId="77777777" w:rsidR="00D31054" w:rsidRPr="003E11E7" w:rsidRDefault="00D31054" w:rsidP="004176D1">
      <w:pPr>
        <w:pStyle w:val="Akapitzlist"/>
        <w:numPr>
          <w:ilvl w:val="1"/>
          <w:numId w:val="1"/>
        </w:numPr>
        <w:tabs>
          <w:tab w:val="left" w:pos="1583"/>
        </w:tabs>
        <w:spacing w:before="102" w:line="184" w:lineRule="auto"/>
        <w:ind w:right="730"/>
        <w:jc w:val="both"/>
        <w:rPr>
          <w:lang w:val="pl-PL"/>
        </w:rPr>
      </w:pPr>
      <w:hyperlink r:id="rId97">
        <w:proofErr w:type="spellStart"/>
        <w:r w:rsidRPr="003E11E7">
          <w:rPr>
            <w:i/>
            <w:color w:val="0072BC"/>
            <w:sz w:val="20"/>
            <w:lang w:val="pl-PL"/>
          </w:rPr>
          <w:t>Lidiya</w:t>
        </w:r>
        <w:proofErr w:type="spellEnd"/>
        <w:r w:rsidRPr="003E11E7">
          <w:rPr>
            <w:i/>
            <w:color w:val="0072BC"/>
            <w:sz w:val="20"/>
            <w:lang w:val="pl-PL"/>
          </w:rPr>
          <w:t xml:space="preserve"> </w:t>
        </w:r>
        <w:proofErr w:type="spellStart"/>
        <w:r w:rsidRPr="003E11E7">
          <w:rPr>
            <w:i/>
            <w:color w:val="0072BC"/>
            <w:sz w:val="20"/>
            <w:lang w:val="pl-PL"/>
          </w:rPr>
          <w:t>Nikitina</w:t>
        </w:r>
        <w:proofErr w:type="spellEnd"/>
        <w:r w:rsidRPr="003E11E7">
          <w:rPr>
            <w:i/>
            <w:color w:val="0072BC"/>
            <w:sz w:val="20"/>
            <w:lang w:val="pl-PL"/>
          </w:rPr>
          <w:t xml:space="preserve"> przeciwko Rosji</w:t>
        </w:r>
      </w:hyperlink>
      <w:r w:rsidRPr="003E11E7">
        <w:rPr>
          <w:sz w:val="20"/>
          <w:lang w:val="pl-PL"/>
        </w:rPr>
        <w:t>, nr 8051/20, 15 marca 2022 r. (naruszenie art. 1 Protokołu nr 1);</w:t>
      </w:r>
    </w:p>
    <w:p w14:paraId="2D5DC156" w14:textId="77777777" w:rsidR="00D31054" w:rsidRPr="003E11E7" w:rsidRDefault="00D31054" w:rsidP="004176D1">
      <w:pPr>
        <w:pStyle w:val="Akapitzlist"/>
        <w:numPr>
          <w:ilvl w:val="1"/>
          <w:numId w:val="1"/>
        </w:numPr>
        <w:tabs>
          <w:tab w:val="left" w:pos="1583"/>
        </w:tabs>
        <w:spacing w:before="103" w:line="184" w:lineRule="auto"/>
        <w:ind w:right="730"/>
        <w:jc w:val="both"/>
        <w:rPr>
          <w:lang w:val="pl-PL"/>
        </w:rPr>
      </w:pPr>
      <w:hyperlink r:id="rId98">
        <w:r w:rsidRPr="003E11E7">
          <w:rPr>
            <w:i/>
            <w:color w:val="0072BC"/>
            <w:sz w:val="20"/>
            <w:lang w:val="pl-PL"/>
          </w:rPr>
          <w:t xml:space="preserve">Nikolay </w:t>
        </w:r>
        <w:proofErr w:type="spellStart"/>
        <w:r w:rsidRPr="003E11E7">
          <w:rPr>
            <w:i/>
            <w:color w:val="0072BC"/>
            <w:sz w:val="20"/>
            <w:lang w:val="pl-PL"/>
          </w:rPr>
          <w:t>Kostadinov</w:t>
        </w:r>
        <w:proofErr w:type="spellEnd"/>
        <w:r w:rsidRPr="003E11E7">
          <w:rPr>
            <w:i/>
            <w:color w:val="0072BC"/>
            <w:sz w:val="20"/>
            <w:lang w:val="pl-PL"/>
          </w:rPr>
          <w:t xml:space="preserve"> przeciwko Bułgarii</w:t>
        </w:r>
      </w:hyperlink>
      <w:r w:rsidRPr="003E11E7">
        <w:rPr>
          <w:sz w:val="20"/>
          <w:lang w:val="pl-PL"/>
        </w:rPr>
        <w:t>, nr 21743/15, 8 listopada 2022 r. (naruszenie art. 1 Protokołu nr 1);</w:t>
      </w:r>
    </w:p>
    <w:p w14:paraId="00CECD1F" w14:textId="0FE3E9D9" w:rsidR="00D31054" w:rsidRPr="003E11E7" w:rsidRDefault="00D31054" w:rsidP="004176D1">
      <w:pPr>
        <w:pStyle w:val="Akapitzlist"/>
        <w:numPr>
          <w:ilvl w:val="1"/>
          <w:numId w:val="1"/>
        </w:numPr>
        <w:tabs>
          <w:tab w:val="left" w:pos="1583"/>
        </w:tabs>
        <w:spacing w:before="102" w:line="184" w:lineRule="auto"/>
        <w:ind w:right="730"/>
        <w:jc w:val="both"/>
        <w:rPr>
          <w:lang w:val="pl-PL"/>
        </w:rPr>
      </w:pPr>
      <w:hyperlink r:id="rId99">
        <w:proofErr w:type="spellStart"/>
        <w:r w:rsidRPr="003E11E7">
          <w:rPr>
            <w:i/>
            <w:color w:val="0072BC"/>
            <w:sz w:val="20"/>
            <w:lang w:val="pl-PL"/>
          </w:rPr>
          <w:t>Ibrahimbeyov</w:t>
        </w:r>
        <w:proofErr w:type="spellEnd"/>
        <w:r w:rsidRPr="003E11E7">
          <w:rPr>
            <w:i/>
            <w:color w:val="0072BC"/>
            <w:sz w:val="20"/>
            <w:lang w:val="pl-PL"/>
          </w:rPr>
          <w:t xml:space="preserve"> i </w:t>
        </w:r>
        <w:r w:rsidR="004176D1" w:rsidRPr="003E11E7">
          <w:rPr>
            <w:i/>
            <w:color w:val="0072BC"/>
            <w:sz w:val="20"/>
            <w:lang w:val="pl-PL"/>
          </w:rPr>
          <w:t>I</w:t>
        </w:r>
        <w:r w:rsidRPr="003E11E7">
          <w:rPr>
            <w:i/>
            <w:color w:val="0072BC"/>
            <w:sz w:val="20"/>
            <w:lang w:val="pl-PL"/>
          </w:rPr>
          <w:t>nni przeciwko Azerbejdżanowi</w:t>
        </w:r>
      </w:hyperlink>
      <w:r w:rsidRPr="003E11E7">
        <w:rPr>
          <w:sz w:val="20"/>
          <w:lang w:val="pl-PL"/>
        </w:rPr>
        <w:t>, nr</w:t>
      </w:r>
      <w:r w:rsidR="004A386F" w:rsidRPr="003E11E7">
        <w:rPr>
          <w:sz w:val="20"/>
          <w:lang w:val="pl-PL"/>
        </w:rPr>
        <w:t xml:space="preserve"> </w:t>
      </w:r>
      <w:r w:rsidRPr="003E11E7">
        <w:rPr>
          <w:sz w:val="20"/>
          <w:lang w:val="pl-PL"/>
        </w:rPr>
        <w:t>32380/13, 16 lutego 2023 r. (</w:t>
      </w:r>
      <w:bookmarkStart w:id="3" w:name="_Hlk200705280"/>
      <w:r w:rsidRPr="003E11E7">
        <w:rPr>
          <w:sz w:val="20"/>
          <w:lang w:val="pl-PL"/>
        </w:rPr>
        <w:t>bra</w:t>
      </w:r>
      <w:bookmarkEnd w:id="3"/>
      <w:r w:rsidR="004176D1" w:rsidRPr="003E11E7">
        <w:rPr>
          <w:sz w:val="20"/>
          <w:lang w:val="pl-PL"/>
        </w:rPr>
        <w:t xml:space="preserve">k naruszenia </w:t>
      </w:r>
      <w:r w:rsidRPr="003E11E7">
        <w:rPr>
          <w:sz w:val="20"/>
          <w:lang w:val="pl-PL"/>
        </w:rPr>
        <w:t>art.</w:t>
      </w:r>
      <w:r w:rsidR="00101D88" w:rsidRPr="003E11E7">
        <w:rPr>
          <w:sz w:val="20"/>
          <w:lang w:val="pl-PL"/>
        </w:rPr>
        <w:t> </w:t>
      </w:r>
      <w:r w:rsidRPr="003E11E7">
        <w:rPr>
          <w:sz w:val="20"/>
          <w:lang w:val="pl-PL"/>
        </w:rPr>
        <w:t>1 Protokołu nr 1);</w:t>
      </w:r>
    </w:p>
    <w:p w14:paraId="189FDFAD" w14:textId="77777777" w:rsidR="00D31054" w:rsidRPr="003E11E7" w:rsidRDefault="00D31054" w:rsidP="004176D1">
      <w:pPr>
        <w:pStyle w:val="Akapitzlist"/>
        <w:numPr>
          <w:ilvl w:val="1"/>
          <w:numId w:val="1"/>
        </w:numPr>
        <w:tabs>
          <w:tab w:val="left" w:pos="1582"/>
        </w:tabs>
        <w:spacing w:before="49" w:line="351" w:lineRule="exact"/>
        <w:ind w:left="1582" w:hanging="283"/>
        <w:jc w:val="both"/>
        <w:rPr>
          <w:lang w:val="pl-PL"/>
        </w:rPr>
      </w:pPr>
      <w:hyperlink r:id="rId100">
        <w:proofErr w:type="spellStart"/>
        <w:r w:rsidRPr="003E11E7">
          <w:rPr>
            <w:i/>
            <w:color w:val="0072BC"/>
            <w:sz w:val="20"/>
            <w:lang w:val="pl-PL"/>
          </w:rPr>
          <w:t>Demiray</w:t>
        </w:r>
        <w:proofErr w:type="spellEnd"/>
        <w:r w:rsidRPr="003E11E7">
          <w:rPr>
            <w:i/>
            <w:color w:val="0072BC"/>
            <w:sz w:val="20"/>
            <w:lang w:val="pl-PL"/>
          </w:rPr>
          <w:t xml:space="preserve"> przeciwko Turcji</w:t>
        </w:r>
      </w:hyperlink>
      <w:r w:rsidRPr="003E11E7">
        <w:rPr>
          <w:sz w:val="20"/>
          <w:lang w:val="pl-PL"/>
        </w:rPr>
        <w:t xml:space="preserve">, nr 61380/15, 18 kwietnia 2023 r. (naruszenie art. 1 Protokołu nr </w:t>
      </w:r>
      <w:r w:rsidRPr="003E11E7">
        <w:rPr>
          <w:spacing w:val="-5"/>
          <w:sz w:val="20"/>
          <w:lang w:val="pl-PL"/>
        </w:rPr>
        <w:t>1).</w:t>
      </w:r>
    </w:p>
    <w:p w14:paraId="4854B947" w14:textId="13F3AADA" w:rsidR="00D31054" w:rsidRPr="003E11E7" w:rsidRDefault="00D31054" w:rsidP="004176D1">
      <w:pPr>
        <w:pStyle w:val="Akapitzlist"/>
        <w:numPr>
          <w:ilvl w:val="1"/>
          <w:numId w:val="1"/>
        </w:numPr>
        <w:tabs>
          <w:tab w:val="left" w:pos="1583"/>
        </w:tabs>
        <w:spacing w:before="31" w:line="184" w:lineRule="auto"/>
        <w:ind w:right="729"/>
        <w:jc w:val="both"/>
        <w:rPr>
          <w:lang w:val="pl-PL"/>
        </w:rPr>
      </w:pPr>
      <w:hyperlink r:id="rId101">
        <w:proofErr w:type="spellStart"/>
        <w:r w:rsidRPr="003E11E7">
          <w:rPr>
            <w:i/>
            <w:color w:val="0072BC"/>
            <w:sz w:val="20"/>
            <w:lang w:val="pl-PL"/>
          </w:rPr>
          <w:t>Tverdokhlebova</w:t>
        </w:r>
        <w:proofErr w:type="spellEnd"/>
        <w:r w:rsidRPr="003E11E7">
          <w:rPr>
            <w:i/>
            <w:color w:val="0072BC"/>
            <w:sz w:val="20"/>
            <w:lang w:val="pl-PL"/>
          </w:rPr>
          <w:t xml:space="preserve"> przeciwko Ukrainie*</w:t>
        </w:r>
      </w:hyperlink>
      <w:r w:rsidRPr="003E11E7">
        <w:rPr>
          <w:sz w:val="20"/>
          <w:lang w:val="pl-PL"/>
        </w:rPr>
        <w:t>, nr 15830/16, 16 stycznia 2025 r. (brak naruszenia art.</w:t>
      </w:r>
      <w:r w:rsidR="00101D88" w:rsidRPr="003E11E7">
        <w:rPr>
          <w:sz w:val="20"/>
          <w:lang w:val="pl-PL"/>
        </w:rPr>
        <w:t xml:space="preserve"> </w:t>
      </w:r>
      <w:r w:rsidRPr="003E11E7">
        <w:rPr>
          <w:sz w:val="20"/>
          <w:lang w:val="pl-PL"/>
        </w:rPr>
        <w:t>1 Protokołu nr 1).</w:t>
      </w:r>
    </w:p>
    <w:sectPr w:rsidR="00D31054" w:rsidRPr="003E11E7">
      <w:pgSz w:w="11910" w:h="16840"/>
      <w:pgMar w:top="1100" w:right="708" w:bottom="920" w:left="708" w:header="723" w:footer="72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5F885" w14:textId="77777777" w:rsidR="0036564D" w:rsidRDefault="0036564D">
      <w:r>
        <w:separator/>
      </w:r>
    </w:p>
  </w:endnote>
  <w:endnote w:type="continuationSeparator" w:id="0">
    <w:p w14:paraId="3E590080" w14:textId="77777777" w:rsidR="0036564D" w:rsidRDefault="0036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Noto Sans Symbols2">
    <w:altName w:val="Noto Sans Symbols2"/>
    <w:charset w:val="00"/>
    <w:family w:val="swiss"/>
    <w:pitch w:val="variable"/>
    <w:sig w:usb0="80000003" w:usb1="0200E3E4" w:usb2="0004002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9C875" w14:textId="77777777" w:rsidR="00D31054" w:rsidRDefault="00000000">
    <w:pPr>
      <w:pStyle w:val="Tekstpodstawowy"/>
      <w:spacing w:before="0" w:line="14" w:lineRule="auto"/>
      <w:ind w:left="0"/>
      <w:rPr>
        <w:sz w:val="20"/>
      </w:rPr>
    </w:pPr>
    <w:r>
      <w:rPr>
        <w:noProof/>
        <w:sz w:val="20"/>
      </w:rPr>
      <mc:AlternateContent>
        <mc:Choice Requires="wps">
          <w:drawing>
            <wp:anchor distT="0" distB="0" distL="0" distR="0" simplePos="0" relativeHeight="251656704" behindDoc="1" locked="0" layoutInCell="1" allowOverlap="1" wp14:anchorId="6C3AFC69" wp14:editId="2DF22C66">
              <wp:simplePos x="0" y="0"/>
              <wp:positionH relativeFrom="page">
                <wp:posOffset>482600</wp:posOffset>
              </wp:positionH>
              <wp:positionV relativeFrom="page">
                <wp:posOffset>10054628</wp:posOffset>
              </wp:positionV>
              <wp:extent cx="6595745" cy="19050"/>
              <wp:effectExtent l="0" t="0" r="0" b="0"/>
              <wp:wrapNone/>
              <wp:docPr id="10" name="Graphic 10"/>
              <wp:cNvGraphicFramePr/>
              <a:graphic xmlns:a="http://schemas.openxmlformats.org/drawingml/2006/main">
                <a:graphicData uri="http://schemas.microsoft.com/office/word/2010/wordprocessingShape">
                  <wps:wsp>
                    <wps:cNvSpPr/>
                    <wps:spPr>
                      <a:xfrm>
                        <a:off x="0" y="0"/>
                        <a:ext cx="6595745" cy="19050"/>
                      </a:xfrm>
                      <a:custGeom>
                        <a:avLst/>
                        <a:gdLst/>
                        <a:ahLst/>
                        <a:cxnLst/>
                        <a:rect l="l" t="t" r="r" b="b"/>
                        <a:pathLst>
                          <a:path w="6595745" h="19050">
                            <a:moveTo>
                              <a:pt x="6595744" y="19050"/>
                            </a:moveTo>
                            <a:lnTo>
                              <a:pt x="0" y="19050"/>
                            </a:lnTo>
                            <a:lnTo>
                              <a:pt x="0" y="0"/>
                            </a:lnTo>
                            <a:lnTo>
                              <a:pt x="6595744" y="0"/>
                            </a:lnTo>
                            <a:lnTo>
                              <a:pt x="6595744" y="19050"/>
                            </a:lnTo>
                            <a:close/>
                          </a:path>
                        </a:pathLst>
                      </a:custGeom>
                      <a:solidFill>
                        <a:srgbClr val="A0A0A0"/>
                      </a:solidFill>
                    </wps:spPr>
                    <wps:bodyPr wrap="square" lIns="0" tIns="0" rIns="0" bIns="0" rtlCol="0">
                      <a:prstTxWarp prst="textNoShape">
                        <a:avLst/>
                      </a:prstTxWarp>
                    </wps:bodyPr>
                  </wps:wsp>
                </a:graphicData>
              </a:graphic>
            </wp:anchor>
          </w:drawing>
        </mc:Choice>
        <mc:Fallback>
          <w:pict>
            <v:shape w14:anchorId="40A8259E" id="Graphic 10" o:spid="_x0000_s1026" style="position:absolute;margin-left:38pt;margin-top:791.7pt;width:519.35pt;height:1.5pt;z-index:-251659776;visibility:visible;mso-wrap-style:square;mso-wrap-distance-left:0;mso-wrap-distance-top:0;mso-wrap-distance-right:0;mso-wrap-distance-bottom:0;mso-position-horizontal:absolute;mso-position-horizontal-relative:page;mso-position-vertical:absolute;mso-position-vertical-relative:page;v-text-anchor:top" coordsize="659574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" path="m6595744,19050l,19050,,,6595744,r,19050xe" fillcolor="#a0a0a0" stroked="f">
              <v:path arrowok="t"/>
              <w10:wrap anchorx="page" anchory="page"/>
            </v:shape>
          </w:pict>
        </mc:Fallback>
      </mc:AlternateContent>
    </w:r>
    <w:r>
      <w:rPr>
        <w:noProof/>
        <w:sz w:val="20"/>
      </w:rPr>
      <mc:AlternateContent>
        <mc:Choice Requires="wps">
          <w:drawing>
            <wp:anchor distT="0" distB="0" distL="0" distR="0" simplePos="0" relativeHeight="251658752" behindDoc="1" locked="0" layoutInCell="1" allowOverlap="1" wp14:anchorId="3E9E2065" wp14:editId="534D8647">
              <wp:simplePos x="0" y="0"/>
              <wp:positionH relativeFrom="page">
                <wp:posOffset>3613480</wp:posOffset>
              </wp:positionH>
              <wp:positionV relativeFrom="page">
                <wp:posOffset>10120972</wp:posOffset>
              </wp:positionV>
              <wp:extent cx="363220" cy="165100"/>
              <wp:effectExtent l="0" t="0" r="0" b="0"/>
              <wp:wrapNone/>
              <wp:docPr id="11" name="Textbox 11"/>
              <wp:cNvGraphicFramePr/>
              <a:graphic xmlns:a="http://schemas.openxmlformats.org/drawingml/2006/main">
                <a:graphicData uri="http://schemas.microsoft.com/office/word/2010/wordprocessingShape">
                  <wps:wsp>
                    <wps:cNvSpPr txBox="1"/>
                    <wps:spPr>
                      <a:xfrm>
                        <a:off x="0" y="0"/>
                        <a:ext cx="363220" cy="165100"/>
                      </a:xfrm>
                      <a:prstGeom prst="rect">
                        <a:avLst/>
                      </a:prstGeom>
                    </wps:spPr>
                    <wps:txbx>
                      <w:txbxContent>
                        <w:p w14:paraId="68F61FB2" w14:textId="77777777" w:rsidR="00D31054" w:rsidRDefault="00000000">
                          <w:pPr>
                            <w:pStyle w:val="Tekstpodstawowy"/>
                            <w:spacing w:before="0" w:line="244" w:lineRule="exact"/>
                            <w:ind w:left="20"/>
                          </w:pPr>
                          <w:r>
                            <w:rPr>
                              <w:spacing w:val="-2"/>
                            </w:rPr>
                            <w:fldChar w:fldCharType="begin"/>
                          </w:r>
                          <w:r>
                            <w:rPr>
                              <w:spacing w:val="-2"/>
                              <w:sz w:val="20"/>
                            </w:rPr>
                            <w:instrText xml:space="preserve"> PAGE </w:instrText>
                          </w:r>
                          <w:r>
                            <w:rPr>
                              <w:spacing w:val="-2"/>
                            </w:rPr>
                            <w:fldChar w:fldCharType="separate"/>
                          </w:r>
                          <w:r>
                            <w:rPr>
                              <w:spacing w:val="-2"/>
                              <w:sz w:val="20"/>
                            </w:rPr>
                            <w:t>10</w:t>
                          </w:r>
                          <w:r>
                            <w:rPr>
                              <w:spacing w:val="-2"/>
                            </w:rPr>
                            <w:fldChar w:fldCharType="end"/>
                          </w:r>
                          <w:r>
                            <w:rPr>
                              <w:spacing w:val="-2"/>
                              <w:sz w:val="20"/>
                            </w:rPr>
                            <w:t>/10</w:t>
                          </w:r>
                        </w:p>
                      </w:txbxContent>
                    </wps:txbx>
                    <wps:bodyPr wrap="square" lIns="0" tIns="0" rIns="0" bIns="0" rtlCol="0"/>
                  </wps:wsp>
                </a:graphicData>
              </a:graphic>
            </wp:anchor>
          </w:drawing>
        </mc:Choice>
        <mc:Fallback>
          <w:pict>
            <v:shapetype w14:anchorId="3E9E2065" id="_x0000_t202" coordsize="21600,21600" o:spt="202" path="m,l,21600r21600,l21600,xe">
              <v:stroke joinstyle="miter"/>
              <v:path gradientshapeok="t" o:connecttype="rect"/>
            </v:shapetype>
            <v:shape id="Textbox 11" o:spid="_x0000_s1028" type="#_x0000_t202" style="position:absolute;margin-left:284.55pt;margin-top:796.95pt;width:28.6pt;height:13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" filled="f" stroked="f">
              <v:textbox inset="0,0,0,0">
                <w:txbxContent>
                  <w:p w14:paraId="68F61FB2" w14:textId="77777777" w:rsidR="00D31054" w:rsidRDefault="00000000">
                    <w:pPr>
                      <w:pStyle w:val="Tekstpodstawowy"/>
                      <w:spacing w:before="0" w:line="244" w:lineRule="exact"/>
                      <w:ind w:left="20"/>
                    </w:pPr>
                    <w:r>
                      <w:rPr>
                        <w:spacing w:val="-2"/>
                      </w:rPr>
                      <w:fldChar w:fldCharType="begin"/>
                    </w:r>
                    <w:r>
                      <w:rPr>
                        <w:spacing w:val="-2"/>
                        <w:sz w:val="20"/>
                      </w:rPr>
                      <w:instrText xml:space="preserve"> PAGE </w:instrText>
                    </w:r>
                    <w:r>
                      <w:rPr>
                        <w:spacing w:val="-2"/>
                      </w:rPr>
                      <w:fldChar w:fldCharType="separate"/>
                    </w:r>
                    <w:r>
                      <w:rPr>
                        <w:spacing w:val="-2"/>
                        <w:sz w:val="20"/>
                      </w:rPr>
                      <w:t>10</w:t>
                    </w:r>
                    <w:r>
                      <w:rPr>
                        <w:spacing w:val="-2"/>
                      </w:rPr>
                      <w:fldChar w:fldCharType="end"/>
                    </w:r>
                    <w:r>
                      <w:rPr>
                        <w:spacing w:val="-2"/>
                        <w:sz w:val="20"/>
                      </w:rPr>
                      <w:t>/10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D4797" w14:textId="77777777" w:rsidR="0036564D" w:rsidRDefault="0036564D">
      <w:r>
        <w:separator/>
      </w:r>
    </w:p>
  </w:footnote>
  <w:footnote w:type="continuationSeparator" w:id="0">
    <w:p w14:paraId="1BF10362" w14:textId="77777777" w:rsidR="0036564D" w:rsidRDefault="00365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1484A" w14:textId="674B1B3D" w:rsidR="00D31054" w:rsidRDefault="00E56E7E">
    <w:pPr>
      <w:pStyle w:val="Tekstpodstawowy"/>
      <w:spacing w:before="0" w:line="14" w:lineRule="auto"/>
      <w:ind w:left="0"/>
      <w:rPr>
        <w:sz w:val="20"/>
      </w:rPr>
    </w:pPr>
    <w:r>
      <w:rPr>
        <w:noProof/>
        <w:sz w:val="20"/>
      </w:rPr>
      <mc:AlternateContent>
        <mc:Choice Requires="wps">
          <w:drawing>
            <wp:anchor distT="0" distB="0" distL="0" distR="0" simplePos="0" relativeHeight="251660288" behindDoc="1" locked="0" layoutInCell="1" allowOverlap="1" wp14:anchorId="5A7B798A" wp14:editId="1E75EFE9">
              <wp:simplePos x="0" y="0"/>
              <wp:positionH relativeFrom="page">
                <wp:posOffset>485775</wp:posOffset>
              </wp:positionH>
              <wp:positionV relativeFrom="page">
                <wp:posOffset>561975</wp:posOffset>
              </wp:positionV>
              <wp:extent cx="4229100" cy="323850"/>
              <wp:effectExtent l="0" t="0" r="0" b="0"/>
              <wp:wrapNone/>
              <wp:docPr id="9" name="Textbox 9"/>
              <wp:cNvGraphicFramePr/>
              <a:graphic xmlns:a="http://schemas.openxmlformats.org/drawingml/2006/main">
                <a:graphicData uri="http://schemas.microsoft.com/office/word/2010/wordprocessingShape">
                  <wps:wsp>
                    <wps:cNvSpPr txBox="1"/>
                    <wps:spPr>
                      <a:xfrm>
                        <a:off x="0" y="0"/>
                        <a:ext cx="4229100" cy="323850"/>
                      </a:xfrm>
                      <a:prstGeom prst="rect">
                        <a:avLst/>
                      </a:prstGeom>
                    </wps:spPr>
                    <wps:txbx>
                      <w:txbxContent>
                        <w:p w14:paraId="298A7E09" w14:textId="43791C5D" w:rsidR="00D31054" w:rsidRPr="003E11E7" w:rsidRDefault="00000000">
                          <w:pPr>
                            <w:spacing w:line="203" w:lineRule="exact"/>
                            <w:ind w:left="20"/>
                            <w:rPr>
                              <w:sz w:val="18"/>
                              <w:lang w:val="pl-PL"/>
                            </w:rPr>
                          </w:pPr>
                          <w:r w:rsidRPr="003E11E7">
                            <w:rPr>
                              <w:sz w:val="17"/>
                              <w:lang w:val="pl-PL"/>
                            </w:rPr>
                            <w:t xml:space="preserve">Kluczowy temat - Artykuł 1 Protokołu nr 1 Nabywcy </w:t>
                          </w:r>
                          <w:r w:rsidRPr="003E11E7">
                            <w:rPr>
                              <w:spacing w:val="-2"/>
                              <w:sz w:val="17"/>
                              <w:lang w:val="pl-PL"/>
                            </w:rPr>
                            <w:t xml:space="preserve">nieruchomości </w:t>
                          </w:r>
                          <w:r w:rsidRPr="003E11E7">
                            <w:rPr>
                              <w:i/>
                              <w:sz w:val="17"/>
                              <w:lang w:val="pl-PL"/>
                            </w:rPr>
                            <w:t xml:space="preserve">w </w:t>
                          </w:r>
                          <w:r w:rsidRPr="003E11E7">
                            <w:rPr>
                              <w:sz w:val="17"/>
                              <w:lang w:val="pl-PL"/>
                            </w:rPr>
                            <w:t xml:space="preserve">dobrej </w:t>
                          </w:r>
                          <w:r w:rsidRPr="003E11E7">
                            <w:rPr>
                              <w:iCs/>
                              <w:sz w:val="17"/>
                              <w:lang w:val="pl-PL"/>
                            </w:rPr>
                            <w:t>wierze</w:t>
                          </w:r>
                          <w:r w:rsidRPr="003E11E7">
                            <w:rPr>
                              <w:i/>
                              <w:sz w:val="17"/>
                              <w:lang w:val="pl-PL"/>
                            </w:rPr>
                            <w:t xml:space="preserve"> </w:t>
                          </w:r>
                          <w:r w:rsidR="00E56E7E" w:rsidRPr="003E11E7">
                            <w:rPr>
                              <w:i/>
                              <w:sz w:val="17"/>
                              <w:lang w:val="pl-PL"/>
                            </w:rPr>
                            <w:t>/ bona fide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A7B798A" id="_x0000_t202" coordsize="21600,21600" o:spt="202" path="m,l,21600r21600,l21600,xe">
              <v:stroke joinstyle="miter"/>
              <v:path gradientshapeok="t" o:connecttype="rect"/>
            </v:shapetype>
            <v:shape id="Textbox 9" o:spid="_x0000_s1026" type="#_x0000_t202" style="position:absolute;margin-left:38.25pt;margin-top:44.25pt;width:333pt;height:2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" filled="f" stroked="f">
              <v:textbox inset="0,0,0,0">
                <w:txbxContent>
                  <w:p w14:paraId="298A7E09" w14:textId="43791C5D" w:rsidR="00D31054" w:rsidRPr="003E11E7" w:rsidRDefault="00000000">
                    <w:pPr>
                      <w:spacing w:line="203" w:lineRule="exact"/>
                      <w:ind w:left="20"/>
                      <w:rPr>
                        <w:sz w:val="18"/>
                        <w:lang w:val="pl-PL"/>
                      </w:rPr>
                    </w:pPr>
                    <w:r w:rsidRPr="003E11E7">
                      <w:rPr>
                        <w:sz w:val="17"/>
                        <w:lang w:val="pl-PL"/>
                      </w:rPr>
                      <w:t xml:space="preserve">Kluczowy temat - Artykuł 1 Protokołu nr 1 Nabywcy </w:t>
                    </w:r>
                    <w:r w:rsidRPr="003E11E7">
                      <w:rPr>
                        <w:spacing w:val="-2"/>
                        <w:sz w:val="17"/>
                        <w:lang w:val="pl-PL"/>
                      </w:rPr>
                      <w:t xml:space="preserve">nieruchomości </w:t>
                    </w:r>
                    <w:r w:rsidRPr="003E11E7">
                      <w:rPr>
                        <w:i/>
                        <w:sz w:val="17"/>
                        <w:lang w:val="pl-PL"/>
                      </w:rPr>
                      <w:t xml:space="preserve">w </w:t>
                    </w:r>
                    <w:r w:rsidRPr="003E11E7">
                      <w:rPr>
                        <w:sz w:val="17"/>
                        <w:lang w:val="pl-PL"/>
                      </w:rPr>
                      <w:t xml:space="preserve">dobrej </w:t>
                    </w:r>
                    <w:r w:rsidRPr="003E11E7">
                      <w:rPr>
                        <w:iCs/>
                        <w:sz w:val="17"/>
                        <w:lang w:val="pl-PL"/>
                      </w:rPr>
                      <w:t>wierze</w:t>
                    </w:r>
                    <w:r w:rsidRPr="003E11E7">
                      <w:rPr>
                        <w:i/>
                        <w:sz w:val="17"/>
                        <w:lang w:val="pl-PL"/>
                      </w:rPr>
                      <w:t xml:space="preserve"> </w:t>
                    </w:r>
                    <w:r w:rsidR="00E56E7E" w:rsidRPr="003E11E7">
                      <w:rPr>
                        <w:i/>
                        <w:sz w:val="17"/>
                        <w:lang w:val="pl-PL"/>
                      </w:rPr>
                      <w:t>/ bona fide</w:t>
                    </w:r>
                  </w:p>
                </w:txbxContent>
              </v:textbox>
              <w10:wrap anchorx="page" anchory="page"/>
            </v:shape>
          </w:pict>
        </mc:Fallback>
      </mc:AlternateContent>
    </w:r>
    <w:r>
      <w:rPr>
        <w:noProof/>
        <w:sz w:val="20"/>
      </w:rPr>
      <mc:AlternateContent>
        <mc:Choice Requires="wps">
          <w:drawing>
            <wp:anchor distT="0" distB="0" distL="0" distR="0" simplePos="0" relativeHeight="251656192" behindDoc="1" locked="0" layoutInCell="1" allowOverlap="1" wp14:anchorId="57355036" wp14:editId="3353189C">
              <wp:simplePos x="0" y="0"/>
              <wp:positionH relativeFrom="page">
                <wp:posOffset>482600</wp:posOffset>
              </wp:positionH>
              <wp:positionV relativeFrom="page">
                <wp:posOffset>700074</wp:posOffset>
              </wp:positionV>
              <wp:extent cx="6624955" cy="1270"/>
              <wp:effectExtent l="0" t="0" r="0" b="0"/>
              <wp:wrapNone/>
              <wp:docPr id="7" name="Graphic 7"/>
              <wp:cNvGraphicFramePr/>
              <a:graphic xmlns:a="http://schemas.openxmlformats.org/drawingml/2006/main">
                <a:graphicData uri="http://schemas.microsoft.com/office/word/2010/wordprocessingShape">
                  <wps:wsp>
                    <wps:cNvSpPr/>
                    <wps:spPr>
                      <a:xfrm>
                        <a:off x="0" y="0"/>
                        <a:ext cx="6624955" cy="1270"/>
                      </a:xfrm>
                      <a:custGeom>
                        <a:avLst/>
                        <a:gdLst/>
                        <a:ahLst/>
                        <a:cxnLst/>
                        <a:rect l="l" t="t" r="r" b="b"/>
                        <a:pathLst>
                          <a:path w="6624955">
                            <a:moveTo>
                              <a:pt x="0" y="0"/>
                            </a:moveTo>
                            <a:lnTo>
                              <a:pt x="6624955" y="0"/>
                            </a:lnTo>
                          </a:path>
                        </a:pathLst>
                      </a:custGeom>
                      <a:ln w="9525">
                        <a:solidFill>
                          <a:srgbClr val="949494"/>
                        </a:solidFill>
                        <a:prstDash val="solid"/>
                      </a:ln>
                    </wps:spPr>
                    <wps:bodyPr wrap="square" lIns="0" tIns="0" rIns="0" bIns="0" rtlCol="0">
                      <a:prstTxWarp prst="textNoShape">
                        <a:avLst/>
                      </a:prstTxWarp>
                    </wps:bodyPr>
                  </wps:wsp>
                </a:graphicData>
              </a:graphic>
            </wp:anchor>
          </w:drawing>
        </mc:Choice>
        <mc:Fallback>
          <w:pict>
            <v:shape w14:anchorId="5F54B614" id="Graphic 7" o:spid="_x0000_s1026" style="position:absolute;margin-left:38pt;margin-top:55.1pt;width:521.65pt;height:.1pt;z-index:-251660288;visibility:visible;mso-wrap-style:square;mso-wrap-distance-left:0;mso-wrap-distance-top:0;mso-wrap-distance-right:0;mso-wrap-distance-bottom:0;mso-position-horizontal:absolute;mso-position-horizontal-relative:page;mso-position-vertical:absolute;mso-position-vertical-relative:page;v-text-anchor:top" coordsize="6624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" path="m,l6624955,e" filled="f" strokecolor="#949494">
              <v:path arrowok="t"/>
              <w10:wrap anchorx="page" anchory="page"/>
            </v:shape>
          </w:pict>
        </mc:Fallback>
      </mc:AlternateContent>
    </w:r>
    <w:r>
      <w:rPr>
        <w:noProof/>
        <w:sz w:val="20"/>
      </w:rPr>
      <mc:AlternateContent>
        <mc:Choice Requires="wps">
          <w:drawing>
            <wp:anchor distT="0" distB="0" distL="0" distR="0" simplePos="0" relativeHeight="251658240" behindDoc="1" locked="0" layoutInCell="1" allowOverlap="1" wp14:anchorId="15E3EF38" wp14:editId="66830938">
              <wp:simplePos x="0" y="0"/>
              <wp:positionH relativeFrom="page">
                <wp:posOffset>6374104</wp:posOffset>
              </wp:positionH>
              <wp:positionV relativeFrom="page">
                <wp:posOffset>446120</wp:posOffset>
              </wp:positionV>
              <wp:extent cx="746125" cy="262255"/>
              <wp:effectExtent l="0" t="0" r="0" b="0"/>
              <wp:wrapNone/>
              <wp:docPr id="8" name="Textbox 8"/>
              <wp:cNvGraphicFramePr/>
              <a:graphic xmlns:a="http://schemas.openxmlformats.org/drawingml/2006/main">
                <a:graphicData uri="http://schemas.microsoft.com/office/word/2010/wordprocessingShape">
                  <wps:wsp>
                    <wps:cNvSpPr txBox="1"/>
                    <wps:spPr>
                      <a:xfrm>
                        <a:off x="0" y="0"/>
                        <a:ext cx="746125" cy="262255"/>
                      </a:xfrm>
                      <a:prstGeom prst="rect">
                        <a:avLst/>
                      </a:prstGeom>
                    </wps:spPr>
                    <wps:txbx>
                      <w:txbxContent>
                        <w:p w14:paraId="6025257C" w14:textId="77777777" w:rsidR="00D31054" w:rsidRDefault="00000000">
                          <w:pPr>
                            <w:spacing w:before="55"/>
                            <w:ind w:left="20"/>
                            <w:rPr>
                              <w:b/>
                              <w:sz w:val="28"/>
                            </w:rPr>
                          </w:pPr>
                          <w:r>
                            <w:rPr>
                              <w:b/>
                              <w:color w:val="002856"/>
                              <w:spacing w:val="-5"/>
                              <w:w w:val="115"/>
                              <w:sz w:val="26"/>
                            </w:rPr>
                            <w:t>ECHR-KS</w:t>
                          </w:r>
                        </w:p>
                      </w:txbxContent>
                    </wps:txbx>
                    <wps:bodyPr wrap="square" lIns="0" tIns="0" rIns="0" bIns="0" rtlCol="0"/>
                  </wps:wsp>
                </a:graphicData>
              </a:graphic>
            </wp:anchor>
          </w:drawing>
        </mc:Choice>
        <mc:Fallback>
          <w:pict>
            <v:shape w14:anchorId="15E3EF38" id="Textbox 8" o:spid="_x0000_s1027" type="#_x0000_t202" style="position:absolute;margin-left:501.9pt;margin-top:35.15pt;width:58.75pt;height:20.6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" filled="f" stroked="f">
              <v:textbox inset="0,0,0,0">
                <w:txbxContent>
                  <w:p w14:paraId="6025257C" w14:textId="77777777" w:rsidR="00D31054" w:rsidRDefault="00000000">
                    <w:pPr>
                      <w:spacing w:before="55"/>
                      <w:ind w:left="20"/>
                      <w:rPr>
                        <w:b/>
                        <w:sz w:val="28"/>
                      </w:rPr>
                    </w:pPr>
                    <w:r>
                      <w:rPr>
                        <w:b/>
                        <w:color w:val="002856"/>
                        <w:spacing w:val="-5"/>
                        <w:w w:val="115"/>
                        <w:sz w:val="26"/>
                      </w:rPr>
                      <w:t>ECHR-KS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6B9B"/>
    <w:multiLevelType w:val="hybridMultilevel"/>
    <w:tmpl w:val="00000000"/>
    <w:lvl w:ilvl="0" w:tplc="6222512A">
      <w:start w:val="1"/>
      <w:numFmt w:val="decimal"/>
      <w:lvlText w:val="%1."/>
      <w:lvlJc w:val="left"/>
      <w:pPr>
        <w:ind w:left="1026" w:hanging="295"/>
      </w:pPr>
      <w:rPr>
        <w:rFonts w:ascii="Calibri" w:eastAsia="Calibri" w:hAnsi="Calibri" w:cs="Calibri" w:hint="default"/>
        <w:b/>
        <w:bCs/>
        <w:i w:val="0"/>
        <w:iCs w:val="0"/>
        <w:color w:val="2F2F2F"/>
        <w:spacing w:val="-1"/>
        <w:w w:val="100"/>
        <w:sz w:val="24"/>
        <w:szCs w:val="24"/>
        <w:lang w:val="en-US" w:eastAsia="en-US" w:bidi="ar-SA"/>
      </w:rPr>
    </w:lvl>
    <w:lvl w:ilvl="1" w:tplc="246A537A">
      <w:start w:val="1"/>
      <w:numFmt w:val="lowerRoman"/>
      <w:lvlText w:val="(%2)"/>
      <w:lvlJc w:val="left"/>
      <w:pPr>
        <w:ind w:left="732" w:hanging="284"/>
      </w:pPr>
      <w:rPr>
        <w:rFonts w:ascii="Calibri" w:eastAsia="Calibri" w:hAnsi="Calibri" w:cs="Calibri" w:hint="default"/>
        <w:b w:val="0"/>
        <w:bCs w:val="0"/>
        <w:i w:val="0"/>
        <w:iCs w:val="0"/>
        <w:spacing w:val="-1"/>
        <w:w w:val="100"/>
        <w:sz w:val="22"/>
        <w:szCs w:val="22"/>
        <w:lang w:val="en-US" w:eastAsia="en-US" w:bidi="ar-SA"/>
      </w:rPr>
    </w:lvl>
    <w:lvl w:ilvl="2" w:tplc="BE7E9866">
      <w:numFmt w:val="bullet"/>
      <w:lvlText w:val="•"/>
      <w:lvlJc w:val="left"/>
      <w:pPr>
        <w:ind w:left="2072" w:hanging="284"/>
      </w:pPr>
      <w:rPr>
        <w:rFonts w:hint="default"/>
        <w:lang w:val="en-US" w:eastAsia="en-US" w:bidi="ar-SA"/>
      </w:rPr>
    </w:lvl>
    <w:lvl w:ilvl="3" w:tplc="E8107212">
      <w:numFmt w:val="bullet"/>
      <w:lvlText w:val="•"/>
      <w:lvlJc w:val="left"/>
      <w:pPr>
        <w:ind w:left="3124" w:hanging="284"/>
      </w:pPr>
      <w:rPr>
        <w:rFonts w:hint="default"/>
        <w:lang w:val="en-US" w:eastAsia="en-US" w:bidi="ar-SA"/>
      </w:rPr>
    </w:lvl>
    <w:lvl w:ilvl="4" w:tplc="9A505828">
      <w:numFmt w:val="bullet"/>
      <w:lvlText w:val="•"/>
      <w:lvlJc w:val="left"/>
      <w:pPr>
        <w:ind w:left="4177" w:hanging="284"/>
      </w:pPr>
      <w:rPr>
        <w:rFonts w:hint="default"/>
        <w:lang w:val="en-US" w:eastAsia="en-US" w:bidi="ar-SA"/>
      </w:rPr>
    </w:lvl>
    <w:lvl w:ilvl="5" w:tplc="878438C4">
      <w:numFmt w:val="bullet"/>
      <w:lvlText w:val="•"/>
      <w:lvlJc w:val="left"/>
      <w:pPr>
        <w:ind w:left="5229" w:hanging="284"/>
      </w:pPr>
      <w:rPr>
        <w:rFonts w:hint="default"/>
        <w:lang w:val="en-US" w:eastAsia="en-US" w:bidi="ar-SA"/>
      </w:rPr>
    </w:lvl>
    <w:lvl w:ilvl="6" w:tplc="299A7A12">
      <w:numFmt w:val="bullet"/>
      <w:lvlText w:val="•"/>
      <w:lvlJc w:val="left"/>
      <w:pPr>
        <w:ind w:left="6281" w:hanging="284"/>
      </w:pPr>
      <w:rPr>
        <w:rFonts w:hint="default"/>
        <w:lang w:val="en-US" w:eastAsia="en-US" w:bidi="ar-SA"/>
      </w:rPr>
    </w:lvl>
    <w:lvl w:ilvl="7" w:tplc="962EE158">
      <w:numFmt w:val="bullet"/>
      <w:lvlText w:val="•"/>
      <w:lvlJc w:val="left"/>
      <w:pPr>
        <w:ind w:left="7334" w:hanging="284"/>
      </w:pPr>
      <w:rPr>
        <w:rFonts w:hint="default"/>
        <w:lang w:val="en-US" w:eastAsia="en-US" w:bidi="ar-SA"/>
      </w:rPr>
    </w:lvl>
    <w:lvl w:ilvl="8" w:tplc="A8DC9CA4">
      <w:numFmt w:val="bullet"/>
      <w:lvlText w:val="•"/>
      <w:lvlJc w:val="left"/>
      <w:pPr>
        <w:ind w:left="8386" w:hanging="284"/>
      </w:pPr>
      <w:rPr>
        <w:rFonts w:hint="default"/>
        <w:lang w:val="en-US" w:eastAsia="en-US" w:bidi="ar-SA"/>
      </w:rPr>
    </w:lvl>
  </w:abstractNum>
  <w:abstractNum w:abstractNumId="1" w15:restartNumberingAfterBreak="0">
    <w:nsid w:val="108711C7"/>
    <w:multiLevelType w:val="hybridMultilevel"/>
    <w:tmpl w:val="00000000"/>
    <w:lvl w:ilvl="0" w:tplc="3AB47D24">
      <w:numFmt w:val="bullet"/>
      <w:lvlText w:val="▪"/>
      <w:lvlJc w:val="left"/>
      <w:pPr>
        <w:ind w:left="1583" w:hanging="285"/>
      </w:pPr>
      <w:rPr>
        <w:rFonts w:ascii="Noto Sans Symbols2" w:eastAsia="Noto Sans Symbols2" w:hAnsi="Noto Sans Symbols2" w:cs="Noto Sans Symbols2" w:hint="default"/>
        <w:b w:val="0"/>
        <w:bCs w:val="0"/>
        <w:i w:val="0"/>
        <w:iCs w:val="0"/>
        <w:color w:val="0072BC"/>
        <w:spacing w:val="0"/>
        <w:w w:val="130"/>
        <w:sz w:val="22"/>
        <w:szCs w:val="22"/>
        <w:lang w:val="en-US" w:eastAsia="en-US" w:bidi="ar-SA"/>
      </w:rPr>
    </w:lvl>
    <w:lvl w:ilvl="1" w:tplc="5782AD4C">
      <w:numFmt w:val="bullet"/>
      <w:lvlText w:val="•"/>
      <w:lvlJc w:val="left"/>
      <w:pPr>
        <w:ind w:left="2471" w:hanging="285"/>
      </w:pPr>
      <w:rPr>
        <w:rFonts w:hint="default"/>
        <w:lang w:val="en-US" w:eastAsia="en-US" w:bidi="ar-SA"/>
      </w:rPr>
    </w:lvl>
    <w:lvl w:ilvl="2" w:tplc="C65C34A8">
      <w:numFmt w:val="bullet"/>
      <w:lvlText w:val="•"/>
      <w:lvlJc w:val="left"/>
      <w:pPr>
        <w:ind w:left="3362" w:hanging="285"/>
      </w:pPr>
      <w:rPr>
        <w:rFonts w:hint="default"/>
        <w:lang w:val="en-US" w:eastAsia="en-US" w:bidi="ar-SA"/>
      </w:rPr>
    </w:lvl>
    <w:lvl w:ilvl="3" w:tplc="7970570A">
      <w:numFmt w:val="bullet"/>
      <w:lvlText w:val="•"/>
      <w:lvlJc w:val="left"/>
      <w:pPr>
        <w:ind w:left="4253" w:hanging="285"/>
      </w:pPr>
      <w:rPr>
        <w:rFonts w:hint="default"/>
        <w:lang w:val="en-US" w:eastAsia="en-US" w:bidi="ar-SA"/>
      </w:rPr>
    </w:lvl>
    <w:lvl w:ilvl="4" w:tplc="B6183C76">
      <w:numFmt w:val="bullet"/>
      <w:lvlText w:val="•"/>
      <w:lvlJc w:val="left"/>
      <w:pPr>
        <w:ind w:left="5144" w:hanging="285"/>
      </w:pPr>
      <w:rPr>
        <w:rFonts w:hint="default"/>
        <w:lang w:val="en-US" w:eastAsia="en-US" w:bidi="ar-SA"/>
      </w:rPr>
    </w:lvl>
    <w:lvl w:ilvl="5" w:tplc="07E407A4">
      <w:numFmt w:val="bullet"/>
      <w:lvlText w:val="•"/>
      <w:lvlJc w:val="left"/>
      <w:pPr>
        <w:ind w:left="6035" w:hanging="285"/>
      </w:pPr>
      <w:rPr>
        <w:rFonts w:hint="default"/>
        <w:lang w:val="en-US" w:eastAsia="en-US" w:bidi="ar-SA"/>
      </w:rPr>
    </w:lvl>
    <w:lvl w:ilvl="6" w:tplc="89A85388">
      <w:numFmt w:val="bullet"/>
      <w:lvlText w:val="•"/>
      <w:lvlJc w:val="left"/>
      <w:pPr>
        <w:ind w:left="6926" w:hanging="285"/>
      </w:pPr>
      <w:rPr>
        <w:rFonts w:hint="default"/>
        <w:lang w:val="en-US" w:eastAsia="en-US" w:bidi="ar-SA"/>
      </w:rPr>
    </w:lvl>
    <w:lvl w:ilvl="7" w:tplc="E7B83CA2">
      <w:numFmt w:val="bullet"/>
      <w:lvlText w:val="•"/>
      <w:lvlJc w:val="left"/>
      <w:pPr>
        <w:ind w:left="7817" w:hanging="285"/>
      </w:pPr>
      <w:rPr>
        <w:rFonts w:hint="default"/>
        <w:lang w:val="en-US" w:eastAsia="en-US" w:bidi="ar-SA"/>
      </w:rPr>
    </w:lvl>
    <w:lvl w:ilvl="8" w:tplc="72328B4C">
      <w:numFmt w:val="bullet"/>
      <w:lvlText w:val="•"/>
      <w:lvlJc w:val="left"/>
      <w:pPr>
        <w:ind w:left="8708" w:hanging="285"/>
      </w:pPr>
      <w:rPr>
        <w:rFonts w:hint="default"/>
        <w:lang w:val="en-US" w:eastAsia="en-US" w:bidi="ar-SA"/>
      </w:rPr>
    </w:lvl>
  </w:abstractNum>
  <w:abstractNum w:abstractNumId="2" w15:restartNumberingAfterBreak="0">
    <w:nsid w:val="1597574A"/>
    <w:multiLevelType w:val="hybridMultilevel"/>
    <w:tmpl w:val="226E4F92"/>
    <w:lvl w:ilvl="0" w:tplc="8C0C2018">
      <w:numFmt w:val="bullet"/>
      <w:lvlText w:val="▪"/>
      <w:lvlJc w:val="left"/>
      <w:pPr>
        <w:ind w:left="1583" w:hanging="284"/>
      </w:pPr>
      <w:rPr>
        <w:rFonts w:ascii="Noto Sans Symbols2" w:eastAsia="Noto Sans Symbols2" w:hAnsi="Noto Sans Symbols2" w:cs="Noto Sans Symbols2" w:hint="default"/>
        <w:b w:val="0"/>
        <w:bCs w:val="0"/>
        <w:i w:val="0"/>
        <w:iCs w:val="0"/>
        <w:color w:val="0072BC"/>
        <w:spacing w:val="0"/>
        <w:w w:val="130"/>
        <w:sz w:val="22"/>
        <w:szCs w:val="22"/>
        <w:lang w:val="en-US" w:eastAsia="en-US" w:bidi="ar-SA"/>
      </w:rPr>
    </w:lvl>
    <w:lvl w:ilvl="1" w:tplc="A8706EBC">
      <w:numFmt w:val="bullet"/>
      <w:lvlText w:val="•"/>
      <w:lvlJc w:val="left"/>
      <w:pPr>
        <w:ind w:left="2471" w:hanging="284"/>
      </w:pPr>
      <w:rPr>
        <w:rFonts w:hint="default"/>
        <w:lang w:val="en-US" w:eastAsia="en-US" w:bidi="ar-SA"/>
      </w:rPr>
    </w:lvl>
    <w:lvl w:ilvl="2" w:tplc="BCD23C72">
      <w:numFmt w:val="bullet"/>
      <w:lvlText w:val="•"/>
      <w:lvlJc w:val="left"/>
      <w:pPr>
        <w:ind w:left="3362" w:hanging="284"/>
      </w:pPr>
      <w:rPr>
        <w:rFonts w:hint="default"/>
        <w:lang w:val="en-US" w:eastAsia="en-US" w:bidi="ar-SA"/>
      </w:rPr>
    </w:lvl>
    <w:lvl w:ilvl="3" w:tplc="72466304">
      <w:numFmt w:val="bullet"/>
      <w:lvlText w:val="•"/>
      <w:lvlJc w:val="left"/>
      <w:pPr>
        <w:ind w:left="4253" w:hanging="284"/>
      </w:pPr>
      <w:rPr>
        <w:rFonts w:hint="default"/>
        <w:lang w:val="en-US" w:eastAsia="en-US" w:bidi="ar-SA"/>
      </w:rPr>
    </w:lvl>
    <w:lvl w:ilvl="4" w:tplc="0C881310">
      <w:numFmt w:val="bullet"/>
      <w:lvlText w:val="•"/>
      <w:lvlJc w:val="left"/>
      <w:pPr>
        <w:ind w:left="5144" w:hanging="284"/>
      </w:pPr>
      <w:rPr>
        <w:rFonts w:hint="default"/>
        <w:lang w:val="en-US" w:eastAsia="en-US" w:bidi="ar-SA"/>
      </w:rPr>
    </w:lvl>
    <w:lvl w:ilvl="5" w:tplc="B5C4B9F0">
      <w:numFmt w:val="bullet"/>
      <w:lvlText w:val="•"/>
      <w:lvlJc w:val="left"/>
      <w:pPr>
        <w:ind w:left="6035" w:hanging="284"/>
      </w:pPr>
      <w:rPr>
        <w:rFonts w:hint="default"/>
        <w:lang w:val="en-US" w:eastAsia="en-US" w:bidi="ar-SA"/>
      </w:rPr>
    </w:lvl>
    <w:lvl w:ilvl="6" w:tplc="B80E6F50">
      <w:numFmt w:val="bullet"/>
      <w:lvlText w:val="•"/>
      <w:lvlJc w:val="left"/>
      <w:pPr>
        <w:ind w:left="6926" w:hanging="284"/>
      </w:pPr>
      <w:rPr>
        <w:rFonts w:hint="default"/>
        <w:lang w:val="en-US" w:eastAsia="en-US" w:bidi="ar-SA"/>
      </w:rPr>
    </w:lvl>
    <w:lvl w:ilvl="7" w:tplc="D3EEDBEC">
      <w:numFmt w:val="bullet"/>
      <w:lvlText w:val="•"/>
      <w:lvlJc w:val="left"/>
      <w:pPr>
        <w:ind w:left="7817" w:hanging="284"/>
      </w:pPr>
      <w:rPr>
        <w:rFonts w:hint="default"/>
        <w:lang w:val="en-US" w:eastAsia="en-US" w:bidi="ar-SA"/>
      </w:rPr>
    </w:lvl>
    <w:lvl w:ilvl="8" w:tplc="68784FEC">
      <w:numFmt w:val="bullet"/>
      <w:lvlText w:val="•"/>
      <w:lvlJc w:val="left"/>
      <w:pPr>
        <w:ind w:left="8708" w:hanging="284"/>
      </w:pPr>
      <w:rPr>
        <w:rFonts w:hint="default"/>
        <w:lang w:val="en-US" w:eastAsia="en-US" w:bidi="ar-SA"/>
      </w:rPr>
    </w:lvl>
  </w:abstractNum>
  <w:abstractNum w:abstractNumId="3" w15:restartNumberingAfterBreak="0">
    <w:nsid w:val="2016B9D8"/>
    <w:multiLevelType w:val="hybridMultilevel"/>
    <w:tmpl w:val="00000000"/>
    <w:lvl w:ilvl="0" w:tplc="6FBC0BF4">
      <w:start w:val="1"/>
      <w:numFmt w:val="decimal"/>
      <w:lvlText w:val="%1."/>
      <w:lvlJc w:val="left"/>
      <w:pPr>
        <w:ind w:left="1026" w:hanging="295"/>
      </w:pPr>
      <w:rPr>
        <w:rFonts w:ascii="Calibri" w:eastAsia="Calibri" w:hAnsi="Calibri" w:cs="Calibri" w:hint="default"/>
        <w:b/>
        <w:bCs/>
        <w:i w:val="0"/>
        <w:iCs w:val="0"/>
        <w:color w:val="2F2F2F"/>
        <w:spacing w:val="-1"/>
        <w:w w:val="100"/>
        <w:sz w:val="24"/>
        <w:szCs w:val="24"/>
        <w:lang w:val="en-US" w:eastAsia="en-US" w:bidi="ar-SA"/>
      </w:rPr>
    </w:lvl>
    <w:lvl w:ilvl="1" w:tplc="FE72F41A">
      <w:start w:val="1"/>
      <w:numFmt w:val="lowerLetter"/>
      <w:lvlText w:val="%2."/>
      <w:lvlJc w:val="left"/>
      <w:pPr>
        <w:ind w:left="998" w:hanging="267"/>
      </w:pPr>
      <w:rPr>
        <w:rFonts w:ascii="Calibri" w:eastAsia="Calibri" w:hAnsi="Calibri" w:cs="Calibri" w:hint="default"/>
        <w:b/>
        <w:bCs/>
        <w:i w:val="0"/>
        <w:iCs w:val="0"/>
        <w:color w:val="2F2F2F"/>
        <w:spacing w:val="-1"/>
        <w:w w:val="100"/>
        <w:sz w:val="22"/>
        <w:szCs w:val="22"/>
        <w:lang w:val="en-US" w:eastAsia="en-US" w:bidi="ar-SA"/>
      </w:rPr>
    </w:lvl>
    <w:lvl w:ilvl="2" w:tplc="0BF63D5E">
      <w:numFmt w:val="bullet"/>
      <w:lvlText w:val="•"/>
      <w:lvlJc w:val="left"/>
      <w:pPr>
        <w:ind w:left="2072" w:hanging="267"/>
      </w:pPr>
      <w:rPr>
        <w:rFonts w:hint="default"/>
        <w:lang w:val="en-US" w:eastAsia="en-US" w:bidi="ar-SA"/>
      </w:rPr>
    </w:lvl>
    <w:lvl w:ilvl="3" w:tplc="D0607F18">
      <w:numFmt w:val="bullet"/>
      <w:lvlText w:val="•"/>
      <w:lvlJc w:val="left"/>
      <w:pPr>
        <w:ind w:left="3124" w:hanging="267"/>
      </w:pPr>
      <w:rPr>
        <w:rFonts w:hint="default"/>
        <w:lang w:val="en-US" w:eastAsia="en-US" w:bidi="ar-SA"/>
      </w:rPr>
    </w:lvl>
    <w:lvl w:ilvl="4" w:tplc="54E070EC">
      <w:numFmt w:val="bullet"/>
      <w:lvlText w:val="•"/>
      <w:lvlJc w:val="left"/>
      <w:pPr>
        <w:ind w:left="4177" w:hanging="267"/>
      </w:pPr>
      <w:rPr>
        <w:rFonts w:hint="default"/>
        <w:lang w:val="en-US" w:eastAsia="en-US" w:bidi="ar-SA"/>
      </w:rPr>
    </w:lvl>
    <w:lvl w:ilvl="5" w:tplc="A3CA130C">
      <w:numFmt w:val="bullet"/>
      <w:lvlText w:val="•"/>
      <w:lvlJc w:val="left"/>
      <w:pPr>
        <w:ind w:left="5229" w:hanging="267"/>
      </w:pPr>
      <w:rPr>
        <w:rFonts w:hint="default"/>
        <w:lang w:val="en-US" w:eastAsia="en-US" w:bidi="ar-SA"/>
      </w:rPr>
    </w:lvl>
    <w:lvl w:ilvl="6" w:tplc="2DD255DC">
      <w:numFmt w:val="bullet"/>
      <w:lvlText w:val="•"/>
      <w:lvlJc w:val="left"/>
      <w:pPr>
        <w:ind w:left="6281" w:hanging="267"/>
      </w:pPr>
      <w:rPr>
        <w:rFonts w:hint="default"/>
        <w:lang w:val="en-US" w:eastAsia="en-US" w:bidi="ar-SA"/>
      </w:rPr>
    </w:lvl>
    <w:lvl w:ilvl="7" w:tplc="6FF68F86">
      <w:numFmt w:val="bullet"/>
      <w:lvlText w:val="•"/>
      <w:lvlJc w:val="left"/>
      <w:pPr>
        <w:ind w:left="7334" w:hanging="267"/>
      </w:pPr>
      <w:rPr>
        <w:rFonts w:hint="default"/>
        <w:lang w:val="en-US" w:eastAsia="en-US" w:bidi="ar-SA"/>
      </w:rPr>
    </w:lvl>
    <w:lvl w:ilvl="8" w:tplc="971A564C">
      <w:numFmt w:val="bullet"/>
      <w:lvlText w:val="•"/>
      <w:lvlJc w:val="left"/>
      <w:pPr>
        <w:ind w:left="8386" w:hanging="267"/>
      </w:pPr>
      <w:rPr>
        <w:rFonts w:hint="default"/>
        <w:lang w:val="en-US" w:eastAsia="en-US" w:bidi="ar-SA"/>
      </w:rPr>
    </w:lvl>
  </w:abstractNum>
  <w:abstractNum w:abstractNumId="4" w15:restartNumberingAfterBreak="0">
    <w:nsid w:val="3392309F"/>
    <w:multiLevelType w:val="hybridMultilevel"/>
    <w:tmpl w:val="997A5534"/>
    <w:lvl w:ilvl="0" w:tplc="8C0C2018">
      <w:numFmt w:val="bullet"/>
      <w:lvlText w:val="▪"/>
      <w:lvlJc w:val="left"/>
      <w:pPr>
        <w:ind w:left="720" w:hanging="360"/>
      </w:pPr>
      <w:rPr>
        <w:rFonts w:ascii="Noto Sans Symbols2" w:eastAsia="Noto Sans Symbols2" w:hAnsi="Noto Sans Symbols2" w:cs="Noto Sans Symbols2" w:hint="default"/>
        <w:b w:val="0"/>
        <w:bCs w:val="0"/>
        <w:i w:val="0"/>
        <w:iCs w:val="0"/>
        <w:color w:val="0072BC"/>
        <w:spacing w:val="0"/>
        <w:w w:val="130"/>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BACCE46"/>
    <w:multiLevelType w:val="hybridMultilevel"/>
    <w:tmpl w:val="00000000"/>
    <w:lvl w:ilvl="0" w:tplc="7EDACDC6">
      <w:start w:val="1"/>
      <w:numFmt w:val="decimal"/>
      <w:lvlText w:val="%1."/>
      <w:lvlJc w:val="left"/>
      <w:pPr>
        <w:ind w:left="1026" w:hanging="295"/>
      </w:pPr>
      <w:rPr>
        <w:rFonts w:ascii="Calibri" w:eastAsia="Calibri" w:hAnsi="Calibri" w:cs="Calibri" w:hint="default"/>
        <w:b/>
        <w:bCs/>
        <w:i w:val="0"/>
        <w:iCs w:val="0"/>
        <w:color w:val="2F2F2F"/>
        <w:spacing w:val="-1"/>
        <w:w w:val="100"/>
        <w:sz w:val="24"/>
        <w:szCs w:val="24"/>
        <w:lang w:val="en-US" w:eastAsia="en-US" w:bidi="ar-SA"/>
      </w:rPr>
    </w:lvl>
    <w:lvl w:ilvl="1" w:tplc="B666F5CC">
      <w:numFmt w:val="bullet"/>
      <w:lvlText w:val="▪"/>
      <w:lvlJc w:val="left"/>
      <w:pPr>
        <w:ind w:left="1583" w:hanging="284"/>
      </w:pPr>
      <w:rPr>
        <w:rFonts w:ascii="Noto Sans Symbols2" w:eastAsia="Noto Sans Symbols2" w:hAnsi="Noto Sans Symbols2" w:cs="Noto Sans Symbols2" w:hint="default"/>
        <w:b w:val="0"/>
        <w:bCs w:val="0"/>
        <w:i w:val="0"/>
        <w:iCs w:val="0"/>
        <w:color w:val="0072BC"/>
        <w:spacing w:val="0"/>
        <w:w w:val="130"/>
        <w:sz w:val="22"/>
        <w:szCs w:val="22"/>
        <w:lang w:val="en-US" w:eastAsia="en-US" w:bidi="ar-SA"/>
      </w:rPr>
    </w:lvl>
    <w:lvl w:ilvl="2" w:tplc="310C1CE0">
      <w:numFmt w:val="bullet"/>
      <w:lvlText w:val="•"/>
      <w:lvlJc w:val="left"/>
      <w:pPr>
        <w:ind w:left="2570" w:hanging="284"/>
      </w:pPr>
      <w:rPr>
        <w:rFonts w:hint="default"/>
        <w:lang w:val="en-US" w:eastAsia="en-US" w:bidi="ar-SA"/>
      </w:rPr>
    </w:lvl>
    <w:lvl w:ilvl="3" w:tplc="26B69C82">
      <w:numFmt w:val="bullet"/>
      <w:lvlText w:val="•"/>
      <w:lvlJc w:val="left"/>
      <w:pPr>
        <w:ind w:left="3560" w:hanging="284"/>
      </w:pPr>
      <w:rPr>
        <w:rFonts w:hint="default"/>
        <w:lang w:val="en-US" w:eastAsia="en-US" w:bidi="ar-SA"/>
      </w:rPr>
    </w:lvl>
    <w:lvl w:ilvl="4" w:tplc="9B6ADF16">
      <w:numFmt w:val="bullet"/>
      <w:lvlText w:val="•"/>
      <w:lvlJc w:val="left"/>
      <w:pPr>
        <w:ind w:left="4550" w:hanging="284"/>
      </w:pPr>
      <w:rPr>
        <w:rFonts w:hint="default"/>
        <w:lang w:val="en-US" w:eastAsia="en-US" w:bidi="ar-SA"/>
      </w:rPr>
    </w:lvl>
    <w:lvl w:ilvl="5" w:tplc="E9FE6D88">
      <w:numFmt w:val="bullet"/>
      <w:lvlText w:val="•"/>
      <w:lvlJc w:val="left"/>
      <w:pPr>
        <w:ind w:left="5540" w:hanging="284"/>
      </w:pPr>
      <w:rPr>
        <w:rFonts w:hint="default"/>
        <w:lang w:val="en-US" w:eastAsia="en-US" w:bidi="ar-SA"/>
      </w:rPr>
    </w:lvl>
    <w:lvl w:ilvl="6" w:tplc="836EA27E">
      <w:numFmt w:val="bullet"/>
      <w:lvlText w:val="•"/>
      <w:lvlJc w:val="left"/>
      <w:pPr>
        <w:ind w:left="6530" w:hanging="284"/>
      </w:pPr>
      <w:rPr>
        <w:rFonts w:hint="default"/>
        <w:lang w:val="en-US" w:eastAsia="en-US" w:bidi="ar-SA"/>
      </w:rPr>
    </w:lvl>
    <w:lvl w:ilvl="7" w:tplc="35E84DB8">
      <w:numFmt w:val="bullet"/>
      <w:lvlText w:val="•"/>
      <w:lvlJc w:val="left"/>
      <w:pPr>
        <w:ind w:left="7520" w:hanging="284"/>
      </w:pPr>
      <w:rPr>
        <w:rFonts w:hint="default"/>
        <w:lang w:val="en-US" w:eastAsia="en-US" w:bidi="ar-SA"/>
      </w:rPr>
    </w:lvl>
    <w:lvl w:ilvl="8" w:tplc="0D5E226A">
      <w:numFmt w:val="bullet"/>
      <w:lvlText w:val="•"/>
      <w:lvlJc w:val="left"/>
      <w:pPr>
        <w:ind w:left="8510" w:hanging="284"/>
      </w:pPr>
      <w:rPr>
        <w:rFonts w:hint="default"/>
        <w:lang w:val="en-US" w:eastAsia="en-US" w:bidi="ar-SA"/>
      </w:rPr>
    </w:lvl>
  </w:abstractNum>
  <w:num w:numId="1" w16cid:durableId="735280481">
    <w:abstractNumId w:val="5"/>
  </w:num>
  <w:num w:numId="2" w16cid:durableId="1706099902">
    <w:abstractNumId w:val="2"/>
  </w:num>
  <w:num w:numId="3" w16cid:durableId="1919096063">
    <w:abstractNumId w:val="0"/>
  </w:num>
  <w:num w:numId="4" w16cid:durableId="1196695070">
    <w:abstractNumId w:val="3"/>
  </w:num>
  <w:num w:numId="5" w16cid:durableId="2013292420">
    <w:abstractNumId w:val="1"/>
  </w:num>
  <w:num w:numId="6" w16cid:durableId="20766585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054"/>
    <w:rsid w:val="00000FE3"/>
    <w:rsid w:val="00051E2B"/>
    <w:rsid w:val="000F37B4"/>
    <w:rsid w:val="00101D88"/>
    <w:rsid w:val="001642A9"/>
    <w:rsid w:val="00167B4D"/>
    <w:rsid w:val="00190376"/>
    <w:rsid w:val="001A655F"/>
    <w:rsid w:val="001C1B75"/>
    <w:rsid w:val="001E51CD"/>
    <w:rsid w:val="0023035B"/>
    <w:rsid w:val="00240EAA"/>
    <w:rsid w:val="002539F9"/>
    <w:rsid w:val="00265519"/>
    <w:rsid w:val="00265AF8"/>
    <w:rsid w:val="00321CF1"/>
    <w:rsid w:val="00336F62"/>
    <w:rsid w:val="00344B58"/>
    <w:rsid w:val="003622D8"/>
    <w:rsid w:val="0036564D"/>
    <w:rsid w:val="00373357"/>
    <w:rsid w:val="003851ED"/>
    <w:rsid w:val="00391F20"/>
    <w:rsid w:val="003D560C"/>
    <w:rsid w:val="003E11E7"/>
    <w:rsid w:val="00415055"/>
    <w:rsid w:val="004176D1"/>
    <w:rsid w:val="00441381"/>
    <w:rsid w:val="00442A3C"/>
    <w:rsid w:val="0049251D"/>
    <w:rsid w:val="004A386F"/>
    <w:rsid w:val="00542D75"/>
    <w:rsid w:val="00564828"/>
    <w:rsid w:val="005B2C0A"/>
    <w:rsid w:val="005B6264"/>
    <w:rsid w:val="00650457"/>
    <w:rsid w:val="0065708D"/>
    <w:rsid w:val="006A06C3"/>
    <w:rsid w:val="006B1A14"/>
    <w:rsid w:val="006F3946"/>
    <w:rsid w:val="00701618"/>
    <w:rsid w:val="0070425F"/>
    <w:rsid w:val="00726485"/>
    <w:rsid w:val="007461F0"/>
    <w:rsid w:val="007617C9"/>
    <w:rsid w:val="007F12BD"/>
    <w:rsid w:val="007F2C36"/>
    <w:rsid w:val="00804C93"/>
    <w:rsid w:val="00877FE1"/>
    <w:rsid w:val="008B2700"/>
    <w:rsid w:val="008B7134"/>
    <w:rsid w:val="008E1131"/>
    <w:rsid w:val="0091153D"/>
    <w:rsid w:val="009376BF"/>
    <w:rsid w:val="009C54EF"/>
    <w:rsid w:val="009C5CAD"/>
    <w:rsid w:val="009D3E12"/>
    <w:rsid w:val="00A124F1"/>
    <w:rsid w:val="00A30E91"/>
    <w:rsid w:val="00AA1399"/>
    <w:rsid w:val="00AE0356"/>
    <w:rsid w:val="00AE71E6"/>
    <w:rsid w:val="00B004B1"/>
    <w:rsid w:val="00B0122F"/>
    <w:rsid w:val="00B10292"/>
    <w:rsid w:val="00B459E1"/>
    <w:rsid w:val="00B51B28"/>
    <w:rsid w:val="00B92C39"/>
    <w:rsid w:val="00BA66D2"/>
    <w:rsid w:val="00BB640F"/>
    <w:rsid w:val="00BC1E56"/>
    <w:rsid w:val="00BF2447"/>
    <w:rsid w:val="00C2245F"/>
    <w:rsid w:val="00C433E4"/>
    <w:rsid w:val="00C81141"/>
    <w:rsid w:val="00C93B03"/>
    <w:rsid w:val="00CC7287"/>
    <w:rsid w:val="00D01D6A"/>
    <w:rsid w:val="00D0636F"/>
    <w:rsid w:val="00D31054"/>
    <w:rsid w:val="00E1478B"/>
    <w:rsid w:val="00E214A4"/>
    <w:rsid w:val="00E35125"/>
    <w:rsid w:val="00E56E7E"/>
    <w:rsid w:val="00E63423"/>
    <w:rsid w:val="00E83101"/>
    <w:rsid w:val="00EA02BD"/>
    <w:rsid w:val="00EC1D06"/>
    <w:rsid w:val="00ED3B61"/>
    <w:rsid w:val="00F2700B"/>
    <w:rsid w:val="00F46D79"/>
    <w:rsid w:val="00F872D4"/>
    <w:rsid w:val="00FA678E"/>
    <w:rsid w:val="00FB6E79"/>
    <w:rsid w:val="00FC2C60"/>
    <w:rsid w:val="00FD03AE"/>
    <w:rsid w:val="00FD66AF"/>
    <w:rsid w:val="00FF6E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CC49E3"/>
  <w15:docId w15:val="{32F455A7-5BF3-467E-8697-BD53BD27B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Calibri" w:eastAsia="Calibri" w:hAnsi="Calibri" w:cs="Calibri"/>
    </w:rPr>
  </w:style>
  <w:style w:type="paragraph" w:styleId="Nagwek1">
    <w:name w:val="heading 1"/>
    <w:basedOn w:val="Normalny"/>
    <w:uiPriority w:val="1"/>
    <w:qFormat/>
    <w:pPr>
      <w:ind w:right="1"/>
      <w:jc w:val="center"/>
      <w:outlineLvl w:val="0"/>
    </w:pPr>
    <w:rPr>
      <w:b/>
      <w:bCs/>
      <w:sz w:val="32"/>
      <w:szCs w:val="32"/>
    </w:rPr>
  </w:style>
  <w:style w:type="paragraph" w:styleId="Nagwek2">
    <w:name w:val="heading 2"/>
    <w:basedOn w:val="Normalny"/>
    <w:uiPriority w:val="1"/>
    <w:qFormat/>
    <w:pPr>
      <w:ind w:left="732"/>
      <w:outlineLvl w:val="1"/>
    </w:pPr>
    <w:rPr>
      <w:b/>
      <w:bCs/>
      <w:sz w:val="28"/>
      <w:szCs w:val="28"/>
    </w:rPr>
  </w:style>
  <w:style w:type="paragraph" w:styleId="Nagwek3">
    <w:name w:val="heading 3"/>
    <w:basedOn w:val="Normalny"/>
    <w:uiPriority w:val="1"/>
    <w:qFormat/>
    <w:pPr>
      <w:ind w:left="732"/>
      <w:outlineLvl w:val="2"/>
    </w:pPr>
    <w:rPr>
      <w:rFonts w:ascii="Arial" w:eastAsia="Arial" w:hAnsi="Arial" w:cs="Arial"/>
      <w:b/>
      <w:bCs/>
      <w:i/>
      <w:iCs/>
      <w:sz w:val="28"/>
      <w:szCs w:val="28"/>
    </w:rPr>
  </w:style>
  <w:style w:type="paragraph" w:styleId="Nagwek4">
    <w:name w:val="heading 4"/>
    <w:basedOn w:val="Normalny"/>
    <w:uiPriority w:val="1"/>
    <w:qFormat/>
    <w:pPr>
      <w:ind w:left="1024" w:hanging="292"/>
      <w:outlineLvl w:val="3"/>
    </w:pPr>
    <w:rPr>
      <w:b/>
      <w:bCs/>
      <w:sz w:val="24"/>
      <w:szCs w:val="24"/>
    </w:rPr>
  </w:style>
  <w:style w:type="paragraph" w:styleId="Nagwek5">
    <w:name w:val="heading 5"/>
    <w:basedOn w:val="Normalny"/>
    <w:uiPriority w:val="1"/>
    <w:qFormat/>
    <w:pPr>
      <w:ind w:left="981" w:hanging="274"/>
      <w:jc w:val="both"/>
      <w:outlineLvl w:val="4"/>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pPr>
      <w:spacing w:before="120"/>
      <w:ind w:left="1583"/>
    </w:pPr>
  </w:style>
  <w:style w:type="paragraph" w:styleId="Akapitzlist">
    <w:name w:val="List Paragraph"/>
    <w:basedOn w:val="Normalny"/>
    <w:uiPriority w:val="1"/>
    <w:qFormat/>
    <w:pPr>
      <w:spacing w:before="100"/>
      <w:ind w:left="1583" w:hanging="284"/>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65708D"/>
    <w:rPr>
      <w:color w:val="0000FF" w:themeColor="hyperlink"/>
      <w:u w:val="single"/>
    </w:rPr>
  </w:style>
  <w:style w:type="character" w:styleId="Nierozpoznanawzmianka">
    <w:name w:val="Unresolved Mention"/>
    <w:basedOn w:val="Domylnaczcionkaakapitu"/>
    <w:uiPriority w:val="99"/>
    <w:semiHidden/>
    <w:unhideWhenUsed/>
    <w:rsid w:val="0065708D"/>
    <w:rPr>
      <w:color w:val="605E5C"/>
      <w:shd w:val="clear" w:color="auto" w:fill="E1DFDD"/>
    </w:rPr>
  </w:style>
  <w:style w:type="character" w:customStyle="1" w:styleId="TekstpodstawowyZnak">
    <w:name w:val="Tekst podstawowy Znak"/>
    <w:basedOn w:val="Domylnaczcionkaakapitu"/>
    <w:link w:val="Tekstpodstawowy"/>
    <w:uiPriority w:val="1"/>
    <w:rsid w:val="005B6264"/>
    <w:rPr>
      <w:rFonts w:ascii="Calibri" w:eastAsia="Calibri" w:hAnsi="Calibri" w:cs="Calibri"/>
    </w:rPr>
  </w:style>
  <w:style w:type="paragraph" w:styleId="Nagwek">
    <w:name w:val="header"/>
    <w:basedOn w:val="Normalny"/>
    <w:link w:val="NagwekZnak"/>
    <w:uiPriority w:val="99"/>
    <w:unhideWhenUsed/>
    <w:rsid w:val="00E56E7E"/>
    <w:pPr>
      <w:tabs>
        <w:tab w:val="center" w:pos="4536"/>
        <w:tab w:val="right" w:pos="9072"/>
      </w:tabs>
    </w:pPr>
  </w:style>
  <w:style w:type="character" w:customStyle="1" w:styleId="NagwekZnak">
    <w:name w:val="Nagłówek Znak"/>
    <w:basedOn w:val="Domylnaczcionkaakapitu"/>
    <w:link w:val="Nagwek"/>
    <w:uiPriority w:val="99"/>
    <w:rsid w:val="00E56E7E"/>
    <w:rPr>
      <w:rFonts w:ascii="Calibri" w:eastAsia="Calibri" w:hAnsi="Calibri" w:cs="Calibri"/>
    </w:rPr>
  </w:style>
  <w:style w:type="paragraph" w:styleId="Stopka">
    <w:name w:val="footer"/>
    <w:basedOn w:val="Normalny"/>
    <w:link w:val="StopkaZnak"/>
    <w:uiPriority w:val="99"/>
    <w:unhideWhenUsed/>
    <w:rsid w:val="00E56E7E"/>
    <w:pPr>
      <w:tabs>
        <w:tab w:val="center" w:pos="4536"/>
        <w:tab w:val="right" w:pos="9072"/>
      </w:tabs>
    </w:pPr>
  </w:style>
  <w:style w:type="character" w:customStyle="1" w:styleId="StopkaZnak">
    <w:name w:val="Stopka Znak"/>
    <w:basedOn w:val="Domylnaczcionkaakapitu"/>
    <w:link w:val="Stopka"/>
    <w:uiPriority w:val="99"/>
    <w:rsid w:val="00E56E7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hudoc.echr.coe.int/eng?i=001-79790" TargetMode="External"/><Relationship Id="rId21" Type="http://schemas.openxmlformats.org/officeDocument/2006/relationships/header" Target="header1.xml"/><Relationship Id="rId42" Type="http://schemas.openxmlformats.org/officeDocument/2006/relationships/hyperlink" Target="https://hudoc.echr.coe.int/eng?i=001-183540" TargetMode="External"/><Relationship Id="rId47" Type="http://schemas.openxmlformats.org/officeDocument/2006/relationships/hyperlink" Target="https://hudoc.echr.coe.int/eng?i=001-183540" TargetMode="External"/><Relationship Id="rId63" Type="http://schemas.openxmlformats.org/officeDocument/2006/relationships/hyperlink" Target="https://hudoc.echr.coe.int/eng?i=001-204582" TargetMode="External"/><Relationship Id="rId68" Type="http://schemas.openxmlformats.org/officeDocument/2006/relationships/hyperlink" Target="https://hudoc.echr.coe.int/eng?i=001-58832" TargetMode="External"/><Relationship Id="rId84" Type="http://schemas.openxmlformats.org/officeDocument/2006/relationships/hyperlink" Target="https://hudoc.echr.coe.int/eng?i=001-170461" TargetMode="External"/><Relationship Id="rId89" Type="http://schemas.openxmlformats.org/officeDocument/2006/relationships/hyperlink" Target="http://hudoc.echr.coe.int/eng?i=001-206721" TargetMode="External"/><Relationship Id="rId16" Type="http://schemas.openxmlformats.org/officeDocument/2006/relationships/hyperlink" Target="https://hudoc.echr.coe.int/eng" TargetMode="External"/><Relationship Id="rId11" Type="http://schemas.openxmlformats.org/officeDocument/2006/relationships/image" Target="media/image2.jpeg"/><Relationship Id="rId32" Type="http://schemas.openxmlformats.org/officeDocument/2006/relationships/hyperlink" Target="https://hudoc.echr.coe.int/eng?i=001-91413" TargetMode="External"/><Relationship Id="rId37" Type="http://schemas.openxmlformats.org/officeDocument/2006/relationships/hyperlink" Target="http://hudoc.echr.coe.int/eng?i=001-206721" TargetMode="External"/><Relationship Id="rId53" Type="http://schemas.openxmlformats.org/officeDocument/2006/relationships/hyperlink" Target="https://hudoc.echr.coe.int/eng?i=001-210016" TargetMode="External"/><Relationship Id="rId58" Type="http://schemas.openxmlformats.org/officeDocument/2006/relationships/hyperlink" Target="https://hudoc.echr.coe.int/eng?i=001-208947" TargetMode="External"/><Relationship Id="rId74" Type="http://schemas.openxmlformats.org/officeDocument/2006/relationships/hyperlink" Target="https://hudoc.echr.coe.int/eng?i=001-107713" TargetMode="External"/><Relationship Id="rId79" Type="http://schemas.openxmlformats.org/officeDocument/2006/relationships/hyperlink" Target="https://hudoc.echr.coe.int/eng?i=001-150675" TargetMode="External"/><Relationship Id="rId102" Type="http://schemas.openxmlformats.org/officeDocument/2006/relationships/fontTable" Target="fontTable.xml"/><Relationship Id="rId5" Type="http://schemas.openxmlformats.org/officeDocument/2006/relationships/footnotes" Target="footnotes.xml"/><Relationship Id="rId90" Type="http://schemas.openxmlformats.org/officeDocument/2006/relationships/hyperlink" Target="https://hudoc.echr.coe.int/eng?i=001-206194" TargetMode="External"/><Relationship Id="rId95" Type="http://schemas.openxmlformats.org/officeDocument/2006/relationships/hyperlink" Target="https://hudoc.echr.coe.int/eng?i=001-208947" TargetMode="External"/><Relationship Id="rId22" Type="http://schemas.openxmlformats.org/officeDocument/2006/relationships/footer" Target="footer1.xml"/><Relationship Id="rId27" Type="http://schemas.openxmlformats.org/officeDocument/2006/relationships/hyperlink" Target="https://hudoc.echr.coe.int/eng?i=001-183540" TargetMode="External"/><Relationship Id="rId43" Type="http://schemas.openxmlformats.org/officeDocument/2006/relationships/hyperlink" Target="http://hudoc.echr.coe.int/eng?i=001-206721" TargetMode="External"/><Relationship Id="rId48" Type="http://schemas.openxmlformats.org/officeDocument/2006/relationships/hyperlink" Target="https://hudoc.echr.coe.int/eng?i=001-107713" TargetMode="External"/><Relationship Id="rId64" Type="http://schemas.openxmlformats.org/officeDocument/2006/relationships/hyperlink" Target="http://hudoc.echr.coe.int/eng?i=001-206721" TargetMode="External"/><Relationship Id="rId69" Type="http://schemas.openxmlformats.org/officeDocument/2006/relationships/hyperlink" Target="https://hudoc.echr.coe.int/eng?i=001-60726" TargetMode="External"/><Relationship Id="rId80" Type="http://schemas.openxmlformats.org/officeDocument/2006/relationships/hyperlink" Target="https://hudoc.echr.coe.int/eng?i=001-163347" TargetMode="External"/><Relationship Id="rId85" Type="http://schemas.openxmlformats.org/officeDocument/2006/relationships/hyperlink" Target="https://hudoc.echr.coe.int/eng?i=001-182445" TargetMode="External"/><Relationship Id="rId12" Type="http://schemas.openxmlformats.org/officeDocument/2006/relationships/hyperlink" Target="https://hudoc.echr.coe.int/eng?i=001-94009" TargetMode="External"/><Relationship Id="rId17" Type="http://schemas.openxmlformats.org/officeDocument/2006/relationships/hyperlink" Target="https://hudoc.echr.coe.int/eng?i=001-163347" TargetMode="External"/><Relationship Id="rId25" Type="http://schemas.openxmlformats.org/officeDocument/2006/relationships/hyperlink" Target="https://hudoc.echr.coe.int/eng?i=001-170461" TargetMode="External"/><Relationship Id="rId33" Type="http://schemas.openxmlformats.org/officeDocument/2006/relationships/hyperlink" Target="https://hudoc.echr.coe.int/eng?i=001-114277" TargetMode="External"/><Relationship Id="rId38" Type="http://schemas.openxmlformats.org/officeDocument/2006/relationships/hyperlink" Target="https://hudoc.echr.coe.int/eng?i=001-107713" TargetMode="External"/><Relationship Id="rId46" Type="http://schemas.openxmlformats.org/officeDocument/2006/relationships/hyperlink" Target="https://hudoc.echr.coe.int/eng?i=001-170461" TargetMode="External"/><Relationship Id="rId59" Type="http://schemas.openxmlformats.org/officeDocument/2006/relationships/hyperlink" Target="https://hudoc.echr.coe.int/eng?i=001-208935" TargetMode="External"/><Relationship Id="rId67" Type="http://schemas.openxmlformats.org/officeDocument/2006/relationships/hyperlink" Target="http://hudoc.echr.coe.int/eng?i=001-206721" TargetMode="External"/><Relationship Id="rId103" Type="http://schemas.openxmlformats.org/officeDocument/2006/relationships/theme" Target="theme/theme1.xml"/><Relationship Id="rId20" Type="http://schemas.openxmlformats.org/officeDocument/2006/relationships/hyperlink" Target="https://hudoc.echr.coe.int/eng?i=001-208947" TargetMode="External"/><Relationship Id="rId41" Type="http://schemas.openxmlformats.org/officeDocument/2006/relationships/hyperlink" Target="https://hudoc.echr.coe.int/eng?i=001-210016" TargetMode="External"/><Relationship Id="rId54" Type="http://schemas.openxmlformats.org/officeDocument/2006/relationships/hyperlink" Target="https://hudoc.echr.coe.int/eng?i=001-128040" TargetMode="External"/><Relationship Id="rId62" Type="http://schemas.openxmlformats.org/officeDocument/2006/relationships/hyperlink" Target="https://hudoc.echr.coe.int/eng?i=001-208073" TargetMode="External"/><Relationship Id="rId70" Type="http://schemas.openxmlformats.org/officeDocument/2006/relationships/hyperlink" Target="https://hudoc.echr.coe.int/eng?i=001-72925" TargetMode="External"/><Relationship Id="rId75" Type="http://schemas.openxmlformats.org/officeDocument/2006/relationships/hyperlink" Target="https://hudoc.echr.coe.int/eng?i=001-110023" TargetMode="External"/><Relationship Id="rId83" Type="http://schemas.openxmlformats.org/officeDocument/2006/relationships/hyperlink" Target="https://hudoc.echr.coe.int/eng?i=001-168704" TargetMode="External"/><Relationship Id="rId88" Type="http://schemas.openxmlformats.org/officeDocument/2006/relationships/hyperlink" Target="https://hudoc.echr.coe.int/eng?i=001-204582" TargetMode="External"/><Relationship Id="rId91" Type="http://schemas.openxmlformats.org/officeDocument/2006/relationships/hyperlink" Target="https://hudoc.echr.coe.int/eng?i=001-206404" TargetMode="External"/><Relationship Id="rId96" Type="http://schemas.openxmlformats.org/officeDocument/2006/relationships/hyperlink" Target="https://hudoc.echr.coe.int/eng?i=001-210016"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hudoc.echr.coe.int/eng?i=001-170461" TargetMode="External"/><Relationship Id="rId23" Type="http://schemas.openxmlformats.org/officeDocument/2006/relationships/hyperlink" Target="https://hudoc.echr.coe.int/eng?i=001-183540" TargetMode="External"/><Relationship Id="rId28" Type="http://schemas.openxmlformats.org/officeDocument/2006/relationships/hyperlink" Target="https://hudoc.echr.coe.int/eng?i=001-183540" TargetMode="External"/><Relationship Id="rId36" Type="http://schemas.openxmlformats.org/officeDocument/2006/relationships/hyperlink" Target="https://hudoc.echr.coe.int/eng" TargetMode="External"/><Relationship Id="rId49" Type="http://schemas.openxmlformats.org/officeDocument/2006/relationships/hyperlink" Target="https://hudoc.echr.coe.int/eng?i=001-119688" TargetMode="External"/><Relationship Id="rId57" Type="http://schemas.openxmlformats.org/officeDocument/2006/relationships/hyperlink" Target="https://hudoc.echr.coe.int/eng?i=001-206404" TargetMode="External"/><Relationship Id="rId10" Type="http://schemas.openxmlformats.org/officeDocument/2006/relationships/hyperlink" Target="https://hudoc.echr.coe.int/eng?i=001-107713" TargetMode="External"/><Relationship Id="rId31" Type="http://schemas.openxmlformats.org/officeDocument/2006/relationships/hyperlink" Target="https://hudoc.echr.coe.int/eng?i=001-72925" TargetMode="External"/><Relationship Id="rId44" Type="http://schemas.openxmlformats.org/officeDocument/2006/relationships/hyperlink" Target="http://hudoc.echr.coe.int/eng?i=001-206721" TargetMode="External"/><Relationship Id="rId52" Type="http://schemas.openxmlformats.org/officeDocument/2006/relationships/hyperlink" Target="https://hudoc.echr.coe.int/eng?i=001-168700" TargetMode="External"/><Relationship Id="rId60" Type="http://schemas.openxmlformats.org/officeDocument/2006/relationships/hyperlink" Target="https://hudoc.echr.coe.int/eng?i=001-208591" TargetMode="External"/><Relationship Id="rId65" Type="http://schemas.openxmlformats.org/officeDocument/2006/relationships/hyperlink" Target="https://hudoc.echr.coe.int/eng?i=001-220709" TargetMode="External"/><Relationship Id="rId73" Type="http://schemas.openxmlformats.org/officeDocument/2006/relationships/hyperlink" Target="https://hudoc.echr.coe.int/eng?i=001-94009" TargetMode="External"/><Relationship Id="rId78" Type="http://schemas.openxmlformats.org/officeDocument/2006/relationships/hyperlink" Target="https://hudoc.echr.coe.int/eng?i=001-128040" TargetMode="External"/><Relationship Id="rId81" Type="http://schemas.openxmlformats.org/officeDocument/2006/relationships/hyperlink" Target="https://hudoc.echr.coe.int/eng?i=001-168700" TargetMode="External"/><Relationship Id="rId86" Type="http://schemas.openxmlformats.org/officeDocument/2006/relationships/hyperlink" Target="https://hudoc.echr.coe.int/eng?i=001-183540" TargetMode="External"/><Relationship Id="rId94" Type="http://schemas.openxmlformats.org/officeDocument/2006/relationships/hyperlink" Target="https://hudoc.echr.coe.int/eng?i=001-208935" TargetMode="External"/><Relationship Id="rId99" Type="http://schemas.openxmlformats.org/officeDocument/2006/relationships/hyperlink" Target="https://hudoc.echr.coe.int/eng?i=001-223021" TargetMode="External"/><Relationship Id="rId101" Type="http://schemas.openxmlformats.org/officeDocument/2006/relationships/hyperlink" Target="http://hudoc.echr.coe.int/eng?i=001-238800" TargetMode="External"/><Relationship Id="rId4" Type="http://schemas.openxmlformats.org/officeDocument/2006/relationships/webSettings" Target="webSettings.xml"/><Relationship Id="rId9" Type="http://schemas.openxmlformats.org/officeDocument/2006/relationships/hyperlink" Target="https://hudoc.echr.coe.int/eng?i=001-79790" TargetMode="External"/><Relationship Id="rId13" Type="http://schemas.openxmlformats.org/officeDocument/2006/relationships/hyperlink" Target="https://hudoc.echr.coe.int/eng?i=001-208073" TargetMode="External"/><Relationship Id="rId18" Type="http://schemas.openxmlformats.org/officeDocument/2006/relationships/hyperlink" Target="https://hudoc.echr.coe.int/eng?i=001-204582" TargetMode="External"/><Relationship Id="rId39" Type="http://schemas.openxmlformats.org/officeDocument/2006/relationships/hyperlink" Target="http://hudoc.echr.coe.int/eng?i=001-168701" TargetMode="External"/><Relationship Id="rId34" Type="http://schemas.openxmlformats.org/officeDocument/2006/relationships/hyperlink" Target="https://hudoc.echr.coe.int/eng?i=001-163347" TargetMode="External"/><Relationship Id="rId50" Type="http://schemas.openxmlformats.org/officeDocument/2006/relationships/hyperlink" Target="http://hudoc.echr.coe.int/eng?i=001-168701" TargetMode="External"/><Relationship Id="rId55" Type="http://schemas.openxmlformats.org/officeDocument/2006/relationships/hyperlink" Target="https://hudoc.echr.coe.int/eng?i=001-163347" TargetMode="External"/><Relationship Id="rId76" Type="http://schemas.openxmlformats.org/officeDocument/2006/relationships/hyperlink" Target="https://hudoc.echr.coe.int/eng?i=001-114277" TargetMode="External"/><Relationship Id="rId97" Type="http://schemas.openxmlformats.org/officeDocument/2006/relationships/hyperlink" Target="https://hudoc.echr.coe.int/eng?i=001-216482" TargetMode="External"/><Relationship Id="rId7" Type="http://schemas.openxmlformats.org/officeDocument/2006/relationships/image" Target="media/image1.jpeg"/><Relationship Id="rId71" Type="http://schemas.openxmlformats.org/officeDocument/2006/relationships/hyperlink" Target="https://hudoc.echr.coe.int/eng?i=001-79790" TargetMode="External"/><Relationship Id="rId92" Type="http://schemas.openxmlformats.org/officeDocument/2006/relationships/hyperlink" Target="https://hudoc.echr.coe.int/eng?i=001-208073" TargetMode="External"/><Relationship Id="rId2" Type="http://schemas.openxmlformats.org/officeDocument/2006/relationships/styles" Target="styles.xml"/><Relationship Id="rId29" Type="http://schemas.openxmlformats.org/officeDocument/2006/relationships/hyperlink" Target="https://hudoc.echr.coe.int/eng?i=001-223021" TargetMode="External"/><Relationship Id="rId24" Type="http://schemas.openxmlformats.org/officeDocument/2006/relationships/hyperlink" Target="https://hudoc.echr.coe.int/eng?i=001-107713" TargetMode="External"/><Relationship Id="rId40" Type="http://schemas.openxmlformats.org/officeDocument/2006/relationships/hyperlink" Target="http://hudoc.echr.coe.int/eng?i=001-168701" TargetMode="External"/><Relationship Id="rId45" Type="http://schemas.openxmlformats.org/officeDocument/2006/relationships/hyperlink" Target="https://hudoc.echr.coe.int/eng?i=001-79790" TargetMode="External"/><Relationship Id="rId66" Type="http://schemas.openxmlformats.org/officeDocument/2006/relationships/hyperlink" Target="https://hudoc.echr.coe.int/eng?i=001-183540" TargetMode="External"/><Relationship Id="rId87" Type="http://schemas.openxmlformats.org/officeDocument/2006/relationships/hyperlink" Target="https://hudoc.echr.coe.int/eng?i=001-198885" TargetMode="External"/><Relationship Id="rId61" Type="http://schemas.openxmlformats.org/officeDocument/2006/relationships/hyperlink" Target="https://hudoc.echr.coe.int/eng?i=001-94009" TargetMode="External"/><Relationship Id="rId82" Type="http://schemas.openxmlformats.org/officeDocument/2006/relationships/hyperlink" Target="http://hudoc.echr.coe.int/eng?i=001-168701" TargetMode="External"/><Relationship Id="rId19" Type="http://schemas.openxmlformats.org/officeDocument/2006/relationships/hyperlink" Target="https://hudoc.echr.coe.int/eng?i=001-183540" TargetMode="External"/><Relationship Id="rId14" Type="http://schemas.openxmlformats.org/officeDocument/2006/relationships/hyperlink" Target="https://hudoc.echr.coe.int/eng?i=001-163347" TargetMode="External"/><Relationship Id="rId30" Type="http://schemas.openxmlformats.org/officeDocument/2006/relationships/hyperlink" Target="http://hudoc.echr.coe.int/eng?i=001-238800" TargetMode="External"/><Relationship Id="rId35" Type="http://schemas.openxmlformats.org/officeDocument/2006/relationships/hyperlink" Target="https://hudoc.echr.coe.int/eng?i=001-60726" TargetMode="External"/><Relationship Id="rId56" Type="http://schemas.openxmlformats.org/officeDocument/2006/relationships/hyperlink" Target="https://hudoc.echr.coe.int/eng?i=001-206194" TargetMode="External"/><Relationship Id="rId77" Type="http://schemas.openxmlformats.org/officeDocument/2006/relationships/hyperlink" Target="https://hudoc.echr.coe.int/eng?i=001-119688" TargetMode="External"/><Relationship Id="rId100" Type="http://schemas.openxmlformats.org/officeDocument/2006/relationships/hyperlink" Target="https://hudoc.echr.coe.int/eng?i=001-224474" TargetMode="External"/><Relationship Id="rId8" Type="http://schemas.openxmlformats.org/officeDocument/2006/relationships/hyperlink" Target="https://hudoc.echr.coe.int/eng?i=001-79790" TargetMode="External"/><Relationship Id="rId51" Type="http://schemas.openxmlformats.org/officeDocument/2006/relationships/hyperlink" Target="https://hudoc.echr.coe.int/eng?i=001-168704" TargetMode="External"/><Relationship Id="rId72" Type="http://schemas.openxmlformats.org/officeDocument/2006/relationships/hyperlink" Target="https://hudoc.echr.coe.int/eng?i=001-91413" TargetMode="External"/><Relationship Id="rId93" Type="http://schemas.openxmlformats.org/officeDocument/2006/relationships/hyperlink" Target="https://hudoc.echr.coe.int/eng?i=001-208591" TargetMode="External"/><Relationship Id="rId98" Type="http://schemas.openxmlformats.org/officeDocument/2006/relationships/hyperlink" Target="https://hudoc.echr.coe.int/eng?i=001-220709"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608</TotalTime>
  <Pages>1</Pages>
  <Words>5950</Words>
  <Characters>35703</Characters>
  <Application>Microsoft Office Word</Application>
  <DocSecurity>0</DocSecurity>
  <Lines>297</Lines>
  <Paragraphs>83</Paragraphs>
  <ScaleCrop>false</ScaleCrop>
  <HeadingPairs>
    <vt:vector size="2" baseType="variant">
      <vt:variant>
        <vt:lpstr>Tytuł</vt:lpstr>
      </vt:variant>
      <vt:variant>
        <vt:i4>1</vt:i4>
      </vt:variant>
    </vt:vector>
  </HeadingPairs>
  <TitlesOfParts>
    <vt:vector size="1" baseType="lpstr">
      <vt:lpstr>Bona fide / Good faith purchasers of property</vt:lpstr>
    </vt:vector>
  </TitlesOfParts>
  <Company/>
  <LinksUpToDate>false</LinksUpToDate>
  <CharactersWithSpaces>41570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Bona fide / Good faith purchasers of property</dc:title>
  <dc:subject>Bona fide / Good faith purchasers of property</dc:subject>
  <dc:creator>ECHR - CEDH</dc:creator>
  <cp:keywords>Bona fide / Good faith purchasers of property, docId:58B2C3391D385FEB973F5D7BFDB8DF45</cp:keywords>
  <cp:lastModifiedBy>Szponar Paweł  (DWMPC)</cp:lastModifiedBy>
  <cp:revision>11</cp:revision>
  <dcterms:created xsi:type="dcterms:W3CDTF">2025-06-06T09:44:00Z</dcterms:created>
  <dcterms:modified xsi:type="dcterms:W3CDTF">2025-07-02T09:38:00Z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2025-04-16T00:00:00Z</vt:filetime>
  </property>
  <property fmtid="{D5CDD505-2E9C-101B-9397-08002B2CF9AE}" pid="3" name="Creator">
    <vt:lpwstr>Microsoft Office Word</vt:lpwstr>
  </property>
  <property fmtid="{D5CDD505-2E9C-101B-9397-08002B2CF9AE}" pid="4" name="LastSaved">
    <vt:filetime>2025-06-06T00:00:00Z</vt:filetime>
  </property>
  <property fmtid="{D5CDD505-2E9C-101B-9397-08002B2CF9AE}" pid="5" name="Producer">
    <vt:lpwstr>Aspose.Words for .NET 24.4.0</vt:lpwstr>
  </property>
</Properties>
</file>