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4D84968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7CD7D2E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E506F">
        <w:rPr>
          <w:rFonts w:ascii="Arial" w:hAnsi="Arial" w:cs="Arial"/>
          <w:b/>
          <w:bCs/>
          <w:sz w:val="24"/>
          <w:szCs w:val="24"/>
        </w:rPr>
        <w:t>308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E506F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466C9EB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4E50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E506F">
        <w:rPr>
          <w:rFonts w:ascii="Arial" w:hAnsi="Arial" w:cs="Arial"/>
          <w:color w:val="000000"/>
          <w:sz w:val="24"/>
          <w:szCs w:val="24"/>
          <w:lang w:eastAsia="pl-PL"/>
        </w:rPr>
        <w:t>161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E506F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72389A08" w:rsidR="00EA59D3" w:rsidRDefault="00EA59D3" w:rsidP="00EA59D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4E506F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2022</w:t>
      </w:r>
    </w:p>
    <w:p w14:paraId="2FA0C991" w14:textId="77777777" w:rsidR="00F43BA4" w:rsidRDefault="00F43BA4" w:rsidP="00F43BA4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F93C2A6" w14:textId="77777777" w:rsidR="002C73BA" w:rsidRDefault="002C73BA" w:rsidP="002C73BA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Paweł Lisiecki,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Robert Kropiwnicki, Adam Zieliński</w:t>
      </w:r>
    </w:p>
    <w:p w14:paraId="077F65FF" w14:textId="77777777" w:rsidR="003C20B7" w:rsidRDefault="003C20B7" w:rsidP="003C20B7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7837BFB8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2736EF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0E405B9" w14:textId="77777777" w:rsidR="002C73BA" w:rsidRDefault="002C73BA" w:rsidP="002C73BA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art. 24a ust. 4 w zw</w:t>
      </w:r>
      <w:r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23 ust. 1 </w:t>
      </w:r>
      <w:r w:rsidRPr="00E3264C">
        <w:rPr>
          <w:rFonts w:ascii="Arial" w:eastAsia="Calibri" w:hAnsi="Arial" w:cs="Arial"/>
          <w:i/>
          <w:iCs/>
          <w:sz w:val="24"/>
          <w:szCs w:val="24"/>
          <w:lang w:eastAsia="en-US"/>
        </w:rPr>
        <w:t>a contrario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 oraz w zw</w:t>
      </w:r>
      <w:r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w zw</w:t>
      </w:r>
      <w:r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123 </w:t>
      </w:r>
      <w:r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1 ustawy z dnia 14 czerwca 1960 r. - Kodeks postępowania administracyjnego (Dz. U. z 202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r. poz.</w:t>
      </w:r>
      <w:r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4C48AB6A" w14:textId="77777777" w:rsidR="00936788" w:rsidRPr="00936788" w:rsidRDefault="00936788" w:rsidP="00936788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36788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36788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ADD4C9E" w14:textId="1AAAA584" w:rsidR="00124D02" w:rsidRPr="00936788" w:rsidRDefault="00936788" w:rsidP="00936788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stwierdzić brak podstaw do uchylenia zabezpieczenia orzeczonego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 reprywatyzacji nieruchomości warszawskich z dnia 17 września 2018 r., sygn. akt KR VII KW 308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Pr="00936788">
        <w:rPr>
          <w:rFonts w:ascii="Arial" w:hAnsi="Arial" w:cs="Arial"/>
          <w:sz w:val="24"/>
          <w:szCs w:val="24"/>
        </w:rPr>
        <w:t>18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Hożej 7</w:t>
      </w:r>
      <w:r w:rsidRPr="00936788">
        <w:rPr>
          <w:rFonts w:ascii="Arial" w:hAnsi="Arial" w:cs="Arial"/>
          <w:sz w:val="24"/>
          <w:szCs w:val="24"/>
        </w:rPr>
        <w:t>, opisanej w ewidencji gruntów jako działki ewid</w:t>
      </w:r>
      <w:r w:rsidR="002C73BA">
        <w:rPr>
          <w:rFonts w:ascii="Arial" w:hAnsi="Arial" w:cs="Arial"/>
          <w:sz w:val="24"/>
          <w:szCs w:val="24"/>
        </w:rPr>
        <w:t>encyjna</w:t>
      </w:r>
      <w:r w:rsidRPr="00936788">
        <w:rPr>
          <w:rFonts w:ascii="Arial" w:hAnsi="Arial" w:cs="Arial"/>
          <w:sz w:val="24"/>
          <w:szCs w:val="24"/>
        </w:rPr>
        <w:t xml:space="preserve"> nr, dla których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7F55A0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C73B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25</cp:revision>
  <cp:lastPrinted>2019-01-30T15:24:00Z</cp:lastPrinted>
  <dcterms:created xsi:type="dcterms:W3CDTF">2021-11-19T09:23:00Z</dcterms:created>
  <dcterms:modified xsi:type="dcterms:W3CDTF">2022-08-11T07:06:00Z</dcterms:modified>
</cp:coreProperties>
</file>