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6B79" w14:textId="7F67A835" w:rsidR="00EA1C37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 xml:space="preserve">Załącznik nr </w:t>
      </w:r>
      <w:r w:rsidR="00FB22CA">
        <w:rPr>
          <w:rFonts w:ascii="Times New Roman" w:hAnsi="Times New Roman" w:cs="Times New Roman"/>
          <w:b/>
          <w:bCs/>
        </w:rPr>
        <w:t>2</w:t>
      </w:r>
    </w:p>
    <w:p w14:paraId="078E619B" w14:textId="1E3290B4" w:rsidR="002C1E70" w:rsidRPr="00127B48" w:rsidRDefault="002C1E70" w:rsidP="00127B48">
      <w:pPr>
        <w:pStyle w:val="Default"/>
        <w:ind w:left="6379"/>
        <w:rPr>
          <w:rFonts w:ascii="Times New Roman" w:hAnsi="Times New Roman" w:cs="Times New Roman"/>
          <w:b/>
          <w:bCs/>
        </w:rPr>
      </w:pPr>
      <w:r w:rsidRPr="00127B48">
        <w:rPr>
          <w:rFonts w:ascii="Times New Roman" w:hAnsi="Times New Roman" w:cs="Times New Roman"/>
          <w:b/>
          <w:bCs/>
        </w:rPr>
        <w:t>do umowy</w:t>
      </w:r>
    </w:p>
    <w:p w14:paraId="32525A53" w14:textId="1163BBFF" w:rsidR="002C1E70" w:rsidRPr="002C1E70" w:rsidRDefault="002C1E70" w:rsidP="00127B48">
      <w:pPr>
        <w:pStyle w:val="Default"/>
        <w:ind w:left="6379"/>
        <w:rPr>
          <w:b/>
          <w:bCs/>
          <w:sz w:val="23"/>
          <w:szCs w:val="23"/>
        </w:rPr>
      </w:pPr>
      <w:r w:rsidRPr="00127B48">
        <w:rPr>
          <w:rFonts w:ascii="Times New Roman" w:hAnsi="Times New Roman" w:cs="Times New Roman"/>
          <w:b/>
          <w:bCs/>
        </w:rPr>
        <w:t>nr</w:t>
      </w:r>
      <w:r w:rsidR="003B6777">
        <w:rPr>
          <w:rFonts w:ascii="Times New Roman" w:hAnsi="Times New Roman" w:cs="Times New Roman"/>
          <w:b/>
          <w:bCs/>
        </w:rPr>
        <w:t xml:space="preserve"> </w:t>
      </w:r>
      <w:r w:rsidR="00FB22CA">
        <w:rPr>
          <w:rFonts w:ascii="Times New Roman" w:hAnsi="Times New Roman" w:cs="Times New Roman"/>
          <w:b/>
          <w:bCs/>
        </w:rPr>
        <w:t>BB-II.221.23.2024</w:t>
      </w:r>
    </w:p>
    <w:p w14:paraId="315C60D5" w14:textId="0795C758" w:rsidR="00EA1C37" w:rsidRDefault="00EA1C37" w:rsidP="00EA1C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127B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A1C37">
        <w:rPr>
          <w:rFonts w:ascii="Times New Roman" w:hAnsi="Times New Roman" w:cs="Times New Roman"/>
          <w:b/>
          <w:bCs/>
          <w:sz w:val="24"/>
          <w:szCs w:val="24"/>
        </w:rPr>
        <w:t xml:space="preserve">rzedmiotu </w:t>
      </w:r>
      <w:r w:rsidR="004C4997">
        <w:rPr>
          <w:rFonts w:ascii="Times New Roman" w:hAnsi="Times New Roman" w:cs="Times New Roman"/>
          <w:b/>
          <w:bCs/>
          <w:sz w:val="24"/>
          <w:szCs w:val="24"/>
        </w:rPr>
        <w:t>umowy</w:t>
      </w:r>
    </w:p>
    <w:p w14:paraId="1BB9B6DC" w14:textId="77777777" w:rsidR="00613263" w:rsidRDefault="00613263" w:rsidP="0061326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3B9B" w14:textId="25B0FF1C" w:rsidR="00613263" w:rsidRPr="00B77195" w:rsidRDefault="00EB716C" w:rsidP="00B7719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95">
        <w:rPr>
          <w:rFonts w:ascii="Times New Roman" w:hAnsi="Times New Roman" w:cs="Times New Roman"/>
          <w:sz w:val="24"/>
          <w:szCs w:val="24"/>
        </w:rPr>
        <w:t>Rozbudowa</w:t>
      </w:r>
      <w:r w:rsidR="00613263" w:rsidRPr="00B77195">
        <w:rPr>
          <w:rFonts w:ascii="Times New Roman" w:hAnsi="Times New Roman" w:cs="Times New Roman"/>
          <w:sz w:val="24"/>
          <w:szCs w:val="24"/>
        </w:rPr>
        <w:t xml:space="preserve"> </w:t>
      </w:r>
      <w:r w:rsidR="00ED3D18" w:rsidRPr="00B77195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613263" w:rsidRPr="00B77195">
        <w:rPr>
          <w:rFonts w:ascii="Times New Roman" w:hAnsi="Times New Roman" w:cs="Times New Roman"/>
          <w:sz w:val="24"/>
          <w:szCs w:val="24"/>
        </w:rPr>
        <w:t>Systemu Kontroli Dostępu</w:t>
      </w:r>
      <w:r w:rsidR="00417BCA" w:rsidRPr="00B77195">
        <w:rPr>
          <w:rFonts w:ascii="Times New Roman" w:hAnsi="Times New Roman" w:cs="Times New Roman"/>
          <w:sz w:val="24"/>
          <w:szCs w:val="24"/>
        </w:rPr>
        <w:t xml:space="preserve"> </w:t>
      </w:r>
      <w:r w:rsidR="00B77195">
        <w:rPr>
          <w:rFonts w:ascii="Times New Roman" w:hAnsi="Times New Roman" w:cs="Times New Roman"/>
          <w:sz w:val="24"/>
          <w:szCs w:val="24"/>
        </w:rPr>
        <w:t xml:space="preserve">(SKD) </w:t>
      </w:r>
      <w:r w:rsidR="00B77195" w:rsidRPr="00B77195">
        <w:rPr>
          <w:rFonts w:ascii="Times New Roman" w:hAnsi="Times New Roman" w:cs="Times New Roman"/>
          <w:sz w:val="24"/>
          <w:szCs w:val="24"/>
        </w:rPr>
        <w:t xml:space="preserve">w pomieszczeniach usytuowanych na trzeciej kondygnacji w budynku Ministerstwa Sprawiedliwości przy </w:t>
      </w:r>
      <w:r w:rsidR="00B77195">
        <w:rPr>
          <w:rFonts w:ascii="Times New Roman" w:hAnsi="Times New Roman" w:cs="Times New Roman"/>
          <w:sz w:val="24"/>
          <w:szCs w:val="24"/>
        </w:rPr>
        <w:br/>
      </w:r>
      <w:r w:rsidR="00B77195" w:rsidRPr="00B77195">
        <w:rPr>
          <w:rFonts w:ascii="Times New Roman" w:hAnsi="Times New Roman" w:cs="Times New Roman"/>
          <w:sz w:val="24"/>
          <w:szCs w:val="24"/>
        </w:rPr>
        <w:t>Al. Ujazdowskich 11 w Warszawie</w:t>
      </w:r>
      <w:r w:rsidR="00613263" w:rsidRPr="00B77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FEB84" w14:textId="01D97630" w:rsidR="00EA1C37" w:rsidRPr="00BC4012" w:rsidRDefault="00EA1C37" w:rsidP="00BC40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477"/>
        <w:gridCol w:w="1984"/>
        <w:gridCol w:w="1559"/>
      </w:tblGrid>
      <w:tr w:rsidR="00417BCA" w:rsidRPr="00B77195" w14:paraId="78970D57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1BC1A8F0" w14:textId="4EAF9B0D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L.p</w:t>
            </w:r>
            <w:r w:rsidR="00DD45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77" w:type="dxa"/>
            <w:noWrap/>
            <w:hideMark/>
          </w:tcPr>
          <w:p w14:paraId="6F7AD1E8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984" w:type="dxa"/>
            <w:noWrap/>
            <w:hideMark/>
          </w:tcPr>
          <w:p w14:paraId="55D39F80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559" w:type="dxa"/>
            <w:noWrap/>
            <w:hideMark/>
          </w:tcPr>
          <w:p w14:paraId="329AD2D5" w14:textId="24D48C33" w:rsidR="00417BCA" w:rsidRPr="00B77195" w:rsidRDefault="00FB22CA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</w:tr>
      <w:tr w:rsidR="00417BCA" w:rsidRPr="00B77195" w14:paraId="71C1F363" w14:textId="77777777" w:rsidTr="00DC00AB">
        <w:trPr>
          <w:trHeight w:val="765"/>
        </w:trPr>
        <w:tc>
          <w:tcPr>
            <w:tcW w:w="516" w:type="dxa"/>
            <w:noWrap/>
            <w:hideMark/>
          </w:tcPr>
          <w:p w14:paraId="55E7CC3F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7" w:type="dxa"/>
            <w:hideMark/>
          </w:tcPr>
          <w:p w14:paraId="389380A7" w14:textId="38847C72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Rozszerzenie licencji oprogramowania Standard KDSystem 2000/o10</w:t>
            </w:r>
          </w:p>
        </w:tc>
        <w:tc>
          <w:tcPr>
            <w:tcW w:w="1984" w:type="dxa"/>
            <w:hideMark/>
          </w:tcPr>
          <w:p w14:paraId="0DBB5280" w14:textId="2152B665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Standard KDSystem 2000/o10</w:t>
            </w:r>
          </w:p>
        </w:tc>
        <w:tc>
          <w:tcPr>
            <w:tcW w:w="1559" w:type="dxa"/>
            <w:noWrap/>
            <w:hideMark/>
          </w:tcPr>
          <w:p w14:paraId="6658A515" w14:textId="0EB12251" w:rsidR="00417BCA" w:rsidRPr="00B77195" w:rsidRDefault="00E71661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 10 kontrolerów</w:t>
            </w:r>
          </w:p>
        </w:tc>
      </w:tr>
      <w:tr w:rsidR="00417BCA" w:rsidRPr="00B77195" w14:paraId="0EF035A8" w14:textId="77777777" w:rsidTr="00DC00AB">
        <w:trPr>
          <w:trHeight w:val="765"/>
        </w:trPr>
        <w:tc>
          <w:tcPr>
            <w:tcW w:w="516" w:type="dxa"/>
            <w:noWrap/>
            <w:hideMark/>
          </w:tcPr>
          <w:p w14:paraId="38A31839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7" w:type="dxa"/>
            <w:hideMark/>
          </w:tcPr>
          <w:p w14:paraId="63E514E7" w14:textId="20E5F731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 xml:space="preserve">Rozszerzenie licencji oprogramowanie RCP </w:t>
            </w:r>
          </w:p>
        </w:tc>
        <w:tc>
          <w:tcPr>
            <w:tcW w:w="1984" w:type="dxa"/>
            <w:hideMark/>
          </w:tcPr>
          <w:p w14:paraId="665FC5B8" w14:textId="1C598F3E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Basic RCPSystem 2000/o10</w:t>
            </w:r>
          </w:p>
        </w:tc>
        <w:tc>
          <w:tcPr>
            <w:tcW w:w="1559" w:type="dxa"/>
            <w:noWrap/>
            <w:hideMark/>
          </w:tcPr>
          <w:p w14:paraId="033121F4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  <w:tr w:rsidR="00417BCA" w:rsidRPr="00B77195" w14:paraId="3164776B" w14:textId="77777777" w:rsidTr="00DC00AB">
        <w:trPr>
          <w:trHeight w:val="1020"/>
        </w:trPr>
        <w:tc>
          <w:tcPr>
            <w:tcW w:w="516" w:type="dxa"/>
            <w:noWrap/>
            <w:hideMark/>
          </w:tcPr>
          <w:p w14:paraId="3047215C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7" w:type="dxa"/>
            <w:hideMark/>
          </w:tcPr>
          <w:p w14:paraId="33D7A129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Opcja "dyrektor", dla kontrolerów serii KDT2000 - odblokowywanie (do odwołania) przejścia uprawnionym identyfikatorem</w:t>
            </w:r>
          </w:p>
        </w:tc>
        <w:tc>
          <w:tcPr>
            <w:tcW w:w="1984" w:type="dxa"/>
            <w:hideMark/>
          </w:tcPr>
          <w:p w14:paraId="724E7A75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7BCCF2B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</w:tr>
      <w:tr w:rsidR="00417BCA" w:rsidRPr="00B77195" w14:paraId="273468CE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764612B1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7" w:type="dxa"/>
            <w:hideMark/>
          </w:tcPr>
          <w:p w14:paraId="794813CC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Kontroler z zasilaczem (max. 2000 osób), LAN</w:t>
            </w:r>
          </w:p>
        </w:tc>
        <w:tc>
          <w:tcPr>
            <w:tcW w:w="1984" w:type="dxa"/>
            <w:noWrap/>
            <w:hideMark/>
          </w:tcPr>
          <w:p w14:paraId="5D2C70EB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KDT 2000E</w:t>
            </w:r>
          </w:p>
        </w:tc>
        <w:tc>
          <w:tcPr>
            <w:tcW w:w="1559" w:type="dxa"/>
            <w:noWrap/>
            <w:hideMark/>
          </w:tcPr>
          <w:p w14:paraId="0CF4D24C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10</w:t>
            </w:r>
          </w:p>
        </w:tc>
      </w:tr>
      <w:tr w:rsidR="00417BCA" w:rsidRPr="00B77195" w14:paraId="543EE9BC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20A56D58" w14:textId="5CA28BF2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7" w:type="dxa"/>
            <w:hideMark/>
          </w:tcPr>
          <w:p w14:paraId="05609FE4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Kontroler z zasilaczem (max. 8000 osób), LAN</w:t>
            </w:r>
          </w:p>
        </w:tc>
        <w:tc>
          <w:tcPr>
            <w:tcW w:w="1984" w:type="dxa"/>
            <w:noWrap/>
            <w:hideMark/>
          </w:tcPr>
          <w:p w14:paraId="66E295EA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KDT 8000E</w:t>
            </w:r>
          </w:p>
        </w:tc>
        <w:tc>
          <w:tcPr>
            <w:tcW w:w="1559" w:type="dxa"/>
            <w:noWrap/>
            <w:hideMark/>
          </w:tcPr>
          <w:p w14:paraId="1D9E12AB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  <w:tr w:rsidR="00417BCA" w:rsidRPr="00B77195" w14:paraId="4E058E4F" w14:textId="77777777" w:rsidTr="00DC00AB">
        <w:trPr>
          <w:trHeight w:val="765"/>
        </w:trPr>
        <w:tc>
          <w:tcPr>
            <w:tcW w:w="516" w:type="dxa"/>
            <w:noWrap/>
            <w:hideMark/>
          </w:tcPr>
          <w:p w14:paraId="0C99B34E" w14:textId="3905F8D8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7" w:type="dxa"/>
            <w:hideMark/>
          </w:tcPr>
          <w:p w14:paraId="7F808149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Obudowa centrali kontrolera kpl. (transformator, akumulator 7Ah, okablowanie)</w:t>
            </w:r>
          </w:p>
        </w:tc>
        <w:tc>
          <w:tcPr>
            <w:tcW w:w="1984" w:type="dxa"/>
            <w:hideMark/>
          </w:tcPr>
          <w:p w14:paraId="7FECD86F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OKD 2000/245 ACP</w:t>
            </w:r>
          </w:p>
        </w:tc>
        <w:tc>
          <w:tcPr>
            <w:tcW w:w="1559" w:type="dxa"/>
            <w:noWrap/>
            <w:hideMark/>
          </w:tcPr>
          <w:p w14:paraId="3C381189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11</w:t>
            </w:r>
          </w:p>
        </w:tc>
      </w:tr>
      <w:tr w:rsidR="00417BCA" w:rsidRPr="00B77195" w14:paraId="15AA7FCE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463148DC" w14:textId="66221DEE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7" w:type="dxa"/>
            <w:noWrap/>
            <w:hideMark/>
          </w:tcPr>
          <w:p w14:paraId="6BC509CB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Czytnik kart zbliżeniowych z klawiaturą</w:t>
            </w:r>
          </w:p>
        </w:tc>
        <w:tc>
          <w:tcPr>
            <w:tcW w:w="1984" w:type="dxa"/>
            <w:noWrap/>
            <w:hideMark/>
          </w:tcPr>
          <w:p w14:paraId="0115A3D7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RK40 Seos</w:t>
            </w:r>
          </w:p>
        </w:tc>
        <w:tc>
          <w:tcPr>
            <w:tcW w:w="1559" w:type="dxa"/>
            <w:noWrap/>
            <w:hideMark/>
          </w:tcPr>
          <w:p w14:paraId="363B2295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  <w:tr w:rsidR="00417BCA" w:rsidRPr="00B77195" w14:paraId="2D3C3041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48F5C053" w14:textId="36000C6D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7" w:type="dxa"/>
            <w:noWrap/>
            <w:hideMark/>
          </w:tcPr>
          <w:p w14:paraId="16E01CBA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Czytnik kart zbliżeniowych bez klawiatury</w:t>
            </w:r>
          </w:p>
        </w:tc>
        <w:tc>
          <w:tcPr>
            <w:tcW w:w="1984" w:type="dxa"/>
            <w:noWrap/>
            <w:hideMark/>
          </w:tcPr>
          <w:p w14:paraId="2EBAC69D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R10 Seos</w:t>
            </w:r>
          </w:p>
        </w:tc>
        <w:tc>
          <w:tcPr>
            <w:tcW w:w="1559" w:type="dxa"/>
            <w:noWrap/>
            <w:hideMark/>
          </w:tcPr>
          <w:p w14:paraId="4E6253F8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22</w:t>
            </w:r>
          </w:p>
        </w:tc>
      </w:tr>
      <w:tr w:rsidR="00417BCA" w:rsidRPr="00B77195" w14:paraId="5F65C69F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7913FB50" w14:textId="2A2D152B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7" w:type="dxa"/>
            <w:noWrap/>
            <w:hideMark/>
          </w:tcPr>
          <w:p w14:paraId="0E9D13C4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Rygiel rewersyjny 12 V DC</w:t>
            </w:r>
          </w:p>
        </w:tc>
        <w:tc>
          <w:tcPr>
            <w:tcW w:w="1984" w:type="dxa"/>
            <w:noWrap/>
            <w:hideMark/>
          </w:tcPr>
          <w:p w14:paraId="3B0C08AA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RE-S</w:t>
            </w:r>
          </w:p>
        </w:tc>
        <w:tc>
          <w:tcPr>
            <w:tcW w:w="1559" w:type="dxa"/>
            <w:noWrap/>
            <w:hideMark/>
          </w:tcPr>
          <w:p w14:paraId="57B54004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6</w:t>
            </w:r>
          </w:p>
        </w:tc>
      </w:tr>
      <w:tr w:rsidR="00417BCA" w:rsidRPr="00B77195" w14:paraId="3D37734D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5E81B48D" w14:textId="450454CD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7" w:type="dxa"/>
            <w:hideMark/>
          </w:tcPr>
          <w:p w14:paraId="30F8698E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Przycisk ewakuacyjny czterozaciskowy, jednostykowy z ledową sygnalizacją</w:t>
            </w:r>
          </w:p>
        </w:tc>
        <w:tc>
          <w:tcPr>
            <w:tcW w:w="1984" w:type="dxa"/>
            <w:noWrap/>
            <w:hideMark/>
          </w:tcPr>
          <w:p w14:paraId="44F62861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PEP-1</w:t>
            </w:r>
          </w:p>
        </w:tc>
        <w:tc>
          <w:tcPr>
            <w:tcW w:w="1559" w:type="dxa"/>
            <w:noWrap/>
            <w:hideMark/>
          </w:tcPr>
          <w:p w14:paraId="3277E921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11</w:t>
            </w:r>
          </w:p>
        </w:tc>
      </w:tr>
      <w:tr w:rsidR="00417BCA" w:rsidRPr="00B77195" w14:paraId="19D1B92F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134F226C" w14:textId="00AF44FB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7" w:type="dxa"/>
            <w:noWrap/>
            <w:hideMark/>
          </w:tcPr>
          <w:p w14:paraId="5DE84DB8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Czujnik stanu drzwi</w:t>
            </w:r>
          </w:p>
        </w:tc>
        <w:tc>
          <w:tcPr>
            <w:tcW w:w="1984" w:type="dxa"/>
            <w:noWrap/>
            <w:hideMark/>
          </w:tcPr>
          <w:p w14:paraId="33FA666F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8387AF4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7</w:t>
            </w:r>
          </w:p>
        </w:tc>
      </w:tr>
      <w:tr w:rsidR="00417BCA" w:rsidRPr="00B77195" w14:paraId="2FF846FE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1DBA120C" w14:textId="1C7CF755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7" w:type="dxa"/>
            <w:hideMark/>
          </w:tcPr>
          <w:p w14:paraId="06532543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Zwora 3000ALSHD (z czujnikiem; 3000N; 12/24VDC; Alu.)</w:t>
            </w:r>
          </w:p>
        </w:tc>
        <w:tc>
          <w:tcPr>
            <w:tcW w:w="1984" w:type="dxa"/>
            <w:noWrap/>
            <w:hideMark/>
          </w:tcPr>
          <w:p w14:paraId="3EC93915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EFF-EFF</w:t>
            </w:r>
          </w:p>
        </w:tc>
        <w:tc>
          <w:tcPr>
            <w:tcW w:w="1559" w:type="dxa"/>
            <w:noWrap/>
            <w:hideMark/>
          </w:tcPr>
          <w:p w14:paraId="489FA7E1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4</w:t>
            </w:r>
          </w:p>
        </w:tc>
      </w:tr>
      <w:tr w:rsidR="00417BCA" w:rsidRPr="00B77195" w14:paraId="22C70E05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62C85976" w14:textId="25E0D7AB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7" w:type="dxa"/>
            <w:hideMark/>
          </w:tcPr>
          <w:p w14:paraId="3B1CDFE1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Elementy montażowe Z300 (typu Z i L)</w:t>
            </w:r>
          </w:p>
        </w:tc>
        <w:tc>
          <w:tcPr>
            <w:tcW w:w="1984" w:type="dxa"/>
            <w:noWrap/>
            <w:hideMark/>
          </w:tcPr>
          <w:p w14:paraId="5DC596AC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0323FD2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4</w:t>
            </w:r>
          </w:p>
        </w:tc>
      </w:tr>
      <w:tr w:rsidR="00417BCA" w:rsidRPr="00B77195" w14:paraId="30F21A53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4971882B" w14:textId="518B33E1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7" w:type="dxa"/>
            <w:hideMark/>
          </w:tcPr>
          <w:p w14:paraId="2381C43F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Płyta montażowa M300 (nie wymaga otworu przelotowego)</w:t>
            </w:r>
          </w:p>
        </w:tc>
        <w:tc>
          <w:tcPr>
            <w:tcW w:w="1984" w:type="dxa"/>
            <w:noWrap/>
            <w:hideMark/>
          </w:tcPr>
          <w:p w14:paraId="44526A92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8CF3A08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4</w:t>
            </w:r>
          </w:p>
        </w:tc>
      </w:tr>
      <w:tr w:rsidR="00417BCA" w:rsidRPr="00B77195" w14:paraId="3157445A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52E8BEB0" w14:textId="3D12911A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7" w:type="dxa"/>
            <w:noWrap/>
            <w:hideMark/>
          </w:tcPr>
          <w:p w14:paraId="45E84C4A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Samozamykacz</w:t>
            </w:r>
          </w:p>
        </w:tc>
        <w:tc>
          <w:tcPr>
            <w:tcW w:w="1984" w:type="dxa"/>
            <w:noWrap/>
            <w:hideMark/>
          </w:tcPr>
          <w:p w14:paraId="7BC3915D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8AC9EDD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10</w:t>
            </w:r>
          </w:p>
        </w:tc>
      </w:tr>
      <w:tr w:rsidR="00417BCA" w:rsidRPr="00B77195" w14:paraId="72FA1AB4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7BE5EFC8" w14:textId="4292B06D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7" w:type="dxa"/>
            <w:noWrap/>
            <w:hideMark/>
          </w:tcPr>
          <w:p w14:paraId="3F2CC99C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Gałko-gałka do drzwi</w:t>
            </w:r>
          </w:p>
        </w:tc>
        <w:tc>
          <w:tcPr>
            <w:tcW w:w="1984" w:type="dxa"/>
            <w:noWrap/>
            <w:hideMark/>
          </w:tcPr>
          <w:p w14:paraId="343F4C8D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kpl.</w:t>
            </w:r>
          </w:p>
        </w:tc>
        <w:tc>
          <w:tcPr>
            <w:tcW w:w="1559" w:type="dxa"/>
            <w:noWrap/>
            <w:hideMark/>
          </w:tcPr>
          <w:p w14:paraId="7B687FC1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6</w:t>
            </w:r>
          </w:p>
        </w:tc>
      </w:tr>
      <w:tr w:rsidR="00417BCA" w:rsidRPr="00B77195" w14:paraId="6114EA3C" w14:textId="77777777" w:rsidTr="00DC00AB">
        <w:trPr>
          <w:trHeight w:val="765"/>
        </w:trPr>
        <w:tc>
          <w:tcPr>
            <w:tcW w:w="516" w:type="dxa"/>
            <w:noWrap/>
            <w:hideMark/>
          </w:tcPr>
          <w:p w14:paraId="7FDF5483" w14:textId="2B943470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7" w:type="dxa"/>
            <w:hideMark/>
          </w:tcPr>
          <w:p w14:paraId="35BA1FCD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Montaż, materiały instalacyjne (okablowanie w tym niepalne do rygli, listwy, rurki, kołki itp..)</w:t>
            </w:r>
          </w:p>
        </w:tc>
        <w:tc>
          <w:tcPr>
            <w:tcW w:w="1984" w:type="dxa"/>
            <w:noWrap/>
            <w:hideMark/>
          </w:tcPr>
          <w:p w14:paraId="4062B8D7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659E0E1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11</w:t>
            </w:r>
          </w:p>
        </w:tc>
      </w:tr>
      <w:tr w:rsidR="00417BCA" w:rsidRPr="00B77195" w14:paraId="1CE3F7F4" w14:textId="77777777" w:rsidTr="00DC00AB">
        <w:trPr>
          <w:trHeight w:val="1275"/>
        </w:trPr>
        <w:tc>
          <w:tcPr>
            <w:tcW w:w="516" w:type="dxa"/>
            <w:noWrap/>
            <w:hideMark/>
          </w:tcPr>
          <w:p w14:paraId="7A6AD91C" w14:textId="4641F6C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7" w:type="dxa"/>
            <w:hideMark/>
          </w:tcPr>
          <w:p w14:paraId="7017F4CA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Montaż, materiały instalacyjne okablowania zasilającego 230 V do nowych kontrolerów od istniejących już kontrolerów piętra 4 (bez rozbudowy rozdzielni elektrycznej)</w:t>
            </w:r>
          </w:p>
        </w:tc>
        <w:tc>
          <w:tcPr>
            <w:tcW w:w="1984" w:type="dxa"/>
            <w:noWrap/>
            <w:hideMark/>
          </w:tcPr>
          <w:p w14:paraId="6216DFB1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2908250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11</w:t>
            </w:r>
          </w:p>
        </w:tc>
      </w:tr>
      <w:tr w:rsidR="00417BCA" w:rsidRPr="00B77195" w14:paraId="0FE63705" w14:textId="77777777" w:rsidTr="00DC00AB">
        <w:trPr>
          <w:trHeight w:val="255"/>
        </w:trPr>
        <w:tc>
          <w:tcPr>
            <w:tcW w:w="516" w:type="dxa"/>
            <w:noWrap/>
            <w:hideMark/>
          </w:tcPr>
          <w:p w14:paraId="70AC0AA7" w14:textId="373D381C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  <w:r w:rsidR="009055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7" w:type="dxa"/>
            <w:hideMark/>
          </w:tcPr>
          <w:p w14:paraId="13219FA8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Dokumentacja powykonawcza</w:t>
            </w:r>
          </w:p>
        </w:tc>
        <w:tc>
          <w:tcPr>
            <w:tcW w:w="1984" w:type="dxa"/>
            <w:noWrap/>
            <w:hideMark/>
          </w:tcPr>
          <w:p w14:paraId="0BF6B498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7AE66A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  <w:tr w:rsidR="00417BCA" w:rsidRPr="00B77195" w14:paraId="5E96B789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0DD96B60" w14:textId="4B378E13" w:rsidR="00417BCA" w:rsidRPr="00B77195" w:rsidRDefault="00905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7" w:type="dxa"/>
            <w:hideMark/>
          </w:tcPr>
          <w:p w14:paraId="68F8E9F6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Wgranie licencji, konfiguracja, uruchomienie oprogramowania</w:t>
            </w:r>
          </w:p>
        </w:tc>
        <w:tc>
          <w:tcPr>
            <w:tcW w:w="1984" w:type="dxa"/>
            <w:noWrap/>
            <w:hideMark/>
          </w:tcPr>
          <w:p w14:paraId="30346307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C7C328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  <w:tr w:rsidR="00417BCA" w:rsidRPr="00B77195" w14:paraId="3CC29C38" w14:textId="77777777" w:rsidTr="00DC00AB">
        <w:trPr>
          <w:trHeight w:val="510"/>
        </w:trPr>
        <w:tc>
          <w:tcPr>
            <w:tcW w:w="516" w:type="dxa"/>
            <w:noWrap/>
            <w:hideMark/>
          </w:tcPr>
          <w:p w14:paraId="570BF316" w14:textId="4708865A" w:rsidR="00417BCA" w:rsidRPr="00B77195" w:rsidRDefault="007565D2" w:rsidP="0041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055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7" w:type="dxa"/>
            <w:hideMark/>
          </w:tcPr>
          <w:p w14:paraId="0079778D" w14:textId="7B276984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Upgrade oprogramowania SKD</w:t>
            </w:r>
            <w:r w:rsidR="004321CD">
              <w:rPr>
                <w:rFonts w:ascii="Times New Roman" w:hAnsi="Times New Roman" w:cs="Times New Roman"/>
              </w:rPr>
              <w:t xml:space="preserve"> i RCP</w:t>
            </w:r>
            <w:r w:rsidRPr="00B77195">
              <w:rPr>
                <w:rFonts w:ascii="Times New Roman" w:hAnsi="Times New Roman" w:cs="Times New Roman"/>
              </w:rPr>
              <w:t>, konfiguracja, uruchomienie</w:t>
            </w:r>
            <w:r w:rsidR="0000779B" w:rsidRPr="00B77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noWrap/>
            <w:hideMark/>
          </w:tcPr>
          <w:p w14:paraId="4EEC068E" w14:textId="77777777" w:rsidR="00417BCA" w:rsidRPr="00B77195" w:rsidRDefault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FC4677A" w14:textId="77777777" w:rsidR="00417BCA" w:rsidRPr="00B77195" w:rsidRDefault="00417BCA" w:rsidP="00417BCA">
            <w:pPr>
              <w:rPr>
                <w:rFonts w:ascii="Times New Roman" w:hAnsi="Times New Roman" w:cs="Times New Roman"/>
              </w:rPr>
            </w:pPr>
            <w:r w:rsidRPr="00B77195">
              <w:rPr>
                <w:rFonts w:ascii="Times New Roman" w:hAnsi="Times New Roman" w:cs="Times New Roman"/>
              </w:rPr>
              <w:t>1</w:t>
            </w:r>
          </w:p>
        </w:tc>
      </w:tr>
    </w:tbl>
    <w:p w14:paraId="0B77ABFC" w14:textId="37247FC1" w:rsidR="00803706" w:rsidRPr="00B77195" w:rsidRDefault="00803706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852C" w14:textId="56B96AE6" w:rsidR="00B77195" w:rsidRPr="00B77195" w:rsidRDefault="00B77195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95">
        <w:rPr>
          <w:rFonts w:ascii="Times New Roman" w:hAnsi="Times New Roman" w:cs="Times New Roman"/>
          <w:sz w:val="24"/>
          <w:szCs w:val="24"/>
        </w:rPr>
        <w:t xml:space="preserve">Wykonawca dostarczy oraz zainstaluje we wskazanych przez Zmawiającego pomieszczeniach </w:t>
      </w:r>
      <w:r w:rsidR="00AA597D">
        <w:rPr>
          <w:rFonts w:ascii="Times New Roman" w:hAnsi="Times New Roman" w:cs="Times New Roman"/>
          <w:sz w:val="24"/>
          <w:szCs w:val="24"/>
        </w:rPr>
        <w:t xml:space="preserve">wyżej </w:t>
      </w:r>
      <w:r w:rsidRPr="00B77195">
        <w:rPr>
          <w:rFonts w:ascii="Times New Roman" w:hAnsi="Times New Roman" w:cs="Times New Roman"/>
          <w:sz w:val="24"/>
          <w:szCs w:val="24"/>
        </w:rPr>
        <w:t>wymienione elementy systemu</w:t>
      </w:r>
      <w:r w:rsidR="00AA597D">
        <w:rPr>
          <w:rFonts w:ascii="Times New Roman" w:hAnsi="Times New Roman" w:cs="Times New Roman"/>
          <w:sz w:val="24"/>
          <w:szCs w:val="24"/>
        </w:rPr>
        <w:t xml:space="preserve"> SKD</w:t>
      </w:r>
      <w:r w:rsidRPr="00B77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BA527" w14:textId="250A71EF" w:rsidR="00F13EB7" w:rsidRDefault="00B77195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95">
        <w:rPr>
          <w:rFonts w:ascii="Times New Roman" w:hAnsi="Times New Roman" w:cs="Times New Roman"/>
          <w:sz w:val="24"/>
          <w:szCs w:val="24"/>
        </w:rPr>
        <w:t>Instalacje zostaną wykonane w technologii natynkowej za pomocą odpowiednich elementów montażowych.</w:t>
      </w:r>
    </w:p>
    <w:p w14:paraId="5EDE971A" w14:textId="699DE988" w:rsidR="008C20D1" w:rsidRDefault="008C20D1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zapewnia podłączenie SKD do Systemu Sygnalizacji Pożarowej (SSP). Zamawiający zapewnia </w:t>
      </w:r>
      <w:r w:rsidRPr="008C20D1">
        <w:rPr>
          <w:rFonts w:ascii="Times New Roman" w:hAnsi="Times New Roman" w:cs="Times New Roman"/>
          <w:sz w:val="24"/>
          <w:szCs w:val="24"/>
        </w:rPr>
        <w:t>rozbudo</w:t>
      </w:r>
      <w:r>
        <w:rPr>
          <w:rFonts w:ascii="Times New Roman" w:hAnsi="Times New Roman" w:cs="Times New Roman"/>
          <w:sz w:val="24"/>
          <w:szCs w:val="24"/>
        </w:rPr>
        <w:t xml:space="preserve">wę </w:t>
      </w:r>
      <w:r w:rsidRPr="008C20D1">
        <w:rPr>
          <w:rFonts w:ascii="Times New Roman" w:hAnsi="Times New Roman" w:cs="Times New Roman"/>
          <w:sz w:val="24"/>
          <w:szCs w:val="24"/>
        </w:rPr>
        <w:t xml:space="preserve"> systemu SSP </w:t>
      </w:r>
      <w:r w:rsidR="00A36A18">
        <w:rPr>
          <w:rFonts w:ascii="Times New Roman" w:hAnsi="Times New Roman" w:cs="Times New Roman"/>
          <w:sz w:val="24"/>
          <w:szCs w:val="24"/>
        </w:rPr>
        <w:t>pod względem</w:t>
      </w:r>
      <w:r w:rsidRPr="008C20D1">
        <w:rPr>
          <w:rFonts w:ascii="Times New Roman" w:hAnsi="Times New Roman" w:cs="Times New Roman"/>
          <w:sz w:val="24"/>
          <w:szCs w:val="24"/>
        </w:rPr>
        <w:t xml:space="preserve"> integracji 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C20D1">
        <w:rPr>
          <w:rFonts w:ascii="Times New Roman" w:hAnsi="Times New Roman" w:cs="Times New Roman"/>
          <w:sz w:val="24"/>
          <w:szCs w:val="24"/>
        </w:rPr>
        <w:t>KD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E619D5" w14:textId="13FA466A" w:rsidR="00984E01" w:rsidRDefault="00984E01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01">
        <w:rPr>
          <w:rFonts w:ascii="Times New Roman" w:hAnsi="Times New Roman" w:cs="Times New Roman"/>
          <w:sz w:val="24"/>
          <w:szCs w:val="24"/>
        </w:rPr>
        <w:t>Wykonawca dostarcz</w:t>
      </w:r>
      <w:r w:rsidR="00AA597D">
        <w:rPr>
          <w:rFonts w:ascii="Times New Roman" w:hAnsi="Times New Roman" w:cs="Times New Roman"/>
          <w:sz w:val="24"/>
          <w:szCs w:val="24"/>
        </w:rPr>
        <w:t>y</w:t>
      </w:r>
      <w:r w:rsidRPr="00984E01">
        <w:rPr>
          <w:rFonts w:ascii="Times New Roman" w:hAnsi="Times New Roman" w:cs="Times New Roman"/>
          <w:sz w:val="24"/>
          <w:szCs w:val="24"/>
        </w:rPr>
        <w:t xml:space="preserve"> wszystkie licencje na oprogramowanie w opcji bezterminowej.</w:t>
      </w:r>
    </w:p>
    <w:p w14:paraId="6D79A976" w14:textId="4632DD6D" w:rsidR="008C20D1" w:rsidRPr="00B77195" w:rsidRDefault="008C20D1" w:rsidP="00B771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0D1">
        <w:rPr>
          <w:rFonts w:ascii="Times New Roman" w:hAnsi="Times New Roman" w:cs="Times New Roman"/>
          <w:sz w:val="24"/>
          <w:szCs w:val="24"/>
        </w:rPr>
        <w:t>Zamawiający dopuszcza możliwość przeprowadzenia wizji lokalnej przez wyznaczonego pracownika Wykonawcy przed złożeniem oferty.</w:t>
      </w:r>
    </w:p>
    <w:sectPr w:rsidR="008C20D1" w:rsidRPr="00B7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4668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9D6322"/>
    <w:multiLevelType w:val="hybridMultilevel"/>
    <w:tmpl w:val="03726A18"/>
    <w:lvl w:ilvl="0" w:tplc="C534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261100">
    <w:abstractNumId w:val="0"/>
  </w:num>
  <w:num w:numId="2" w16cid:durableId="1148087182">
    <w:abstractNumId w:val="1"/>
  </w:num>
  <w:num w:numId="3" w16cid:durableId="137010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7"/>
    <w:rsid w:val="0000101C"/>
    <w:rsid w:val="0000779B"/>
    <w:rsid w:val="00024A96"/>
    <w:rsid w:val="0005766C"/>
    <w:rsid w:val="000B0827"/>
    <w:rsid w:val="000D3F0E"/>
    <w:rsid w:val="00127B48"/>
    <w:rsid w:val="00154714"/>
    <w:rsid w:val="00282E7E"/>
    <w:rsid w:val="002A6046"/>
    <w:rsid w:val="002C1E70"/>
    <w:rsid w:val="002C4826"/>
    <w:rsid w:val="002C74EB"/>
    <w:rsid w:val="002C7611"/>
    <w:rsid w:val="002E4723"/>
    <w:rsid w:val="00303DF8"/>
    <w:rsid w:val="00376AE4"/>
    <w:rsid w:val="0039459E"/>
    <w:rsid w:val="003B6777"/>
    <w:rsid w:val="00417BCA"/>
    <w:rsid w:val="004321CD"/>
    <w:rsid w:val="00456A63"/>
    <w:rsid w:val="004C4997"/>
    <w:rsid w:val="004E47B8"/>
    <w:rsid w:val="005B1E4B"/>
    <w:rsid w:val="005D0854"/>
    <w:rsid w:val="005F00FA"/>
    <w:rsid w:val="00603931"/>
    <w:rsid w:val="00613263"/>
    <w:rsid w:val="00643DD3"/>
    <w:rsid w:val="006F1826"/>
    <w:rsid w:val="007315CD"/>
    <w:rsid w:val="007565D2"/>
    <w:rsid w:val="00760D1D"/>
    <w:rsid w:val="00772FB2"/>
    <w:rsid w:val="007B1330"/>
    <w:rsid w:val="00803706"/>
    <w:rsid w:val="008970F4"/>
    <w:rsid w:val="008C20D1"/>
    <w:rsid w:val="009055D2"/>
    <w:rsid w:val="00977B94"/>
    <w:rsid w:val="00984E01"/>
    <w:rsid w:val="009A1EA0"/>
    <w:rsid w:val="00A24CEF"/>
    <w:rsid w:val="00A343DF"/>
    <w:rsid w:val="00A36A18"/>
    <w:rsid w:val="00A744FC"/>
    <w:rsid w:val="00AA597D"/>
    <w:rsid w:val="00AB176E"/>
    <w:rsid w:val="00AD1AF2"/>
    <w:rsid w:val="00B02325"/>
    <w:rsid w:val="00B278B2"/>
    <w:rsid w:val="00B627B5"/>
    <w:rsid w:val="00B77195"/>
    <w:rsid w:val="00BB6FC8"/>
    <w:rsid w:val="00BC4012"/>
    <w:rsid w:val="00BD43FD"/>
    <w:rsid w:val="00C46F2C"/>
    <w:rsid w:val="00C8290F"/>
    <w:rsid w:val="00DC00AB"/>
    <w:rsid w:val="00DC25D0"/>
    <w:rsid w:val="00DD453A"/>
    <w:rsid w:val="00E534E8"/>
    <w:rsid w:val="00E65626"/>
    <w:rsid w:val="00E71661"/>
    <w:rsid w:val="00EA1C37"/>
    <w:rsid w:val="00EA6482"/>
    <w:rsid w:val="00EB0FF1"/>
    <w:rsid w:val="00EB716C"/>
    <w:rsid w:val="00ED3D18"/>
    <w:rsid w:val="00F13EB7"/>
    <w:rsid w:val="00F24A73"/>
    <w:rsid w:val="00F51DAA"/>
    <w:rsid w:val="00FA5926"/>
    <w:rsid w:val="00FB22CA"/>
    <w:rsid w:val="00F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72E"/>
  <w15:chartTrackingRefBased/>
  <w15:docId w15:val="{B7E3FB6C-6D41-4502-ACAA-26516CF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0FA"/>
    <w:pPr>
      <w:ind w:left="720"/>
      <w:contextualSpacing/>
    </w:pPr>
  </w:style>
  <w:style w:type="table" w:styleId="Tabela-Siatka">
    <w:name w:val="Table Grid"/>
    <w:basedOn w:val="Standardowy"/>
    <w:uiPriority w:val="39"/>
    <w:rsid w:val="004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77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(BB)</dc:creator>
  <cp:keywords/>
  <dc:description/>
  <cp:lastModifiedBy>Gajda Anna  (BB)</cp:lastModifiedBy>
  <cp:revision>2</cp:revision>
  <cp:lastPrinted>2024-02-21T08:19:00Z</cp:lastPrinted>
  <dcterms:created xsi:type="dcterms:W3CDTF">2024-06-19T10:49:00Z</dcterms:created>
  <dcterms:modified xsi:type="dcterms:W3CDTF">2024-06-19T10:49:00Z</dcterms:modified>
</cp:coreProperties>
</file>