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3B" w:rsidRPr="0079716B" w:rsidRDefault="0026393B" w:rsidP="00C80D4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9716B">
        <w:rPr>
          <w:rFonts w:ascii="Times New Roman" w:hAnsi="Times New Roman" w:cs="Times New Roman"/>
          <w:b/>
          <w:bCs/>
        </w:rPr>
        <w:t>OPIS ISTOTNYCH ZAGADNIEŃ</w:t>
      </w:r>
    </w:p>
    <w:p w:rsidR="0026393B" w:rsidRPr="0079716B" w:rsidRDefault="0026393B" w:rsidP="00C80D4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9716B">
        <w:rPr>
          <w:rFonts w:ascii="Times New Roman" w:hAnsi="Times New Roman" w:cs="Times New Roman"/>
          <w:b/>
          <w:bCs/>
        </w:rPr>
        <w:t>dla Komisji Egzaminacyjnej</w:t>
      </w:r>
    </w:p>
    <w:p w:rsidR="0026393B" w:rsidRPr="0079716B" w:rsidRDefault="0026393B" w:rsidP="00C80D4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9716B">
        <w:rPr>
          <w:rFonts w:ascii="Times New Roman" w:hAnsi="Times New Roman" w:cs="Times New Roman"/>
          <w:b/>
          <w:bCs/>
        </w:rPr>
        <w:t>do zadania z zakresu prawa administracyjnego</w:t>
      </w:r>
    </w:p>
    <w:p w:rsidR="0026393B" w:rsidRPr="0079716B" w:rsidRDefault="0026393B" w:rsidP="00C80D4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egzamin radcowski – 18</w:t>
      </w:r>
      <w:r w:rsidRPr="0079716B">
        <w:rPr>
          <w:rFonts w:ascii="Times New Roman" w:hAnsi="Times New Roman" w:cs="Times New Roman"/>
          <w:b/>
          <w:bCs/>
        </w:rPr>
        <w:t xml:space="preserve"> marca 2016 r.</w:t>
      </w:r>
    </w:p>
    <w:p w:rsidR="0026393B" w:rsidRPr="0079716B" w:rsidRDefault="0026393B" w:rsidP="0079716B">
      <w:pPr>
        <w:spacing w:line="360" w:lineRule="auto"/>
        <w:jc w:val="both"/>
        <w:rPr>
          <w:rFonts w:ascii="Times New Roman" w:hAnsi="Times New Roman" w:cs="Times New Roman"/>
        </w:rPr>
      </w:pPr>
    </w:p>
    <w:p w:rsidR="0026393B" w:rsidRPr="0079716B" w:rsidRDefault="0026393B" w:rsidP="0079716B">
      <w:pPr>
        <w:spacing w:line="360" w:lineRule="auto"/>
        <w:jc w:val="both"/>
        <w:rPr>
          <w:rFonts w:ascii="Times New Roman" w:hAnsi="Times New Roman" w:cs="Times New Roman"/>
        </w:rPr>
      </w:pPr>
      <w:r w:rsidRPr="0079716B">
        <w:rPr>
          <w:rFonts w:ascii="Times New Roman" w:hAnsi="Times New Roman" w:cs="Times New Roman"/>
        </w:rPr>
        <w:tab/>
        <w:t xml:space="preserve">Zdaniem zespołu do przygotowania zadań na egzamin radcowski, w przypadku zadania z prawa administracyjnego, celowe jest sporządzenie skargi do wojewódzkiego sądu administracyjnego. Uchybienia, których dopuściły się organy administracji dają podstawę do sformułowania wniosku o zastosowanie art. 145 § 1 pkt 1 lit. a i c w zw. z art. 135 </w:t>
      </w:r>
      <w:proofErr w:type="spellStart"/>
      <w:r w:rsidRPr="0079716B">
        <w:rPr>
          <w:rFonts w:ascii="Times New Roman" w:hAnsi="Times New Roman" w:cs="Times New Roman"/>
        </w:rPr>
        <w:t>p.p.s.a</w:t>
      </w:r>
      <w:proofErr w:type="spellEnd"/>
      <w:r w:rsidRPr="0079716B">
        <w:rPr>
          <w:rFonts w:ascii="Times New Roman" w:hAnsi="Times New Roman" w:cs="Times New Roman"/>
        </w:rPr>
        <w:t>.,</w:t>
      </w:r>
      <w:r w:rsidR="008C39B3">
        <w:rPr>
          <w:rFonts w:ascii="Times New Roman" w:hAnsi="Times New Roman" w:cs="Times New Roman"/>
        </w:rPr>
        <w:t xml:space="preserve">   </w:t>
      </w:r>
      <w:r w:rsidRPr="0079716B">
        <w:rPr>
          <w:rFonts w:ascii="Times New Roman" w:hAnsi="Times New Roman" w:cs="Times New Roman"/>
        </w:rPr>
        <w:t xml:space="preserve"> tj. o uchylenie w całości decyzji organów obu instancji z uwagi na naruszenie przepisów prawa materialnego, które miało wpływ na wynik sprawy oraz naruszenie przepisów postępowania, które mogło mieć istotny wpływ na wynik sprawy.</w:t>
      </w:r>
    </w:p>
    <w:p w:rsidR="0026393B" w:rsidRPr="007C1D5C" w:rsidRDefault="0026393B" w:rsidP="0079716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93B" w:rsidRDefault="0026393B" w:rsidP="0079716B">
      <w:pPr>
        <w:spacing w:line="360" w:lineRule="auto"/>
        <w:jc w:val="both"/>
        <w:rPr>
          <w:rFonts w:ascii="Times New Roman" w:hAnsi="Times New Roman" w:cs="Times New Roman"/>
        </w:rPr>
      </w:pPr>
      <w:r w:rsidRPr="0079716B">
        <w:rPr>
          <w:rFonts w:ascii="Times New Roman" w:hAnsi="Times New Roman" w:cs="Times New Roman"/>
        </w:rPr>
        <w:tab/>
        <w:t xml:space="preserve">Przy rozwiązywaniu zadania zdający winien zwrócić uwagę na te z występujących </w:t>
      </w:r>
      <w:r w:rsidR="008C39B3">
        <w:rPr>
          <w:rFonts w:ascii="Times New Roman" w:hAnsi="Times New Roman" w:cs="Times New Roman"/>
        </w:rPr>
        <w:t xml:space="preserve">    </w:t>
      </w:r>
      <w:r w:rsidRPr="0079716B">
        <w:rPr>
          <w:rFonts w:ascii="Times New Roman" w:hAnsi="Times New Roman" w:cs="Times New Roman"/>
        </w:rPr>
        <w:t>w sprawie zagadnień, które pozwolą na wskazanie w skardze określonych uchybień:</w:t>
      </w:r>
    </w:p>
    <w:p w:rsidR="009D6D1C" w:rsidRPr="0079716B" w:rsidRDefault="009D6D1C" w:rsidP="0079716B">
      <w:pPr>
        <w:spacing w:line="360" w:lineRule="auto"/>
        <w:jc w:val="both"/>
        <w:rPr>
          <w:rFonts w:ascii="Times New Roman" w:hAnsi="Times New Roman" w:cs="Times New Roman"/>
        </w:rPr>
      </w:pPr>
    </w:p>
    <w:p w:rsidR="009D6D1C" w:rsidRPr="0079716B" w:rsidRDefault="009D6D1C" w:rsidP="009D6D1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79716B">
        <w:rPr>
          <w:rFonts w:ascii="Times New Roman" w:hAnsi="Times New Roman" w:cs="Times New Roman"/>
        </w:rPr>
        <w:tab/>
        <w:t xml:space="preserve">Należy zwrócić uwagę, że w stanie faktycznym zadania, w szczególności organ pierwszej instancji, uchybił przepisom postępowania i naruszenie to mogło mieć istotny wpływ na wynik sprawy. Po pierwsze, organ pierwszej instancji o oględzinach zawiadomił inwestorów w sytuacji, gdy w ich imieniu występował pełnomocnik, któremu zgodnie </w:t>
      </w:r>
      <w:r w:rsidR="008C39B3">
        <w:rPr>
          <w:rFonts w:ascii="Times New Roman" w:hAnsi="Times New Roman" w:cs="Times New Roman"/>
        </w:rPr>
        <w:t xml:space="preserve">             </w:t>
      </w:r>
      <w:r w:rsidRPr="0079716B">
        <w:rPr>
          <w:rFonts w:ascii="Times New Roman" w:hAnsi="Times New Roman" w:cs="Times New Roman"/>
        </w:rPr>
        <w:t>z art. 40 § 2 k.p.a. powinny być doręczane wszystkie pisma. Nieprawidłowe doręczenie zawiadomienia o oględzinach spowodowało, że strona (inwestor) nie mogła wskazać pracownikom inspektoratu istotnych elementó</w:t>
      </w:r>
      <w:r w:rsidR="00134D41">
        <w:rPr>
          <w:rFonts w:ascii="Times New Roman" w:hAnsi="Times New Roman" w:cs="Times New Roman"/>
        </w:rPr>
        <w:t>w stanu faktycznego</w:t>
      </w:r>
      <w:r w:rsidR="005B78E7">
        <w:rPr>
          <w:rFonts w:ascii="Times New Roman" w:hAnsi="Times New Roman" w:cs="Times New Roman"/>
        </w:rPr>
        <w:t>, w szczególności</w:t>
      </w:r>
      <w:r w:rsidR="00134D41">
        <w:rPr>
          <w:rFonts w:ascii="Times New Roman" w:hAnsi="Times New Roman" w:cs="Times New Roman"/>
        </w:rPr>
        <w:t xml:space="preserve"> faktycznego przebiegu granicy m</w:t>
      </w:r>
      <w:r w:rsidR="005B78E7">
        <w:rPr>
          <w:rFonts w:ascii="Times New Roman" w:hAnsi="Times New Roman" w:cs="Times New Roman"/>
        </w:rPr>
        <w:t>iędzy działkami nr 116 i nr 117 i odległości budynku od tej granicy</w:t>
      </w:r>
      <w:r w:rsidR="00134D41">
        <w:rPr>
          <w:rFonts w:ascii="Times New Roman" w:hAnsi="Times New Roman" w:cs="Times New Roman"/>
        </w:rPr>
        <w:t xml:space="preserve">. </w:t>
      </w:r>
      <w:r w:rsidR="00E74A32">
        <w:rPr>
          <w:rFonts w:ascii="Times New Roman" w:hAnsi="Times New Roman" w:cs="Times New Roman"/>
        </w:rPr>
        <w:t xml:space="preserve">Należy mieć na uwadze, że w protokole oględzin mowa jest o odległości najdalej wysuniętego punktu ściany budynku usytuowanego na działce nr 116 od granicy z działką </w:t>
      </w:r>
      <w:r w:rsidR="0044284D">
        <w:rPr>
          <w:rFonts w:ascii="Times New Roman" w:hAnsi="Times New Roman" w:cs="Times New Roman"/>
        </w:rPr>
        <w:t xml:space="preserve">     </w:t>
      </w:r>
      <w:r w:rsidR="00E74A32">
        <w:rPr>
          <w:rFonts w:ascii="Times New Roman" w:hAnsi="Times New Roman" w:cs="Times New Roman"/>
        </w:rPr>
        <w:t>nr 117</w:t>
      </w:r>
      <w:r w:rsidR="003C1863">
        <w:rPr>
          <w:rFonts w:ascii="Times New Roman" w:hAnsi="Times New Roman" w:cs="Times New Roman"/>
        </w:rPr>
        <w:t>,</w:t>
      </w:r>
      <w:r w:rsidR="00E74A32">
        <w:rPr>
          <w:rFonts w:ascii="Times New Roman" w:hAnsi="Times New Roman" w:cs="Times New Roman"/>
        </w:rPr>
        <w:t xml:space="preserve"> a nie odległości całej ściany budynku od granicy. </w:t>
      </w:r>
      <w:r w:rsidRPr="0079716B">
        <w:rPr>
          <w:rFonts w:ascii="Times New Roman" w:hAnsi="Times New Roman" w:cs="Times New Roman"/>
        </w:rPr>
        <w:t>W konsekwencji doszło do pozbawienia inwestorów udziału w części postępowania i to w tej</w:t>
      </w:r>
      <w:r>
        <w:rPr>
          <w:rFonts w:ascii="Times New Roman" w:hAnsi="Times New Roman" w:cs="Times New Roman"/>
        </w:rPr>
        <w:t>,</w:t>
      </w:r>
      <w:r w:rsidRPr="0079716B">
        <w:rPr>
          <w:rFonts w:ascii="Times New Roman" w:hAnsi="Times New Roman" w:cs="Times New Roman"/>
        </w:rPr>
        <w:t xml:space="preserve"> w toku</w:t>
      </w:r>
      <w:r>
        <w:rPr>
          <w:rFonts w:ascii="Times New Roman" w:hAnsi="Times New Roman" w:cs="Times New Roman"/>
        </w:rPr>
        <w:t xml:space="preserve"> </w:t>
      </w:r>
      <w:r w:rsidRPr="0079716B">
        <w:rPr>
          <w:rFonts w:ascii="Times New Roman" w:hAnsi="Times New Roman" w:cs="Times New Roman"/>
        </w:rPr>
        <w:t>której ustalano odległość spornego budynku od granicy z działką sąsiednią. Naruszenie to mogło mieć istotny wpływ na wynik sprawy, gdyż strona mogła wskazać na takie okoliczności i dowody, które pozwoliłyby ustalić pełny stan faktyczny. Tym samym doszło do naruszenia art. 7,</w:t>
      </w:r>
      <w:r>
        <w:rPr>
          <w:rFonts w:ascii="Times New Roman" w:hAnsi="Times New Roman" w:cs="Times New Roman"/>
        </w:rPr>
        <w:t xml:space="preserve"> art. 10 § 1,</w:t>
      </w:r>
      <w:r w:rsidRPr="0079716B">
        <w:rPr>
          <w:rFonts w:ascii="Times New Roman" w:hAnsi="Times New Roman" w:cs="Times New Roman"/>
        </w:rPr>
        <w:t xml:space="preserve"> art. 77 § 1, </w:t>
      </w:r>
      <w:r w:rsidR="00CA0A52">
        <w:rPr>
          <w:rFonts w:ascii="Times New Roman" w:hAnsi="Times New Roman" w:cs="Times New Roman"/>
        </w:rPr>
        <w:t xml:space="preserve">art. </w:t>
      </w:r>
      <w:r w:rsidRPr="0079716B">
        <w:rPr>
          <w:rFonts w:ascii="Times New Roman" w:hAnsi="Times New Roman" w:cs="Times New Roman"/>
        </w:rPr>
        <w:t xml:space="preserve">79 § 1 i 2 k.p.a. </w:t>
      </w:r>
    </w:p>
    <w:p w:rsidR="0026393B" w:rsidRPr="007C1D5C" w:rsidRDefault="0026393B" w:rsidP="0079716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93B" w:rsidRDefault="0044284D" w:rsidP="00C80D4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26393B" w:rsidRPr="0079716B">
        <w:rPr>
          <w:rFonts w:ascii="Times New Roman" w:hAnsi="Times New Roman" w:cs="Times New Roman"/>
        </w:rPr>
        <w:t>Analiza zadania wskazuje, że organy administracji obu instancji, rozpatrując sprawę, naruszyły art. 66 ust. 1 pkt 3 Prawa budowlanego. Zamies</w:t>
      </w:r>
      <w:r w:rsidR="00DC4444">
        <w:rPr>
          <w:rFonts w:ascii="Times New Roman" w:hAnsi="Times New Roman" w:cs="Times New Roman"/>
        </w:rPr>
        <w:t>zczenie art. 66</w:t>
      </w:r>
      <w:r w:rsidR="0026393B" w:rsidRPr="0079716B">
        <w:rPr>
          <w:rFonts w:ascii="Times New Roman" w:hAnsi="Times New Roman" w:cs="Times New Roman"/>
        </w:rPr>
        <w:t xml:space="preserve"> w rozdziale zatytułowanym „Utrzymanie obiektów budowlanych” przesądza, że przepisy te powinny mieć zastosowanie w przypadkach, kiedy obiekt budowlany jest nieprawidłowo eksploatowany, </w:t>
      </w:r>
      <w:r w:rsidR="0026393B" w:rsidRPr="0079716B">
        <w:rPr>
          <w:rFonts w:ascii="Times New Roman" w:hAnsi="Times New Roman" w:cs="Times New Roman"/>
        </w:rPr>
        <w:lastRenderedPageBreak/>
        <w:t xml:space="preserve">nieremontowany, niekonserwowany. Przepis art. 66 ust. 1 pkt 3 </w:t>
      </w:r>
      <w:r w:rsidR="00CA0A52">
        <w:rPr>
          <w:rFonts w:ascii="Times New Roman" w:hAnsi="Times New Roman" w:cs="Times New Roman"/>
        </w:rPr>
        <w:t xml:space="preserve">pr. bud. </w:t>
      </w:r>
      <w:r w:rsidR="0026393B" w:rsidRPr="0079716B">
        <w:rPr>
          <w:rFonts w:ascii="Times New Roman" w:hAnsi="Times New Roman" w:cs="Times New Roman"/>
        </w:rPr>
        <w:t>ma zastosowanie do stanów faktycznych, w których obiekt budowlany ze względu na niewłaściwe użytkowanie został doprowadzony do nieodpowiedniego stanu technicznego. Zatem chodzi tutaj o skutki wynikające z użytkowania obiektu budowlanego. Przepis ten nie daje podstaw do usunięcia stanu pierwotnej niezgodności budynku z przepisami techniczno-budowlanymi, lecz podstawę do usunięcia złego stanu technicznego, który ma charakter wtórny, tzn. jest następstwem niewłaściwego użytkowania obiektu bądź też utrzymania go w niewłaściwym stanie, zużycia lub nagłych zdarzeń mających miejsce po oddaniu obiektu do użytkowania</w:t>
      </w:r>
      <w:r w:rsidR="0026393B">
        <w:rPr>
          <w:rFonts w:ascii="Times New Roman" w:hAnsi="Times New Roman" w:cs="Times New Roman"/>
        </w:rPr>
        <w:t xml:space="preserve">. Na podstawie art. 66 pr. bud. nie można nakazywać wykonania robót budowlanych mających na celu doprowadzenie obiektu budowlanego do stanu zgodnego z prawem, </w:t>
      </w:r>
      <w:r w:rsidR="0026393B" w:rsidRPr="0079716B">
        <w:rPr>
          <w:rFonts w:ascii="Times New Roman" w:hAnsi="Times New Roman" w:cs="Times New Roman"/>
        </w:rPr>
        <w:t>gdyż taka sytuacja odpowiada regulacji zawart</w:t>
      </w:r>
      <w:r w:rsidR="00CA0A52">
        <w:rPr>
          <w:rFonts w:ascii="Times New Roman" w:hAnsi="Times New Roman" w:cs="Times New Roman"/>
        </w:rPr>
        <w:t xml:space="preserve">ej w art. 51 ust. 1 pkt 2 i 3 pr. </w:t>
      </w:r>
      <w:r w:rsidR="0026393B" w:rsidRPr="0079716B">
        <w:rPr>
          <w:rFonts w:ascii="Times New Roman" w:hAnsi="Times New Roman" w:cs="Times New Roman"/>
        </w:rPr>
        <w:t>b</w:t>
      </w:r>
      <w:r w:rsidR="00CA0A52">
        <w:rPr>
          <w:rFonts w:ascii="Times New Roman" w:hAnsi="Times New Roman" w:cs="Times New Roman"/>
        </w:rPr>
        <w:t>ud</w:t>
      </w:r>
      <w:r w:rsidR="0026393B" w:rsidRPr="0079716B">
        <w:rPr>
          <w:rFonts w:ascii="Times New Roman" w:hAnsi="Times New Roman" w:cs="Times New Roman"/>
        </w:rPr>
        <w:t>. (</w:t>
      </w:r>
      <w:r w:rsidR="0026393B">
        <w:rPr>
          <w:rFonts w:ascii="Times New Roman" w:hAnsi="Times New Roman" w:cs="Times New Roman"/>
        </w:rPr>
        <w:t xml:space="preserve">zob. </w:t>
      </w:r>
      <w:r w:rsidR="0026393B" w:rsidRPr="0079716B">
        <w:rPr>
          <w:rFonts w:ascii="Times New Roman" w:hAnsi="Times New Roman" w:cs="Times New Roman"/>
        </w:rPr>
        <w:t>wyrok Naczelnego Sądu Administracyjnego z dnia 14 lutego 2013 r. II OSK 1917/11</w:t>
      </w:r>
      <w:r w:rsidR="0026393B">
        <w:rPr>
          <w:rFonts w:ascii="Times New Roman" w:hAnsi="Times New Roman" w:cs="Times New Roman"/>
        </w:rPr>
        <w:t xml:space="preserve">, wyrok WSA w Olsztynie z dnia 16 września 2014 r., II SAB/Ol 76/14, wyrok WSA w Poznaniu z dnia </w:t>
      </w:r>
      <w:r w:rsidR="008C39B3">
        <w:rPr>
          <w:rFonts w:ascii="Times New Roman" w:hAnsi="Times New Roman" w:cs="Times New Roman"/>
        </w:rPr>
        <w:t xml:space="preserve">          </w:t>
      </w:r>
      <w:r w:rsidR="0026393B">
        <w:rPr>
          <w:rFonts w:ascii="Times New Roman" w:hAnsi="Times New Roman" w:cs="Times New Roman"/>
        </w:rPr>
        <w:t>24 kwietnia 2014 r. IV SA/Po 278/14</w:t>
      </w:r>
      <w:r w:rsidR="0026393B" w:rsidRPr="0079716B">
        <w:rPr>
          <w:rFonts w:ascii="Times New Roman" w:hAnsi="Times New Roman" w:cs="Times New Roman"/>
        </w:rPr>
        <w:t xml:space="preserve">). </w:t>
      </w:r>
    </w:p>
    <w:p w:rsidR="0026393B" w:rsidRDefault="0026393B" w:rsidP="0079716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9716B">
        <w:rPr>
          <w:rFonts w:ascii="Times New Roman" w:hAnsi="Times New Roman" w:cs="Times New Roman"/>
        </w:rPr>
        <w:t>W przedstawionym zadaniu organy nadzoru budowlanego obu instancji zastosowały przepis art. 66 ust. 1 pkt 3 Prawa budowlanego w sytuacji, w której nie wynika, aby ewentualne niezgodne z warunkami technicznymi zbliżenie budynku do granicy działki, było następstwem niewłaściwego użytkowania niniejszego budynku.</w:t>
      </w:r>
      <w:r>
        <w:rPr>
          <w:rFonts w:ascii="Times New Roman" w:hAnsi="Times New Roman" w:cs="Times New Roman"/>
        </w:rPr>
        <w:t xml:space="preserve"> </w:t>
      </w:r>
    </w:p>
    <w:p w:rsidR="0026393B" w:rsidRPr="0079716B" w:rsidRDefault="0026393B" w:rsidP="0079716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Nadto z materiału dow</w:t>
      </w:r>
      <w:r w:rsidR="00DC4444">
        <w:rPr>
          <w:rFonts w:ascii="Times New Roman" w:hAnsi="Times New Roman" w:cs="Times New Roman"/>
        </w:rPr>
        <w:t>odowego nie wynika w sposób nie</w:t>
      </w:r>
      <w:r>
        <w:rPr>
          <w:rFonts w:ascii="Times New Roman" w:hAnsi="Times New Roman" w:cs="Times New Roman"/>
        </w:rPr>
        <w:t xml:space="preserve">budzący wątpliwości, że organ pierwszej instancji w sposób prawidłowy ustalił przebieg granicy między działkami </w:t>
      </w:r>
      <w:r w:rsidR="008C39B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nr 116 i nr 117, a co za tym idzie prawidłową odległość spornego budynku od granicy.</w:t>
      </w:r>
      <w:r w:rsidR="00DC4444">
        <w:rPr>
          <w:rFonts w:ascii="Times New Roman" w:hAnsi="Times New Roman" w:cs="Times New Roman"/>
        </w:rPr>
        <w:t xml:space="preserve"> </w:t>
      </w:r>
      <w:r w:rsidR="00CA0A52">
        <w:rPr>
          <w:rFonts w:ascii="Times New Roman" w:hAnsi="Times New Roman" w:cs="Times New Roman"/>
        </w:rPr>
        <w:br/>
      </w:r>
      <w:r w:rsidR="00DC4444">
        <w:rPr>
          <w:rFonts w:ascii="Times New Roman" w:hAnsi="Times New Roman" w:cs="Times New Roman"/>
        </w:rPr>
        <w:t>Z materiału dowodowego</w:t>
      </w:r>
      <w:r w:rsidR="009D6D1C">
        <w:rPr>
          <w:rFonts w:ascii="Times New Roman" w:hAnsi="Times New Roman" w:cs="Times New Roman"/>
        </w:rPr>
        <w:t>,</w:t>
      </w:r>
      <w:r w:rsidR="00DC4444">
        <w:rPr>
          <w:rFonts w:ascii="Times New Roman" w:hAnsi="Times New Roman" w:cs="Times New Roman"/>
        </w:rPr>
        <w:t xml:space="preserve"> w tym z protokołu oględzin nie wynika bowiem</w:t>
      </w:r>
      <w:r w:rsidR="009D6D1C">
        <w:rPr>
          <w:rFonts w:ascii="Times New Roman" w:hAnsi="Times New Roman" w:cs="Times New Roman"/>
        </w:rPr>
        <w:t>,</w:t>
      </w:r>
      <w:r w:rsidR="00DC4444">
        <w:rPr>
          <w:rFonts w:ascii="Times New Roman" w:hAnsi="Times New Roman" w:cs="Times New Roman"/>
        </w:rPr>
        <w:t xml:space="preserve"> aby organ przy ustalaniu granicy posiłkował się mapami geodezyjnymi</w:t>
      </w:r>
      <w:r w:rsidR="009D6D1C">
        <w:rPr>
          <w:rFonts w:ascii="Times New Roman" w:hAnsi="Times New Roman" w:cs="Times New Roman"/>
        </w:rPr>
        <w:t>.</w:t>
      </w:r>
    </w:p>
    <w:p w:rsidR="0026393B" w:rsidRPr="0079716B" w:rsidRDefault="0026393B" w:rsidP="0079716B">
      <w:pPr>
        <w:spacing w:line="360" w:lineRule="auto"/>
        <w:jc w:val="both"/>
        <w:rPr>
          <w:rFonts w:ascii="Times New Roman" w:hAnsi="Times New Roman" w:cs="Times New Roman"/>
        </w:rPr>
      </w:pPr>
      <w:r w:rsidRPr="0079716B">
        <w:rPr>
          <w:rFonts w:ascii="Times New Roman" w:hAnsi="Times New Roman" w:cs="Times New Roman"/>
        </w:rPr>
        <w:tab/>
      </w:r>
      <w:r w:rsidR="00CA0A52">
        <w:rPr>
          <w:rFonts w:ascii="Times New Roman" w:hAnsi="Times New Roman" w:cs="Times New Roman"/>
        </w:rPr>
        <w:t>O</w:t>
      </w:r>
      <w:r w:rsidRPr="0079716B">
        <w:rPr>
          <w:rFonts w:ascii="Times New Roman" w:hAnsi="Times New Roman" w:cs="Times New Roman"/>
        </w:rPr>
        <w:t>rgany w ogóle nie ustaliły</w:t>
      </w:r>
      <w:r w:rsidR="00CA0A52">
        <w:rPr>
          <w:rFonts w:ascii="Times New Roman" w:hAnsi="Times New Roman" w:cs="Times New Roman"/>
        </w:rPr>
        <w:t xml:space="preserve"> również</w:t>
      </w:r>
      <w:r w:rsidR="00DC4444">
        <w:rPr>
          <w:rFonts w:ascii="Times New Roman" w:hAnsi="Times New Roman" w:cs="Times New Roman"/>
        </w:rPr>
        <w:t>,</w:t>
      </w:r>
      <w:r w:rsidRPr="0079716B">
        <w:rPr>
          <w:rFonts w:ascii="Times New Roman" w:hAnsi="Times New Roman" w:cs="Times New Roman"/>
        </w:rPr>
        <w:t xml:space="preserve"> jakie rozwiązani</w:t>
      </w:r>
      <w:r>
        <w:rPr>
          <w:rFonts w:ascii="Times New Roman" w:hAnsi="Times New Roman" w:cs="Times New Roman"/>
        </w:rPr>
        <w:t>e przewidywał projekt budowlany i w związku z tym,</w:t>
      </w:r>
      <w:r w:rsidRPr="0079716B">
        <w:rPr>
          <w:rFonts w:ascii="Times New Roman" w:hAnsi="Times New Roman" w:cs="Times New Roman"/>
        </w:rPr>
        <w:t xml:space="preserve"> czy inwestor realizując obiekt budowlany wykonał go </w:t>
      </w:r>
      <w:r w:rsidR="00DC4444">
        <w:rPr>
          <w:rFonts w:ascii="Times New Roman" w:hAnsi="Times New Roman" w:cs="Times New Roman"/>
        </w:rPr>
        <w:t>z</w:t>
      </w:r>
      <w:r w:rsidRPr="0079716B">
        <w:rPr>
          <w:rFonts w:ascii="Times New Roman" w:hAnsi="Times New Roman" w:cs="Times New Roman"/>
        </w:rPr>
        <w:t>godnie z tym projektem, a jeżeli nie</w:t>
      </w:r>
      <w:r w:rsidR="001931AF">
        <w:rPr>
          <w:rFonts w:ascii="Times New Roman" w:hAnsi="Times New Roman" w:cs="Times New Roman"/>
        </w:rPr>
        <w:t>,</w:t>
      </w:r>
      <w:r w:rsidRPr="0079716B">
        <w:rPr>
          <w:rFonts w:ascii="Times New Roman" w:hAnsi="Times New Roman" w:cs="Times New Roman"/>
        </w:rPr>
        <w:t xml:space="preserve"> to czy doszło do istotnych odstępstw od projektu budowlanego. To są kwestie, </w:t>
      </w:r>
      <w:r w:rsidR="00CA0A52">
        <w:rPr>
          <w:rFonts w:ascii="Times New Roman" w:hAnsi="Times New Roman" w:cs="Times New Roman"/>
        </w:rPr>
        <w:t>którymi powinny zająć się organy</w:t>
      </w:r>
      <w:r w:rsidRPr="0079716B">
        <w:rPr>
          <w:rFonts w:ascii="Times New Roman" w:hAnsi="Times New Roman" w:cs="Times New Roman"/>
        </w:rPr>
        <w:t xml:space="preserve"> nadzoru budowlanego, aby prawidłowo ukierunkować ewentualne dalsze postępowanie.</w:t>
      </w:r>
    </w:p>
    <w:p w:rsidR="0026393B" w:rsidRPr="007C1D5C" w:rsidRDefault="0026393B" w:rsidP="0079716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0A52" w:rsidRPr="0079716B" w:rsidRDefault="0026393B" w:rsidP="0044284D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9716B">
        <w:rPr>
          <w:rFonts w:ascii="Times New Roman" w:hAnsi="Times New Roman" w:cs="Times New Roman"/>
        </w:rPr>
        <w:t>.</w:t>
      </w:r>
      <w:r w:rsidRPr="0079716B">
        <w:rPr>
          <w:rFonts w:ascii="Times New Roman" w:hAnsi="Times New Roman" w:cs="Times New Roman"/>
        </w:rPr>
        <w:tab/>
        <w:t xml:space="preserve">W związku </w:t>
      </w:r>
      <w:r>
        <w:rPr>
          <w:rFonts w:ascii="Times New Roman" w:hAnsi="Times New Roman" w:cs="Times New Roman"/>
        </w:rPr>
        <w:t>z</w:t>
      </w:r>
      <w:r w:rsidRPr="0079716B">
        <w:rPr>
          <w:rFonts w:ascii="Times New Roman" w:hAnsi="Times New Roman" w:cs="Times New Roman"/>
        </w:rPr>
        <w:t xml:space="preserve"> tym, że organ odwoławczy (Wojewódzki Inspektor Nadzoru Budowlanego) utrzymał w mocy decyzję organu pierwszej instancji zasadnym jest wskazanie na naruszenie art. 138 § 1 pkt 1 k.p.a. Organ odwoławczy powinien zastosować </w:t>
      </w:r>
      <w:r w:rsidR="007F4B7F">
        <w:rPr>
          <w:rFonts w:ascii="Times New Roman" w:hAnsi="Times New Roman" w:cs="Times New Roman"/>
        </w:rPr>
        <w:t xml:space="preserve">                   </w:t>
      </w:r>
      <w:r w:rsidRPr="0079716B">
        <w:rPr>
          <w:rFonts w:ascii="Times New Roman" w:hAnsi="Times New Roman" w:cs="Times New Roman"/>
        </w:rPr>
        <w:t>art. 138</w:t>
      </w:r>
      <w:r w:rsidR="007F4B7F">
        <w:rPr>
          <w:rFonts w:ascii="Times New Roman" w:hAnsi="Times New Roman" w:cs="Times New Roman"/>
        </w:rPr>
        <w:t xml:space="preserve"> </w:t>
      </w:r>
      <w:r w:rsidRPr="0079716B">
        <w:rPr>
          <w:rFonts w:ascii="Times New Roman" w:hAnsi="Times New Roman" w:cs="Times New Roman"/>
        </w:rPr>
        <w:t>§ 2 k.p.a., gdyż z uwagi na brak prawidłowych ustaleń stanu faktycznego</w:t>
      </w:r>
      <w:r w:rsidR="001931AF">
        <w:rPr>
          <w:rFonts w:ascii="Times New Roman" w:hAnsi="Times New Roman" w:cs="Times New Roman"/>
        </w:rPr>
        <w:t>,</w:t>
      </w:r>
      <w:bookmarkStart w:id="0" w:name="_GoBack"/>
      <w:bookmarkEnd w:id="0"/>
      <w:r w:rsidRPr="0079716B">
        <w:rPr>
          <w:rFonts w:ascii="Times New Roman" w:hAnsi="Times New Roman" w:cs="Times New Roman"/>
        </w:rPr>
        <w:t xml:space="preserve"> jak i błędne uznanie, że w sprawie może mieć zastosowanie art. 66 ust. 1 pkt 3 Prawa budowlanego zachodzi konieczność wyjaśnienia sprawy w zakresie, który ma istotny wpływ na jej rozstrzygnięcie. </w:t>
      </w:r>
    </w:p>
    <w:sectPr w:rsidR="00CA0A52" w:rsidRPr="0079716B" w:rsidSect="007C1D5C">
      <w:footerReference w:type="default" r:id="rId7"/>
      <w:pgSz w:w="11900" w:h="16840" w:code="9"/>
      <w:pgMar w:top="851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A2" w:rsidRDefault="00DA43A2" w:rsidP="00EB6A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43A2" w:rsidRDefault="00DA43A2" w:rsidP="00EB6A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93B" w:rsidRPr="00A24328" w:rsidRDefault="0026393B" w:rsidP="00A24328">
    <w:pPr>
      <w:pStyle w:val="Stopka"/>
      <w:framePr w:wrap="auto" w:vAnchor="text" w:hAnchor="page" w:x="10409" w:y="-27"/>
      <w:rPr>
        <w:rStyle w:val="Numerstrony"/>
        <w:rFonts w:ascii="Times New Roman" w:hAnsi="Times New Roman" w:cs="Times New Roman"/>
        <w:sz w:val="22"/>
        <w:szCs w:val="22"/>
      </w:rPr>
    </w:pPr>
    <w:r w:rsidRPr="00A24328">
      <w:rPr>
        <w:rStyle w:val="Numerstrony"/>
        <w:rFonts w:ascii="Times New Roman" w:hAnsi="Times New Roman" w:cs="Times New Roman"/>
        <w:sz w:val="22"/>
        <w:szCs w:val="22"/>
      </w:rPr>
      <w:fldChar w:fldCharType="begin"/>
    </w:r>
    <w:r w:rsidRPr="00A24328">
      <w:rPr>
        <w:rStyle w:val="Numerstrony"/>
        <w:rFonts w:ascii="Times New Roman" w:hAnsi="Times New Roman" w:cs="Times New Roman"/>
        <w:sz w:val="22"/>
        <w:szCs w:val="22"/>
      </w:rPr>
      <w:instrText xml:space="preserve">PAGE  </w:instrText>
    </w:r>
    <w:r w:rsidRPr="00A24328">
      <w:rPr>
        <w:rStyle w:val="Numerstrony"/>
        <w:rFonts w:ascii="Times New Roman" w:hAnsi="Times New Roman" w:cs="Times New Roman"/>
        <w:sz w:val="22"/>
        <w:szCs w:val="22"/>
      </w:rPr>
      <w:fldChar w:fldCharType="separate"/>
    </w:r>
    <w:r w:rsidR="001931AF">
      <w:rPr>
        <w:rStyle w:val="Numerstrony"/>
        <w:rFonts w:ascii="Times New Roman" w:hAnsi="Times New Roman" w:cs="Times New Roman"/>
        <w:noProof/>
        <w:sz w:val="22"/>
        <w:szCs w:val="22"/>
      </w:rPr>
      <w:t>2</w:t>
    </w:r>
    <w:r w:rsidRPr="00A24328">
      <w:rPr>
        <w:rStyle w:val="Numerstrony"/>
        <w:rFonts w:ascii="Times New Roman" w:hAnsi="Times New Roman" w:cs="Times New Roman"/>
        <w:sz w:val="22"/>
        <w:szCs w:val="22"/>
      </w:rPr>
      <w:fldChar w:fldCharType="end"/>
    </w:r>
  </w:p>
  <w:p w:rsidR="0026393B" w:rsidRDefault="0026393B" w:rsidP="00EB6A95">
    <w:pPr>
      <w:pStyle w:val="Stopka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A2" w:rsidRDefault="00DA43A2" w:rsidP="00EB6A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43A2" w:rsidRDefault="00DA43A2" w:rsidP="00EB6A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9F"/>
    <w:rsid w:val="00125EC5"/>
    <w:rsid w:val="00134D41"/>
    <w:rsid w:val="001623BE"/>
    <w:rsid w:val="00176063"/>
    <w:rsid w:val="001931AF"/>
    <w:rsid w:val="00220767"/>
    <w:rsid w:val="0026393B"/>
    <w:rsid w:val="002A6C2D"/>
    <w:rsid w:val="002F26BC"/>
    <w:rsid w:val="003639F4"/>
    <w:rsid w:val="003651FD"/>
    <w:rsid w:val="003C1863"/>
    <w:rsid w:val="003C7FC6"/>
    <w:rsid w:val="0044284D"/>
    <w:rsid w:val="00444E27"/>
    <w:rsid w:val="004B6764"/>
    <w:rsid w:val="00540D1A"/>
    <w:rsid w:val="00585067"/>
    <w:rsid w:val="00593A98"/>
    <w:rsid w:val="00597E80"/>
    <w:rsid w:val="005B78E7"/>
    <w:rsid w:val="006257B2"/>
    <w:rsid w:val="006308A5"/>
    <w:rsid w:val="006415F3"/>
    <w:rsid w:val="00641CDD"/>
    <w:rsid w:val="00651247"/>
    <w:rsid w:val="006C669F"/>
    <w:rsid w:val="00705356"/>
    <w:rsid w:val="00795B8B"/>
    <w:rsid w:val="0079716B"/>
    <w:rsid w:val="007A6E38"/>
    <w:rsid w:val="007C1D5C"/>
    <w:rsid w:val="007F4B7F"/>
    <w:rsid w:val="00846BF2"/>
    <w:rsid w:val="00856878"/>
    <w:rsid w:val="008B294C"/>
    <w:rsid w:val="008C39B3"/>
    <w:rsid w:val="008D46DD"/>
    <w:rsid w:val="008F0BF0"/>
    <w:rsid w:val="009D52DE"/>
    <w:rsid w:val="009D6D1C"/>
    <w:rsid w:val="00A24328"/>
    <w:rsid w:val="00AB4561"/>
    <w:rsid w:val="00AB7643"/>
    <w:rsid w:val="00AE01C3"/>
    <w:rsid w:val="00AF47BA"/>
    <w:rsid w:val="00B41E59"/>
    <w:rsid w:val="00B778EC"/>
    <w:rsid w:val="00B95E3B"/>
    <w:rsid w:val="00BB31C5"/>
    <w:rsid w:val="00BB5A9F"/>
    <w:rsid w:val="00C23805"/>
    <w:rsid w:val="00C53408"/>
    <w:rsid w:val="00C80D4F"/>
    <w:rsid w:val="00C86B4C"/>
    <w:rsid w:val="00C9074D"/>
    <w:rsid w:val="00CA0A52"/>
    <w:rsid w:val="00DA43A2"/>
    <w:rsid w:val="00DC4444"/>
    <w:rsid w:val="00E57332"/>
    <w:rsid w:val="00E72962"/>
    <w:rsid w:val="00E74A32"/>
    <w:rsid w:val="00E84160"/>
    <w:rsid w:val="00EB6A95"/>
    <w:rsid w:val="00EF7981"/>
    <w:rsid w:val="00F164EF"/>
    <w:rsid w:val="00F2145D"/>
    <w:rsid w:val="00F6319A"/>
    <w:rsid w:val="00FA2D5F"/>
    <w:rsid w:val="00FB0566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BF0"/>
    <w:rPr>
      <w:rFonts w:cs="Cambr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B6A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B6A95"/>
    <w:rPr>
      <w:lang w:val="pl-PL"/>
    </w:rPr>
  </w:style>
  <w:style w:type="character" w:styleId="Numerstrony">
    <w:name w:val="page number"/>
    <w:basedOn w:val="Domylnaczcionkaakapitu"/>
    <w:uiPriority w:val="99"/>
    <w:semiHidden/>
    <w:rsid w:val="00EB6A95"/>
  </w:style>
  <w:style w:type="paragraph" w:styleId="Tekstdymka">
    <w:name w:val="Balloon Text"/>
    <w:basedOn w:val="Normalny"/>
    <w:link w:val="TekstdymkaZnak"/>
    <w:uiPriority w:val="99"/>
    <w:semiHidden/>
    <w:unhideWhenUsed/>
    <w:rsid w:val="00CA0A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A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4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4328"/>
    <w:rPr>
      <w:rFonts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BF0"/>
    <w:rPr>
      <w:rFonts w:cs="Cambr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B6A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B6A95"/>
    <w:rPr>
      <w:lang w:val="pl-PL"/>
    </w:rPr>
  </w:style>
  <w:style w:type="character" w:styleId="Numerstrony">
    <w:name w:val="page number"/>
    <w:basedOn w:val="Domylnaczcionkaakapitu"/>
    <w:uiPriority w:val="99"/>
    <w:semiHidden/>
    <w:rsid w:val="00EB6A95"/>
  </w:style>
  <w:style w:type="paragraph" w:styleId="Tekstdymka">
    <w:name w:val="Balloon Text"/>
    <w:basedOn w:val="Normalny"/>
    <w:link w:val="TekstdymkaZnak"/>
    <w:uiPriority w:val="99"/>
    <w:semiHidden/>
    <w:unhideWhenUsed/>
    <w:rsid w:val="00CA0A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A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4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4328"/>
    <w:rPr>
      <w:rFonts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NSA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</dc:creator>
  <cp:lastModifiedBy>egzamin radcowski</cp:lastModifiedBy>
  <cp:revision>16</cp:revision>
  <cp:lastPrinted>2016-01-08T09:45:00Z</cp:lastPrinted>
  <dcterms:created xsi:type="dcterms:W3CDTF">2015-12-01T17:05:00Z</dcterms:created>
  <dcterms:modified xsi:type="dcterms:W3CDTF">2016-02-25T15:30:00Z</dcterms:modified>
</cp:coreProperties>
</file>