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keepLines/>
        <w:widowControl w:val="0"/>
        <w:shd w:val="clear" w:color="auto" w:fill="auto"/>
        <w:bidi w:val="0"/>
        <w:spacing w:before="0" w:after="0" w:line="240" w:lineRule="auto"/>
        <w:ind w:left="0" w:right="0" w:firstLine="0"/>
        <w:jc w:val="left"/>
      </w:pPr>
      <w:r>
        <w:drawing>
          <wp:anchor distT="0" distB="0" distL="0" distR="0" simplePos="0" relativeHeight="125829378" behindDoc="0" locked="0" layoutInCell="1" allowOverlap="1">
            <wp:simplePos x="0" y="0"/>
            <wp:positionH relativeFrom="page">
              <wp:posOffset>477520</wp:posOffset>
            </wp:positionH>
            <wp:positionV relativeFrom="paragraph">
              <wp:posOffset>-50800</wp:posOffset>
            </wp:positionV>
            <wp:extent cx="719455" cy="780415"/>
            <wp:wrapSquare wrapText="bothSides"/>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719455" cy="780415"/>
                    </a:xfrm>
                    <a:prstGeom prst="rect"/>
                  </pic:spPr>
                </pic:pic>
              </a:graphicData>
            </a:graphic>
          </wp:anchor>
        </w:drawing>
      </w:r>
      <w:bookmarkStart w:id="0" w:name="bookmark0"/>
      <w:r>
        <w:rPr>
          <w:rStyle w:val="CharStyle7"/>
        </w:rPr>
        <w:t>Minister</w:t>
      </w:r>
      <w:bookmarkEnd w:id="0"/>
    </w:p>
    <w:p>
      <w:pPr>
        <w:pStyle w:val="Style6"/>
        <w:keepNext/>
        <w:keepLines/>
        <w:widowControl w:val="0"/>
        <w:shd w:val="clear" w:color="auto" w:fill="auto"/>
        <w:bidi w:val="0"/>
        <w:spacing w:before="0" w:after="320" w:line="218" w:lineRule="auto"/>
        <w:ind w:left="0" w:right="0" w:firstLine="0"/>
        <w:jc w:val="left"/>
      </w:pPr>
      <w:r>
        <w:rPr>
          <w:rStyle w:val="CharStyle7"/>
        </w:rPr>
        <w:t>Klimatu i Środowiska</w:t>
      </w:r>
    </w:p>
    <w:p>
      <w:pPr>
        <w:pStyle w:val="Style8"/>
        <w:keepNext w:val="0"/>
        <w:keepLines w:val="0"/>
        <w:widowControl w:val="0"/>
        <w:shd w:val="clear" w:color="auto" w:fill="auto"/>
        <w:bidi w:val="0"/>
        <w:spacing w:before="0" w:after="0" w:line="240" w:lineRule="auto"/>
        <w:ind w:left="0" w:right="0" w:firstLine="0"/>
        <w:jc w:val="left"/>
      </w:pPr>
      <w:r>
        <w:rPr>
          <w:rStyle w:val="CharStyle9"/>
        </w:rPr>
        <w:t>DIŚ-V.053.3.2026.MO</w:t>
      </w:r>
    </w:p>
    <w:p>
      <w:pPr>
        <w:pStyle w:val="Style8"/>
        <w:keepNext w:val="0"/>
        <w:keepLines w:val="0"/>
        <w:widowControl w:val="0"/>
        <w:shd w:val="clear" w:color="auto" w:fill="auto"/>
        <w:bidi w:val="0"/>
        <w:spacing w:before="0" w:after="0" w:line="240" w:lineRule="auto"/>
        <w:ind w:left="0" w:right="0" w:firstLine="0"/>
        <w:jc w:val="left"/>
        <w:rPr>
          <w:sz w:val="18"/>
          <w:szCs w:val="18"/>
        </w:rPr>
      </w:pPr>
      <w:r>
        <w:rPr>
          <w:rStyle w:val="CharStyle9"/>
          <w:sz w:val="18"/>
          <w:szCs w:val="18"/>
        </w:rPr>
        <w:t>4443848.18836512.15172986</w:t>
      </w:r>
    </w:p>
    <w:p>
      <w:pPr>
        <w:pStyle w:val="Style8"/>
        <w:keepNext w:val="0"/>
        <w:keepLines w:val="0"/>
        <w:widowControl w:val="0"/>
        <w:shd w:val="clear" w:color="auto" w:fill="auto"/>
        <w:bidi w:val="0"/>
        <w:spacing w:before="0" w:after="700" w:line="240" w:lineRule="auto"/>
        <w:ind w:left="0" w:right="0" w:firstLine="0"/>
        <w:jc w:val="left"/>
      </w:pPr>
      <w:r>
        <w:rPr>
          <w:rStyle w:val="CharStyle9"/>
        </w:rPr>
        <w:t>Warszawa, 21-09-2026</w:t>
      </w:r>
    </w:p>
    <w:p>
      <w:pPr>
        <w:pStyle w:val="Style8"/>
        <w:keepNext w:val="0"/>
        <w:keepLines w:val="0"/>
        <w:widowControl w:val="0"/>
        <w:shd w:val="clear" w:color="auto" w:fill="auto"/>
        <w:bidi w:val="0"/>
        <w:spacing w:before="0" w:after="1380" w:line="240" w:lineRule="auto"/>
        <w:ind w:left="0" w:right="0" w:firstLine="0"/>
        <w:jc w:val="left"/>
      </w:pPr>
      <w:r>
        <w:rPr>
          <w:rStyle w:val="CharStyle9"/>
          <w:b/>
          <w:bCs/>
        </w:rPr>
        <w:t>Pan</w:t>
      </w:r>
    </w:p>
    <w:p>
      <w:pPr>
        <w:pStyle w:val="Style8"/>
        <w:keepNext w:val="0"/>
        <w:keepLines w:val="0"/>
        <w:widowControl w:val="0"/>
        <w:shd w:val="clear" w:color="auto" w:fill="auto"/>
        <w:bidi w:val="0"/>
        <w:spacing w:before="0"/>
        <w:ind w:left="0" w:right="0" w:firstLine="0"/>
        <w:jc w:val="left"/>
      </w:pPr>
      <w:r>
        <w:rPr>
          <w:rStyle w:val="CharStyle9"/>
        </w:rPr>
        <w:t>Szanowny Panie,</w:t>
      </w:r>
    </w:p>
    <w:p>
      <w:pPr>
        <w:pStyle w:val="Style8"/>
        <w:keepNext w:val="0"/>
        <w:keepLines w:val="0"/>
        <w:widowControl w:val="0"/>
        <w:shd w:val="clear" w:color="auto" w:fill="auto"/>
        <w:bidi w:val="0"/>
        <w:spacing w:before="0"/>
        <w:ind w:left="0" w:right="0" w:firstLine="0"/>
        <w:jc w:val="both"/>
      </w:pPr>
      <w:r>
        <w:rPr>
          <w:rStyle w:val="CharStyle9"/>
        </w:rPr>
        <w:t>W odpowiedzi na pismo z dnia 29 czerwca br., znak: w sprawie nowelizacji przepisu kompetencyjnego art. 378 ust. 2a pkt 1 w zw. z art. 3 pkt 48 ustawy z dnia 27 kwietnia 2001 r. – Prawo ochrony środowiska</w:t>
      </w:r>
      <w:r>
        <w:rPr>
          <w:rStyle w:val="CharStyle9"/>
          <w:vertAlign w:val="superscript"/>
        </w:rPr>
        <w:footnoteReference w:id="2"/>
      </w:r>
      <w:r>
        <w:rPr>
          <w:rStyle w:val="CharStyle9"/>
        </w:rPr>
        <w:t>, zwanej dalej ustawą Poś, w stosunku do eksploatacji przedsięwzięć liniowych, w szczególności linii kolejowych, uprzejmie informuję co następuje.</w:t>
      </w:r>
    </w:p>
    <w:p>
      <w:pPr>
        <w:pStyle w:val="Style8"/>
        <w:keepNext w:val="0"/>
        <w:keepLines w:val="0"/>
        <w:widowControl w:val="0"/>
        <w:shd w:val="clear" w:color="auto" w:fill="auto"/>
        <w:bidi w:val="0"/>
        <w:spacing w:before="0"/>
        <w:ind w:left="0" w:right="0" w:firstLine="0"/>
        <w:jc w:val="both"/>
      </w:pPr>
      <w:r>
        <w:rPr>
          <w:rStyle w:val="CharStyle9"/>
        </w:rPr>
        <w:t>Na wstępie należy wskazać, że w myśl art. 3 pkt 6 lit. c) ustawy z dnia 27 kwietnia 2001 r. ustawy Poś, poprzez instalację rozumie się m.in. budowle niebędące urządzeniami technicznymi ani ich zespołami, których eksploatacja może wywołać emisję. Zgodnie natomiast z art. 3 pkt 3 oraz 3a ustawy z dnia 7 lipca 1994 r. Prawo budowlane</w:t>
      </w:r>
      <w:r>
        <w:rPr>
          <w:rStyle w:val="CharStyle9"/>
          <w:vertAlign w:val="superscript"/>
        </w:rPr>
        <w:footnoteReference w:id="3"/>
      </w:r>
      <w:r>
        <w:rPr>
          <w:rStyle w:val="CharStyle9"/>
        </w:rPr>
        <w:t xml:space="preserve"> poprzez budowlę należy natomiast rozumieć każdy obiekt budowlany niebędący budynkiem lub obiektem małej architektury, jak: obiekty liniowe, do których zaliczane są m.in. drogi i linie kolejowe.</w:t>
      </w:r>
    </w:p>
    <w:p>
      <w:pPr>
        <w:pStyle w:val="Style8"/>
        <w:keepNext w:val="0"/>
        <w:keepLines w:val="0"/>
        <w:widowControl w:val="0"/>
        <w:shd w:val="clear" w:color="auto" w:fill="auto"/>
        <w:bidi w:val="0"/>
        <w:spacing w:before="0"/>
        <w:ind w:left="0" w:right="0" w:firstLine="0"/>
        <w:jc w:val="both"/>
      </w:pPr>
      <w:r>
        <w:rPr>
          <w:rStyle w:val="CharStyle9"/>
        </w:rPr>
        <w:t>Z uwagi na powyższe, drogi i linie kolejowe należy uznać za instalacje. Niemniej jednak, z uwagi na to, że obiekty infrastruktury liniowej są specyficznym rodzajem budowli, ustawa prawo ochrony środowiska dokonuje ich rozróżnienia od pozostałych instalacji. Przede wszystkim należy zauważyć, że dopuszczalne poziomy hałasu zawarte w rozporządzeniu Ministra Środowiska z dnia 14 czerwca 2007 r., w sprawie dopuszczalnych poziomów hałasu w środowisku</w:t>
      </w:r>
      <w:r>
        <w:rPr>
          <w:rStyle w:val="CharStyle9"/>
          <w:vertAlign w:val="superscript"/>
        </w:rPr>
        <w:footnoteReference w:id="4"/>
      </w:r>
      <w:r>
        <w:rPr>
          <w:rStyle w:val="CharStyle9"/>
        </w:rPr>
        <w:t>, określone zostały z uwzględnieniem rodzaju obiektu lub działalności będącej źródłem hałasu. Dopuszczalne poziomy hałasu zostały w nim wyznaczone oddzielnie dla dróg i linii kolejowych oraz pozostałych obiektów i działalności generujących hałas.</w:t>
      </w:r>
    </w:p>
    <w:p>
      <w:pPr>
        <w:pStyle w:val="Style8"/>
        <w:keepNext w:val="0"/>
        <w:keepLines w:val="0"/>
        <w:widowControl w:val="0"/>
        <w:shd w:val="clear" w:color="auto" w:fill="auto"/>
        <w:bidi w:val="0"/>
        <w:spacing w:before="0" w:line="264" w:lineRule="auto"/>
        <w:ind w:left="0" w:right="0" w:firstLine="0"/>
        <w:jc w:val="both"/>
      </w:pPr>
      <w:r>
        <w:rPr>
          <w:rStyle w:val="CharStyle9"/>
        </w:rPr>
        <w:t>Jednocześnie, ustawodawca w art. 115a ust. 2 ustawy Poś, wyraźnie wskazuje, że w przypadku, gdy hałas powstaje w związku z eksploatacją dróg, linii kolejowych, linii tramwajowych, kolei linowych, portów oraz lotnisk lub z w związku działalnością osoby fizycznej niebędącej przedsiębiorcą, nie wydaje się decyzji, o której mowa w ust 1 przywołanego przepisu, w przypadku przekroczenia dopuszczalnych poziomów hałasu poza zakładem.</w:t>
      </w:r>
    </w:p>
    <w:p>
      <w:pPr>
        <w:pStyle w:val="Style8"/>
        <w:keepNext w:val="0"/>
        <w:keepLines w:val="0"/>
        <w:widowControl w:val="0"/>
        <w:shd w:val="clear" w:color="auto" w:fill="auto"/>
        <w:bidi w:val="0"/>
        <w:spacing w:before="0" w:after="400" w:line="286" w:lineRule="auto"/>
        <w:ind w:left="0" w:right="0" w:firstLine="0"/>
        <w:jc w:val="both"/>
      </w:pPr>
      <w:r>
        <w:rPr>
          <w:rStyle w:val="CharStyle9"/>
        </w:rPr>
        <w:t>Należy także wskazać, że cechą charakterystyczną obiektów infrastruktury liniowej jest ich różnorodność. Poszczególne odcinki dróg lub linii kolejowych mogą różnić się pod</w:t>
      </w:r>
    </w:p>
    <w:p>
      <w:pPr>
        <w:pStyle w:val="Style8"/>
        <w:keepNext w:val="0"/>
        <w:keepLines w:val="0"/>
        <w:widowControl w:val="0"/>
        <w:numPr>
          <w:ilvl w:val="0"/>
          <w:numId w:val="1"/>
        </w:numPr>
        <w:shd w:val="clear" w:color="auto" w:fill="auto"/>
        <w:tabs>
          <w:tab w:pos="225" w:val="left"/>
        </w:tabs>
        <w:bidi w:val="0"/>
        <w:spacing w:before="0" w:after="0" w:line="240" w:lineRule="auto"/>
        <w:ind w:left="0" w:right="0" w:firstLine="0"/>
        <w:jc w:val="both"/>
      </w:pPr>
      <w:r>
        <w:rPr>
          <w:rStyle w:val="CharStyle9"/>
        </w:rPr>
        <w:t>Dz. U. z 2025 r. poz. 647 z późn. zm.</w:t>
      </w:r>
    </w:p>
    <w:p>
      <w:pPr>
        <w:pStyle w:val="Style8"/>
        <w:keepNext w:val="0"/>
        <w:keepLines w:val="0"/>
        <w:widowControl w:val="0"/>
        <w:numPr>
          <w:ilvl w:val="0"/>
          <w:numId w:val="1"/>
        </w:numPr>
        <w:shd w:val="clear" w:color="auto" w:fill="auto"/>
        <w:tabs>
          <w:tab w:pos="235" w:val="left"/>
        </w:tabs>
        <w:bidi w:val="0"/>
        <w:spacing w:before="0" w:after="0" w:line="240" w:lineRule="auto"/>
        <w:ind w:left="0" w:right="0" w:firstLine="0"/>
        <w:jc w:val="both"/>
      </w:pPr>
      <w:r>
        <w:rPr>
          <w:rStyle w:val="CharStyle9"/>
        </w:rPr>
        <w:t>Dz. U. z 2026 r. poz. 524, z późn. zm.</w:t>
      </w:r>
    </w:p>
    <w:p>
      <w:pPr>
        <w:pStyle w:val="Style8"/>
        <w:keepNext w:val="0"/>
        <w:keepLines w:val="0"/>
        <w:widowControl w:val="0"/>
        <w:numPr>
          <w:ilvl w:val="0"/>
          <w:numId w:val="1"/>
        </w:numPr>
        <w:shd w:val="clear" w:color="auto" w:fill="auto"/>
        <w:tabs>
          <w:tab w:pos="235" w:val="left"/>
        </w:tabs>
        <w:bidi w:val="0"/>
        <w:spacing w:before="0" w:after="220" w:line="240" w:lineRule="auto"/>
        <w:ind w:left="0" w:right="0" w:firstLine="0"/>
        <w:jc w:val="both"/>
      </w:pPr>
      <w:r>
        <w:rPr>
          <w:rStyle w:val="CharStyle9"/>
        </w:rPr>
        <w:t>Dz.U. 2014 poz. 112.</w:t>
      </w:r>
    </w:p>
    <w:p>
      <w:pPr>
        <w:pStyle w:val="Style8"/>
        <w:keepNext w:val="0"/>
        <w:keepLines w:val="0"/>
        <w:widowControl w:val="0"/>
        <w:shd w:val="clear" w:color="auto" w:fill="auto"/>
        <w:bidi w:val="0"/>
        <w:spacing w:before="0" w:line="286" w:lineRule="auto"/>
        <w:ind w:left="0" w:right="0" w:firstLine="0"/>
        <w:jc w:val="both"/>
      </w:pPr>
      <w:r>
        <w:rPr>
          <w:rStyle w:val="CharStyle9"/>
        </w:rPr>
        <w:t>względem obciążenia ruchem i być zaliczane do głównych, w przypadku, gdy przejeżdża po nich rocznie więcej niż 3 miliony pojazdów lub ponad 30 tysięcy pociągów (art. 112a pkt 2 i 3 ustawy Poś). Ponadto, obiekty te, mogą stanowić przedsięwzięcia mogące zawsze znacząco oddziaływać na środowisko w rozumieniu ustawy z dnia 3 października 2008 r. o udostępnianiu informacji o środowisku i jego ochronie, udziale społeczeństwa w ochronie środowiska oraz o ocenach oddziaływania na środowisko</w:t>
      </w:r>
      <w:r>
        <w:rPr>
          <w:rStyle w:val="CharStyle9"/>
          <w:vertAlign w:val="superscript"/>
        </w:rPr>
        <w:footnoteReference w:id="5"/>
      </w:r>
      <w:r>
        <w:rPr>
          <w:rStyle w:val="CharStyle9"/>
        </w:rPr>
        <w:t>. Nie bez znaczenia pozostaje również odmienny sposób faktycznego zagospodarowania terenów, znajdujących się w sąsiedztwie tych obiektów.</w:t>
      </w:r>
    </w:p>
    <w:p>
      <w:pPr>
        <w:pStyle w:val="Style8"/>
        <w:keepNext w:val="0"/>
        <w:keepLines w:val="0"/>
        <w:widowControl w:val="0"/>
        <w:shd w:val="clear" w:color="auto" w:fill="auto"/>
        <w:bidi w:val="0"/>
        <w:spacing w:before="0" w:line="286" w:lineRule="auto"/>
        <w:ind w:left="0" w:right="0" w:firstLine="0"/>
        <w:jc w:val="both"/>
      </w:pPr>
      <w:r>
        <w:rPr>
          <w:rStyle w:val="CharStyle9"/>
        </w:rPr>
        <w:t>Z uwagi na powyższe, zaliczanie całej sieci kolejowej, zarządzanej przykładowo przez PKP Polskie Linie Kolejowe S.A. lub drogowej, zarządzanej przez Generalną Dyrekcję Dróg Krajowych i Autostrad, jako jednego zakładu nie znajduje uzasadnienia. Dlatego też, ustawodawca zdecydował się na wprowadzenie rozróżnienia w zakresie organów właściwych w odniesieniu do określonych kategorii spraw. Zgodnie z art. 378 ust. 1 ustawy Poś, organem właściwym w sprawach negatywnego oddziaływania dróg i linii kolejowych jest starosta.</w:t>
      </w:r>
    </w:p>
    <w:p>
      <w:pPr>
        <w:pStyle w:val="Style8"/>
        <w:keepNext w:val="0"/>
        <w:keepLines w:val="0"/>
        <w:widowControl w:val="0"/>
        <w:shd w:val="clear" w:color="auto" w:fill="auto"/>
        <w:bidi w:val="0"/>
        <w:spacing w:before="0" w:line="286" w:lineRule="auto"/>
        <w:ind w:left="0" w:right="0" w:firstLine="0"/>
        <w:jc w:val="both"/>
      </w:pPr>
      <w:r>
        <w:rPr>
          <w:rStyle w:val="CharStyle9"/>
        </w:rPr>
        <w:t>Jednakże, w odniesieniu do:</w:t>
      </w:r>
    </w:p>
    <w:p>
      <w:pPr>
        <w:pStyle w:val="Style8"/>
        <w:keepNext w:val="0"/>
        <w:keepLines w:val="0"/>
        <w:widowControl w:val="0"/>
        <w:shd w:val="clear" w:color="auto" w:fill="auto"/>
        <w:bidi w:val="0"/>
        <w:spacing w:before="0" w:line="286" w:lineRule="auto"/>
        <w:ind w:left="0" w:right="0" w:firstLine="0"/>
        <w:jc w:val="both"/>
      </w:pPr>
      <w:r>
        <w:rPr>
          <w:rStyle w:val="CharStyle9"/>
        </w:rPr>
        <w:t>-przedsięwzięć i zdarzeń na terenach zamkniętych ustalonych przez Ministra Obrony Narodowej, właściwy pozostaje regionalny dyrektor ochrony środowiska (art. 378 ust.2 Poś),</w:t>
      </w:r>
    </w:p>
    <w:p>
      <w:pPr>
        <w:pStyle w:val="Style8"/>
        <w:keepNext w:val="0"/>
        <w:keepLines w:val="0"/>
        <w:widowControl w:val="0"/>
        <w:numPr>
          <w:ilvl w:val="0"/>
          <w:numId w:val="3"/>
        </w:numPr>
        <w:shd w:val="clear" w:color="auto" w:fill="auto"/>
        <w:tabs>
          <w:tab w:pos="193" w:val="left"/>
        </w:tabs>
        <w:bidi w:val="0"/>
        <w:spacing w:before="0" w:line="286" w:lineRule="auto"/>
        <w:ind w:left="0" w:right="0" w:firstLine="0"/>
        <w:jc w:val="both"/>
      </w:pPr>
      <w:r>
        <w:rPr>
          <w:rStyle w:val="CharStyle9"/>
        </w:rPr>
        <w:t>przedsięwzięć mogących zawsze znacząco oddziaływać na środowisko w rozumieniu ustawy z dnia 3 października 2008 r. o udostępnianiu informacji o środowisku i jego ochronie, udziale społeczeństwa w ochronie środowiska oraz o ocenach oddziaływania na środowisko, właściwy pozostaje marszałek województwa (art. 378 ust. 2a pkt 2).</w:t>
      </w:r>
    </w:p>
    <w:p>
      <w:pPr>
        <w:pStyle w:val="Style8"/>
        <w:keepNext w:val="0"/>
        <w:keepLines w:val="0"/>
        <w:widowControl w:val="0"/>
        <w:shd w:val="clear" w:color="auto" w:fill="auto"/>
        <w:bidi w:val="0"/>
        <w:spacing w:before="0" w:line="286" w:lineRule="auto"/>
        <w:ind w:left="0" w:right="0" w:firstLine="0"/>
        <w:jc w:val="both"/>
      </w:pPr>
      <w:r>
        <w:rPr>
          <w:rStyle w:val="CharStyle9"/>
          <w:u w:val="single"/>
        </w:rPr>
        <w:t>Ponadto, ustawa Poś w art. 378 ust. 2a, dokonuje rozróżnienia pomiędzy przedsięwzięciami i zdarzeniami na terenach zakładów, gdzie eksploatowana jest instalacja, która jest kwalifikowana jako przedsięwzięcie mogące zawsze znacząco oddziaływać na środowisko od pozostałych przedsięwzięć mogących zawsze znacząco oddziaływać na środowisko, do jakich należą drogi i linie kolejowe (art. 378 ust. 2a pkt 2).</w:t>
      </w:r>
    </w:p>
    <w:p>
      <w:pPr>
        <w:pStyle w:val="Style8"/>
        <w:keepNext w:val="0"/>
        <w:keepLines w:val="0"/>
        <w:widowControl w:val="0"/>
        <w:shd w:val="clear" w:color="auto" w:fill="auto"/>
        <w:bidi w:val="0"/>
        <w:spacing w:before="0" w:line="286" w:lineRule="auto"/>
        <w:ind w:left="0" w:right="0" w:firstLine="0"/>
        <w:jc w:val="both"/>
      </w:pPr>
      <w:r>
        <w:rPr>
          <w:rStyle w:val="CharStyle9"/>
        </w:rPr>
        <w:t>Natomiast zgodnie z rozporządzeniem Rady Ministrów z dnia września 2019 r. w sprawie przedsięwzięć mogących znacząco oddziaływać na środowisko</w:t>
      </w:r>
      <w:r>
        <w:rPr>
          <w:rStyle w:val="CharStyle9"/>
          <w:vertAlign w:val="superscript"/>
        </w:rPr>
        <w:footnoteReference w:id="6"/>
      </w:r>
      <w:r>
        <w:rPr>
          <w:rStyle w:val="CharStyle9"/>
        </w:rPr>
        <w:t>, jako przedsięwzięcia mogące zawsze znacząco oddziaływać na środowisko, należy rozumieć m.in.:</w:t>
      </w:r>
    </w:p>
    <w:p>
      <w:pPr>
        <w:pStyle w:val="Style8"/>
        <w:keepNext w:val="0"/>
        <w:keepLines w:val="0"/>
        <w:widowControl w:val="0"/>
        <w:numPr>
          <w:ilvl w:val="0"/>
          <w:numId w:val="3"/>
        </w:numPr>
        <w:shd w:val="clear" w:color="auto" w:fill="auto"/>
        <w:tabs>
          <w:tab w:pos="193" w:val="left"/>
        </w:tabs>
        <w:bidi w:val="0"/>
        <w:spacing w:before="0" w:line="286" w:lineRule="auto"/>
        <w:ind w:left="0" w:right="0" w:firstLine="0"/>
        <w:jc w:val="both"/>
      </w:pPr>
      <w:r>
        <w:rPr>
          <w:rStyle w:val="CharStyle9"/>
        </w:rPr>
        <w:t>linie kolejowe wchodzące w skład infrastruktury transportu kolejowego transeuropejskiej sieci transportowej, o której mowa w rozporządzeniu Parlamentu Europejskiego i Rady (UE) nr 1315/2013 z dnia 11 grudnia 2013 r. w sprawie unijnych wytycznych dotyczących rozwoju transeuropejskiej sieci transportowej i uchylającym decyzję nr 661/2010/UE6 - § 2 ust. 1 pkt 29 ww. rozporządzenia;</w:t>
      </w:r>
    </w:p>
    <w:p>
      <w:pPr>
        <w:pStyle w:val="Style8"/>
        <w:keepNext w:val="0"/>
        <w:keepLines w:val="0"/>
        <w:widowControl w:val="0"/>
        <w:numPr>
          <w:ilvl w:val="0"/>
          <w:numId w:val="3"/>
        </w:numPr>
        <w:shd w:val="clear" w:color="auto" w:fill="auto"/>
        <w:tabs>
          <w:tab w:pos="188" w:val="left"/>
        </w:tabs>
        <w:bidi w:val="0"/>
        <w:spacing w:before="0" w:line="286" w:lineRule="auto"/>
        <w:ind w:left="0" w:right="0" w:firstLine="0"/>
        <w:jc w:val="both"/>
      </w:pPr>
      <w:r>
        <w:rPr>
          <w:rStyle w:val="CharStyle9"/>
        </w:rPr>
        <w:t>autostrady i drogi ekspresowe - § 2 ust. 1 pkt 31 ww. rozporządzenia;</w:t>
      </w:r>
    </w:p>
    <w:p>
      <w:pPr>
        <w:pStyle w:val="Style8"/>
        <w:keepNext w:val="0"/>
        <w:keepLines w:val="0"/>
        <w:widowControl w:val="0"/>
        <w:numPr>
          <w:ilvl w:val="0"/>
          <w:numId w:val="3"/>
        </w:numPr>
        <w:shd w:val="clear" w:color="auto" w:fill="auto"/>
        <w:tabs>
          <w:tab w:pos="193" w:val="left"/>
        </w:tabs>
        <w:bidi w:val="0"/>
        <w:spacing w:before="0" w:line="264" w:lineRule="auto"/>
        <w:ind w:left="0" w:right="0" w:firstLine="0"/>
        <w:jc w:val="both"/>
      </w:pPr>
      <w:r>
        <w:rPr>
          <w:rStyle w:val="CharStyle9"/>
        </w:rPr>
        <w:t>drogi inne niż wymienione powyżej o nie mniej niż o czterech pasach ruchu i długości nie mniejszej niż 10 km w jednym odcinku oraz zmiany przebiegu lub rozbudowy istniejących dróg o dwóch pasach ruchu co najmniej do czterech pasów ruchu na długości nie mniejszej niż 10 km w jednym odcinku - § 2 ust. 1 pkt 32 rozporządzenia.</w:t>
      </w:r>
    </w:p>
    <w:p>
      <w:pPr>
        <w:pStyle w:val="Style8"/>
        <w:keepNext w:val="0"/>
        <w:keepLines w:val="0"/>
        <w:widowControl w:val="0"/>
        <w:shd w:val="clear" w:color="auto" w:fill="auto"/>
        <w:bidi w:val="0"/>
        <w:spacing w:before="0" w:line="286" w:lineRule="auto"/>
        <w:ind w:left="0" w:right="0" w:firstLine="0"/>
        <w:jc w:val="both"/>
      </w:pPr>
      <w:r>
        <w:rPr>
          <w:rStyle w:val="CharStyle9"/>
        </w:rPr>
        <w:t>Z uwagi na powyższe, organem właściwym w przypadku powyższych przedsięwzięć jest marszałek województwa, natomiast pozostałe sprawy należą do właściwości starosty.</w:t>
      </w:r>
    </w:p>
    <w:p>
      <w:pPr>
        <w:pStyle w:val="Style8"/>
        <w:keepNext w:val="0"/>
        <w:keepLines w:val="0"/>
        <w:widowControl w:val="0"/>
        <w:shd w:val="clear" w:color="auto" w:fill="auto"/>
        <w:bidi w:val="0"/>
        <w:spacing w:before="0"/>
        <w:ind w:left="0" w:right="0" w:firstLine="0"/>
        <w:jc w:val="both"/>
      </w:pPr>
      <w:r>
        <w:rPr>
          <w:rStyle w:val="CharStyle9"/>
        </w:rPr>
        <w:t>Należy jednocześnie zauważyć, że przywołane w piśmie orzeczenia sądów administracyjnych zostały wydane na tle obowiązujących regulacji prawnych i stanowią wykładnię przepisów art. 378 ust. 2a pkt 1. Sam fakt ukształtowania się określonej linii orzeczniczej nie przesądza jednak o zasadności proponowanego kierunku zmian legislacyjnych. Ocena potrzeby nowelizacji przepisów powinna uwzględniać nie tylko skutki wykładni przyjętej przez sądy, lecz również konsekwencje systemowe, jakie wywołałoby proponowane rozwiązanie. Wskazane orzecznictwo odnosi się do wykładni obowiązujących przepisów i ustalenia właściwości organu w konkretnym stanie faktycznym. Nie rozstrzyga natomiast kwestii skutków, jakie mogłoby wywołać uznanie każdego przedsięwzięcia liniowego za odrębny zakład.</w:t>
      </w:r>
    </w:p>
    <w:p>
      <w:pPr>
        <w:pStyle w:val="Style8"/>
        <w:keepNext w:val="0"/>
        <w:keepLines w:val="0"/>
        <w:widowControl w:val="0"/>
        <w:shd w:val="clear" w:color="auto" w:fill="auto"/>
        <w:bidi w:val="0"/>
        <w:spacing w:before="0" w:line="286" w:lineRule="auto"/>
        <w:ind w:left="0" w:right="0" w:firstLine="0"/>
        <w:jc w:val="both"/>
      </w:pPr>
      <w:r>
        <w:rPr>
          <w:rStyle w:val="CharStyle9"/>
        </w:rPr>
        <w:t>W kontekście powyższych wyjaśnień należy wskazać, że zaproponowane przez Pana rozwiązanie polegające na doprecyzowaniu definicji zakładu poprzez uznanie każdego przedsięwzięcia liniowego za odrębny zakład nie usuwa istniejących trudności interpretacyjnych w zakresie ustalania właściwości miejscowej organów ochrony środowiska. Należy zauważyć, że przedsięwzięcia liniowe z natury rzeczy przebiegają przez obszar wielu jednostek terytorialnych, nierzadko obejmując teren kilku województw. W konsekwencji przyjęcie takiego rozwiązania nie prowadziłoby do jednoznacznego rozstrzygnięcia kwestii właściwości organu prowadzącego postępowanie. Wręcz przeciwnie, rodziłoby dodatkowe problemy związane z ustalaniem właściwości miejscowej organów administracji publicznej. W szczególności powstawałyby wątpliwości dotyczące sposobu stosowania art. 21 § 1 pkt 1 Kodeksu postępowania administracyjnego</w:t>
      </w:r>
      <w:r>
        <w:rPr>
          <w:rStyle w:val="CharStyle9"/>
          <w:vertAlign w:val="superscript"/>
        </w:rPr>
        <w:footnoteReference w:id="7"/>
      </w:r>
      <w:r>
        <w:rPr>
          <w:rStyle w:val="CharStyle9"/>
        </w:rPr>
        <w:t>, zgodnie z którym właściwość miejscową w sprawach dotyczących nieruchomości ustala się według miejsca jej położenia, a jeżeli nieruchomość położona jest na obszarze właściwości dwóch lub więcej organów, właściwy jest organ, na którego obszarze znajduje się większa część nieruchomości. Konstrukcja ta została jednak ukształtowana przede wszystkim z myślą o nieruchomościach lub obiektach mających względnie zwarte położenie przestrzenne i nie przystaje do specyfiki przedsięwzięć liniowych, które mogą przebiegać przez znaczny obszar kraju.</w:t>
      </w:r>
    </w:p>
    <w:p>
      <w:pPr>
        <w:pStyle w:val="Style8"/>
        <w:keepNext w:val="0"/>
        <w:keepLines w:val="0"/>
        <w:widowControl w:val="0"/>
        <w:shd w:val="clear" w:color="auto" w:fill="auto"/>
        <w:bidi w:val="0"/>
        <w:spacing w:before="0" w:line="286" w:lineRule="auto"/>
        <w:ind w:left="0" w:right="0" w:firstLine="0"/>
        <w:jc w:val="both"/>
      </w:pPr>
      <w:r>
        <w:rPr>
          <w:rStyle w:val="CharStyle9"/>
        </w:rPr>
        <w:t>W praktyce mogłoby to prowadzić do sytuacji, w której właściwym rzeczowo i miejscowo byłby marszałek województwa, na którego terenie znajduje się najdłuższy odcinek linii kolejowej lub drogi, pomimo że oddziaływanie objęte postępowaniem występowałoby na terenie innego województwa. W efekcie organ jednego województwa wykonywałby kompetencje w odniesieniu do odcinków infrastruktury oraz skutków środowiskowych zlokalizowanych poza obszarem jego działania.</w:t>
      </w:r>
    </w:p>
    <w:p>
      <w:pPr>
        <w:pStyle w:val="Style8"/>
        <w:keepNext w:val="0"/>
        <w:keepLines w:val="0"/>
        <w:widowControl w:val="0"/>
        <w:shd w:val="clear" w:color="auto" w:fill="auto"/>
        <w:bidi w:val="0"/>
        <w:spacing w:before="0" w:after="160" w:line="264" w:lineRule="auto"/>
        <w:ind w:left="0" w:right="0" w:firstLine="0"/>
        <w:jc w:val="both"/>
      </w:pPr>
      <w:r>
        <w:rPr>
          <w:rStyle w:val="CharStyle9"/>
        </w:rPr>
        <w:t>W konsekwencji proponowane rozwiązanie nie tylko nie eliminuje problemów kompetencyjnych, lecz może prowadzić do powstania nowych wątpliwości związanych z ustalaniem właściwości miejscowej organów oraz do sytuacji, w których organ właściwy formalnie pozostawałby niezwiązany z miejscem rzeczywistego oddziaływania przedsięwzięcia na środowisko.</w:t>
      </w:r>
    </w:p>
    <w:p>
      <w:pPr>
        <w:pStyle w:val="Style8"/>
        <w:keepNext w:val="0"/>
        <w:keepLines w:val="0"/>
        <w:widowControl w:val="0"/>
        <w:shd w:val="clear" w:color="auto" w:fill="auto"/>
        <w:bidi w:val="0"/>
        <w:spacing w:before="0" w:line="264" w:lineRule="auto"/>
        <w:ind w:left="0" w:right="0" w:firstLine="0"/>
        <w:jc w:val="both"/>
      </w:pPr>
      <w:r>
        <w:rPr>
          <w:rStyle w:val="CharStyle9"/>
        </w:rPr>
        <w:t>Jednocześnie należy wskazać, że postulat ustanowienia jednego organu centralnego właściwego dla przedsięwzięć liniowych nie prowadzi do rozwiązania problemów interpretacyjnych związanych z pojęciem zakładu oraz zakresem stosowania art. 378 ust. 2a</w:t>
      </w:r>
    </w:p>
    <w:p>
      <w:pPr>
        <w:pStyle w:val="Style8"/>
        <w:keepNext w:val="0"/>
        <w:keepLines w:val="0"/>
        <w:widowControl w:val="0"/>
        <w:shd w:val="clear" w:color="auto" w:fill="auto"/>
        <w:bidi w:val="0"/>
        <w:spacing w:before="0" w:after="140" w:line="264" w:lineRule="auto"/>
        <w:ind w:left="0" w:right="0" w:firstLine="0"/>
        <w:jc w:val="both"/>
      </w:pPr>
      <w:r>
        <w:rPr>
          <w:rStyle w:val="CharStyle9"/>
        </w:rPr>
        <w:t>ustawy Poś, lecz jedynie przenosi kompetencje z poziomu samorządu województwa na poziom administracji centralnej. Rozwiązanie takie oznaczałoby zasadniczą zmianę obowiązującego modelu podziału kompetencji pomiędzy organami ochrony środowiska, który opiera się na powiązaniu właściwości organu z lokalizacją przedsięwzięcia oraz miejscem występowania jego oddziaływania na środowisko. Co istotne, przedsięwzięcia liniowe, mimo iż mogą przebiegać przez obszar kilku województw, oddziałują na środowisko w sposób zróżnicowany, uzależniony od lokalnych uwarunkowań przyrodniczych, przestrzennych i społecznych występujących na poszczególnych odcinkach infrastruktury.</w:t>
      </w:r>
    </w:p>
    <w:p>
      <w:pPr>
        <w:pStyle w:val="Style8"/>
        <w:keepNext w:val="0"/>
        <w:keepLines w:val="0"/>
        <w:widowControl w:val="0"/>
        <w:shd w:val="clear" w:color="auto" w:fill="auto"/>
        <w:bidi w:val="0"/>
        <w:spacing w:before="0" w:after="140" w:line="264" w:lineRule="auto"/>
        <w:ind w:left="0" w:right="0" w:firstLine="0"/>
        <w:jc w:val="both"/>
      </w:pPr>
      <w:r>
        <w:rPr>
          <w:rStyle w:val="CharStyle9"/>
        </w:rPr>
        <w:t>W konsekwencji przekazanie wszystkich spraw dotyczących infrastruktury liniowej jednemu organowi centralnemu mogłoby utrudniać właściwe uwzględnianie lokalnych uwarunkowań środowiskowych oraz społecznych mających znaczenie dla rozstrzygnięcia sprawy. Jednocześnie prowadziłoby do nadmiernej koncentracji postępowań administracyjnych w jednym organie, co mogłoby negatywnie wpływać na sprawność prowadzonych postępowań oraz ograniczać dostęp jednostek samorządu terytorialnego i społeczności lokalnych do organu właściwego w sprawach ochrony środowiska.</w:t>
      </w:r>
    </w:p>
    <w:p>
      <w:pPr>
        <w:pStyle w:val="Style8"/>
        <w:keepNext w:val="0"/>
        <w:keepLines w:val="0"/>
        <w:widowControl w:val="0"/>
        <w:shd w:val="clear" w:color="auto" w:fill="auto"/>
        <w:bidi w:val="0"/>
        <w:spacing w:before="0" w:after="140"/>
        <w:ind w:left="0" w:right="0" w:firstLine="0"/>
        <w:jc w:val="both"/>
      </w:pPr>
      <w:r>
        <w:rPr>
          <w:rStyle w:val="CharStyle9"/>
        </w:rPr>
        <w:t xml:space="preserve">Podsumowując, brak jest podstaw do podjęcia prac legislacyjnych w kierunku wskazanym w piśmie. Ustawa Poś przewiduje odrębne podstawy ustalania właściwości marszałka województwa: art. 378 ust. 2a pkt 1 odnosi się do przedsięwzięć i zdarzeń na terenach zakładów, natomiast do </w:t>
      </w:r>
      <w:r>
        <w:rPr>
          <w:rStyle w:val="CharStyle9"/>
          <w:u w:val="single"/>
        </w:rPr>
        <w:t>dróg i linii kolejowych będących przedsięwzięciami mogącymi zawsze znacząco oddziaływać na środowisko zastosowanie znajduje art. 378 ust. 2a pkt 2</w:t>
      </w:r>
      <w:r>
        <w:rPr>
          <w:rStyle w:val="CharStyle9"/>
        </w:rPr>
        <w:t>. Proponowane uznanie każdego przedsięwzięcia liniowego za odrębny zakład, podobnie jak przekazanie tych spraw jednemu organowi centralnemu, nie usuwałoby istniejących problemów, lecz mogłoby prowadzić do dalszych wątpliwości kompetencyjnych oraz powierzenia prowadzenia postępowania organowi niezwiązanemu bezpośrednio z miejscem rzeczywistego oddziaływania przedsięwzięcia na środowisko.</w:t>
      </w:r>
    </w:p>
    <w:p>
      <w:pPr>
        <w:pStyle w:val="Style8"/>
        <w:keepNext w:val="0"/>
        <w:keepLines w:val="0"/>
        <w:widowControl w:val="0"/>
        <w:shd w:val="clear" w:color="auto" w:fill="auto"/>
        <w:bidi w:val="0"/>
        <w:spacing w:before="0" w:after="560"/>
        <w:ind w:left="0" w:right="0" w:firstLine="0"/>
        <w:jc w:val="both"/>
      </w:pPr>
      <w:r>
        <w:rPr>
          <w:rStyle w:val="CharStyle9"/>
        </w:rPr>
        <w:t>Należy przy tym podkreślić, że ewentualne trudności organizacyjne związane z realizacją zadań zleconych z zakresu administracji rządowej pozostają zagadnieniem odrębnym od oceny prawidłowości obowiązujących rozwiązań normatywnych. Sama okoliczność, że określona wykładnia przepisów prowadzi do zwiększenia liczby spraw należących do właściwości danego organu, nie świadczy jeszcze o wadliwości tych przepisów ani o konieczności ich nowelizacji. Fakt wystąpienia określonej linii orzeczniczej nie stanowi samoistnej przesłanki uzasadniającej zmianę przepisów prawa. Nowelizacja ustawy powinna następować w przypadku stwierdzenia rzeczywistej luki lub niespójności obowiązujących regulacji.</w:t>
      </w:r>
    </w:p>
    <w:p>
      <w:pPr>
        <w:pStyle w:val="Style8"/>
        <w:keepNext w:val="0"/>
        <w:keepLines w:val="0"/>
        <w:widowControl w:val="0"/>
        <w:shd w:val="clear" w:color="auto" w:fill="auto"/>
        <w:bidi w:val="0"/>
        <w:spacing w:before="0" w:after="140" w:line="240" w:lineRule="auto"/>
        <w:ind w:left="0" w:right="0" w:firstLine="0"/>
        <w:jc w:val="both"/>
      </w:pPr>
      <w:r>
        <w:rPr>
          <w:rStyle w:val="CharStyle9"/>
        </w:rPr>
        <w:t>Z wyrazami szacunku</w:t>
      </w:r>
    </w:p>
    <w:p>
      <w:pPr>
        <w:pStyle w:val="Style8"/>
        <w:keepNext w:val="0"/>
        <w:keepLines w:val="0"/>
        <w:widowControl w:val="0"/>
        <w:shd w:val="clear" w:color="auto" w:fill="auto"/>
        <w:bidi w:val="0"/>
        <w:spacing w:before="0" w:after="780" w:line="240" w:lineRule="auto"/>
        <w:ind w:left="0" w:right="0" w:firstLine="0"/>
        <w:jc w:val="both"/>
      </w:pPr>
      <w:r>
        <w:rPr>
          <w:rStyle w:val="CharStyle9"/>
        </w:rPr>
        <w:t>Z up. Ministra</w:t>
      </w:r>
    </w:p>
    <w:p>
      <w:pPr>
        <w:pStyle w:val="Style8"/>
        <w:keepNext w:val="0"/>
        <w:keepLines w:val="0"/>
        <w:widowControl w:val="0"/>
        <w:shd w:val="clear" w:color="auto" w:fill="auto"/>
        <w:bidi w:val="0"/>
        <w:spacing w:before="0" w:after="0" w:line="264" w:lineRule="auto"/>
        <w:ind w:left="0" w:right="0" w:firstLine="0"/>
        <w:jc w:val="both"/>
      </w:pPr>
      <w:r>
        <w:rPr>
          <w:rStyle w:val="CharStyle9"/>
        </w:rPr>
        <w:t>Podsekretarz Stanu</w:t>
      </w:r>
    </w:p>
    <w:p>
      <w:pPr>
        <w:pStyle w:val="Style8"/>
        <w:keepNext w:val="0"/>
        <w:keepLines w:val="0"/>
        <w:widowControl w:val="0"/>
        <w:shd w:val="clear" w:color="auto" w:fill="auto"/>
        <w:bidi w:val="0"/>
        <w:spacing w:before="0" w:after="140" w:line="264" w:lineRule="auto"/>
        <w:ind w:left="0" w:right="0" w:firstLine="0"/>
        <w:jc w:val="both"/>
      </w:pPr>
      <w:r>
        <w:rPr>
          <w:rStyle w:val="CharStyle9"/>
        </w:rPr>
        <w:t>Ministerstwo Klimatu i Środowiska / – podpisany cyfrowo/</w:t>
      </w:r>
    </w:p>
    <w:sectPr>
      <w:footnotePr>
        <w:pos w:val="pageBottom"/>
        <w:numFmt w:val="decimal"/>
        <w:numStart w:val="1"/>
        <w:numRestart w:val="continuous"/>
        <w15:footnoteColumns w:val="1"/>
      </w:footnotePr>
      <w:pgSz w:w="11900" w:h="16840"/>
      <w:pgMar w:top="932" w:right="1951" w:bottom="674" w:left="1947" w:header="504" w:footer="246"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left"/>
      </w:pPr>
      <w:r>
        <w:rPr>
          <w:rStyle w:val="CharStyle3"/>
        </w:rPr>
        <w:t>Telefon: (+48) 22 369 29 00 ul. Wawelska 52/54, 00-922 Warszawa</w:t>
      </w:r>
    </w:p>
  </w:footnote>
  <w:footnote w:id="3">
    <w:p>
      <w:pPr>
        <w:pStyle w:val="Style2"/>
        <w:keepNext w:val="0"/>
        <w:keepLines w:val="0"/>
        <w:widowControl w:val="0"/>
        <w:shd w:val="clear" w:color="auto" w:fill="auto"/>
        <w:bidi w:val="0"/>
        <w:spacing w:before="0" w:after="0" w:line="240" w:lineRule="auto"/>
        <w:ind w:left="0" w:right="0" w:firstLine="0"/>
        <w:jc w:val="left"/>
      </w:pPr>
      <w:r>
        <w:fldChar w:fldCharType="begin"/>
      </w:r>
      <w:r>
        <w:rPr/>
        <w:instrText> HYPERLINK "mailto:info@klimat.gov.pl" </w:instrText>
      </w:r>
      <w:r>
        <w:fldChar w:fldCharType="separate"/>
      </w:r>
      <w:r>
        <w:rPr>
          <w:rStyle w:val="CharStyle3"/>
        </w:rPr>
        <w:t>info@klimat.gov.pl</w:t>
      </w:r>
      <w:r>
        <w:fldChar w:fldCharType="end"/>
      </w:r>
      <w:r>
        <w:rPr>
          <w:rStyle w:val="CharStyle3"/>
        </w:rPr>
        <w:t xml:space="preserve"> Ministerstwo Klimatu i Środowiska </w:t>
      </w:r>
      <w:r>
        <w:fldChar w:fldCharType="begin"/>
      </w:r>
      <w:r>
        <w:rPr/>
        <w:instrText> HYPERLINK "http://www.gov.pl/klimat" </w:instrText>
      </w:r>
      <w:r>
        <w:fldChar w:fldCharType="separate"/>
      </w:r>
      <w:r>
        <w:rPr>
          <w:rStyle w:val="CharStyle3"/>
        </w:rPr>
        <w:t>www.gov.pl/klimat</w:t>
      </w:r>
      <w:r>
        <w:fldChar w:fldCharType="end"/>
      </w:r>
    </w:p>
  </w:footnote>
  <w:footnote w:id="4">
    <w:p>
      <w:pPr>
        <w:pStyle w:val="Style2"/>
        <w:keepNext w:val="0"/>
        <w:keepLines w:val="0"/>
        <w:widowControl w:val="0"/>
        <w:shd w:val="clear" w:color="auto" w:fill="auto"/>
        <w:bidi w:val="0"/>
        <w:spacing w:before="0" w:after="0" w:line="240" w:lineRule="auto"/>
        <w:ind w:left="0" w:right="0" w:firstLine="0"/>
        <w:jc w:val="center"/>
        <w:rPr>
          <w:sz w:val="13"/>
          <w:szCs w:val="13"/>
        </w:rPr>
      </w:pPr>
      <w:r>
        <w:rPr>
          <w:rStyle w:val="CharStyle3"/>
          <w:sz w:val="13"/>
          <w:szCs w:val="13"/>
        </w:rPr>
        <w:t>Działamy zgodnie z EMAS - zarządzając instytucją, dbamy o środowisko</w:t>
      </w:r>
    </w:p>
  </w:footnote>
  <w:footnote w:id="5">
    <w:p>
      <w:pPr>
        <w:pStyle w:val="Style2"/>
        <w:keepNext w:val="0"/>
        <w:keepLines w:val="0"/>
        <w:widowControl w:val="0"/>
        <w:shd w:val="clear" w:color="auto" w:fill="auto"/>
        <w:bidi w:val="0"/>
        <w:spacing w:before="0" w:after="0" w:line="240" w:lineRule="auto"/>
        <w:ind w:left="0" w:right="0" w:firstLine="0"/>
        <w:jc w:val="left"/>
        <w:rPr>
          <w:sz w:val="19"/>
          <w:szCs w:val="19"/>
        </w:rPr>
      </w:pPr>
      <w:r>
        <w:rPr>
          <w:rStyle w:val="CharStyle3"/>
          <w:sz w:val="19"/>
          <w:szCs w:val="19"/>
          <w:vertAlign w:val="superscript"/>
        </w:rPr>
        <w:footnoteRef/>
      </w:r>
      <w:r>
        <w:rPr>
          <w:rStyle w:val="CharStyle3"/>
          <w:sz w:val="19"/>
          <w:szCs w:val="19"/>
        </w:rPr>
        <w:t xml:space="preserve"> Dz. U. z 2026 r. poz. 670, z późn. zm.</w:t>
      </w:r>
    </w:p>
  </w:footnote>
  <w:footnote w:id="6">
    <w:p>
      <w:pPr>
        <w:pStyle w:val="Style2"/>
        <w:keepNext w:val="0"/>
        <w:keepLines w:val="0"/>
        <w:widowControl w:val="0"/>
        <w:shd w:val="clear" w:color="auto" w:fill="auto"/>
        <w:bidi w:val="0"/>
        <w:spacing w:before="0" w:after="0" w:line="240" w:lineRule="auto"/>
        <w:ind w:left="0" w:right="0" w:firstLine="0"/>
        <w:jc w:val="left"/>
        <w:rPr>
          <w:sz w:val="19"/>
          <w:szCs w:val="19"/>
        </w:rPr>
      </w:pPr>
      <w:r>
        <w:rPr>
          <w:rStyle w:val="CharStyle3"/>
          <w:sz w:val="19"/>
          <w:szCs w:val="19"/>
          <w:vertAlign w:val="superscript"/>
        </w:rPr>
        <w:footnoteRef/>
      </w:r>
      <w:r>
        <w:rPr>
          <w:rStyle w:val="CharStyle3"/>
          <w:sz w:val="19"/>
          <w:szCs w:val="19"/>
        </w:rPr>
        <w:t xml:space="preserve"> Dz.U. 2019 poz. 1839 z późn. zm.</w:t>
      </w:r>
    </w:p>
  </w:footnote>
  <w:footnote w:id="7">
    <w:p>
      <w:pPr>
        <w:pStyle w:val="Style2"/>
        <w:keepNext w:val="0"/>
        <w:keepLines w:val="0"/>
        <w:widowControl w:val="0"/>
        <w:shd w:val="clear" w:color="auto" w:fill="auto"/>
        <w:bidi w:val="0"/>
        <w:spacing w:before="0" w:after="0" w:line="240" w:lineRule="auto"/>
        <w:ind w:left="0" w:right="0" w:firstLine="0"/>
        <w:jc w:val="left"/>
        <w:rPr>
          <w:sz w:val="19"/>
          <w:szCs w:val="19"/>
        </w:rPr>
      </w:pPr>
      <w:r>
        <w:rPr>
          <w:rStyle w:val="CharStyle3"/>
          <w:sz w:val="19"/>
          <w:szCs w:val="19"/>
          <w:vertAlign w:val="superscript"/>
        </w:rPr>
        <w:footnoteRef/>
      </w:r>
      <w:r>
        <w:rPr>
          <w:rStyle w:val="CharStyle3"/>
          <w:sz w:val="19"/>
          <w:szCs w:val="19"/>
        </w:rPr>
        <w:t xml:space="preserve"> Dz. U. z 2025 r. poz. 1691.</w:t>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9"/>
        <w:szCs w:val="19"/>
        <w:u w:val="none"/>
        <w:shd w:val="clear" w:color="auto" w:fill="auto"/>
        <w:vertAlign w:val="superscript"/>
        <w:lang w:val="pl-PL" w:eastAsia="pl-PL"/>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Footnote_"/>
    <w:basedOn w:val="DefaultParagraphFont"/>
    <w:link w:val="Style2"/>
    <w:rPr>
      <w:rFonts w:ascii="Arial" w:eastAsia="Arial" w:hAnsi="Arial" w:cs="Arial"/>
      <w:b w:val="0"/>
      <w:bCs w:val="0"/>
      <w:i w:val="0"/>
      <w:iCs w:val="0"/>
      <w:smallCaps w:val="0"/>
      <w:strike w:val="0"/>
      <w:sz w:val="16"/>
      <w:szCs w:val="16"/>
      <w:u w:val="none"/>
    </w:rPr>
  </w:style>
  <w:style w:type="character" w:customStyle="1" w:styleId="CharStyle7">
    <w:name w:val="Heading #1_"/>
    <w:basedOn w:val="DefaultParagraphFont"/>
    <w:link w:val="Style6"/>
    <w:rPr>
      <w:rFonts w:ascii="Corbel" w:eastAsia="Corbel" w:hAnsi="Corbel" w:cs="Corbel"/>
      <w:b w:val="0"/>
      <w:bCs w:val="0"/>
      <w:i w:val="0"/>
      <w:iCs w:val="0"/>
      <w:smallCaps w:val="0"/>
      <w:strike w:val="0"/>
      <w:sz w:val="36"/>
      <w:szCs w:val="36"/>
      <w:u w:val="none"/>
    </w:rPr>
  </w:style>
  <w:style w:type="character" w:customStyle="1" w:styleId="CharStyle9">
    <w:name w:val="Body text_"/>
    <w:basedOn w:val="DefaultParagraphFont"/>
    <w:link w:val="Style8"/>
    <w:rPr>
      <w:rFonts w:ascii="Arial" w:eastAsia="Arial" w:hAnsi="Arial" w:cs="Arial"/>
      <w:b w:val="0"/>
      <w:bCs w:val="0"/>
      <w:i w:val="0"/>
      <w:iCs w:val="0"/>
      <w:smallCaps w:val="0"/>
      <w:strike w:val="0"/>
      <w:sz w:val="19"/>
      <w:szCs w:val="19"/>
      <w:u w:val="none"/>
    </w:rPr>
  </w:style>
  <w:style w:type="paragraph" w:customStyle="1" w:styleId="Style2">
    <w:name w:val="Footnote"/>
    <w:basedOn w:val="Normal"/>
    <w:link w:val="CharStyle3"/>
    <w:pPr>
      <w:widowControl w:val="0"/>
      <w:shd w:val="clear" w:color="auto" w:fill="auto"/>
    </w:pPr>
    <w:rPr>
      <w:rFonts w:ascii="Arial" w:eastAsia="Arial" w:hAnsi="Arial" w:cs="Arial"/>
      <w:b w:val="0"/>
      <w:bCs w:val="0"/>
      <w:i w:val="0"/>
      <w:iCs w:val="0"/>
      <w:smallCaps w:val="0"/>
      <w:strike w:val="0"/>
      <w:sz w:val="16"/>
      <w:szCs w:val="16"/>
      <w:u w:val="none"/>
    </w:rPr>
  </w:style>
  <w:style w:type="paragraph" w:customStyle="1" w:styleId="Style6">
    <w:name w:val="Heading #1"/>
    <w:basedOn w:val="Normal"/>
    <w:link w:val="CharStyle7"/>
    <w:pPr>
      <w:widowControl w:val="0"/>
      <w:shd w:val="clear" w:color="auto" w:fill="auto"/>
      <w:spacing w:after="160" w:line="228" w:lineRule="auto"/>
      <w:outlineLvl w:val="0"/>
    </w:pPr>
    <w:rPr>
      <w:rFonts w:ascii="Corbel" w:eastAsia="Corbel" w:hAnsi="Corbel" w:cs="Corbel"/>
      <w:b w:val="0"/>
      <w:bCs w:val="0"/>
      <w:i w:val="0"/>
      <w:iCs w:val="0"/>
      <w:smallCaps w:val="0"/>
      <w:strike w:val="0"/>
      <w:sz w:val="36"/>
      <w:szCs w:val="36"/>
      <w:u w:val="none"/>
    </w:rPr>
  </w:style>
  <w:style w:type="paragraph" w:styleId="Style8">
    <w:name w:val="Body text"/>
    <w:basedOn w:val="Normal"/>
    <w:link w:val="CharStyle9"/>
    <w:qFormat/>
    <w:pPr>
      <w:widowControl w:val="0"/>
      <w:shd w:val="clear" w:color="auto" w:fill="auto"/>
      <w:spacing w:after="120" w:line="283" w:lineRule="auto"/>
    </w:pPr>
    <w:rPr>
      <w:rFonts w:ascii="Arial" w:eastAsia="Arial" w:hAnsi="Arial" w:cs="Arial"/>
      <w:b w:val="0"/>
      <w:bCs w:val="0"/>
      <w:i w:val="0"/>
      <w:iCs w:val="0"/>
      <w:smallCaps w:val="0"/>
      <w:strike w:val="0"/>
      <w:sz w:val="19"/>
      <w:szCs w:val="19"/>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

<file path=docProps/core.xml><?xml version="1.0" encoding="utf-8"?>
<cp:coreProperties xmlns:cp="http://schemas.openxmlformats.org/package/2006/metadata/core-properties" xmlns:dc="http://purl.org/dc/elements/1.1/">
  <dc:title>Z upoważnienia Ministra Klimatu i Środowiska sekretarz podsekretarz kolor</dc:title>
  <dc:subject/>
  <dc:creator/>
  <cp:keywords>PL, kolor</cp:keywords>
</cp:coreProperties>
</file>