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35E" w:rsidRDefault="004A6B7A" w:rsidP="000C781E">
      <w:pPr>
        <w:pStyle w:val="Bodytext10"/>
        <w:spacing w:after="280" w:line="240" w:lineRule="auto"/>
        <w:ind w:firstLine="720"/>
        <w:jc w:val="right"/>
      </w:pPr>
      <w:r>
        <w:rPr>
          <w:rStyle w:val="Bodytext1"/>
        </w:rPr>
        <w:t xml:space="preserve"> dnia 4 sierpnia 2026 r.</w:t>
      </w:r>
    </w:p>
    <w:p w:rsidR="00E8435E" w:rsidRDefault="00E8435E">
      <w:pPr>
        <w:pStyle w:val="Heading110"/>
        <w:keepNext/>
        <w:keepLines/>
      </w:pPr>
    </w:p>
    <w:p w:rsidR="00E8435E" w:rsidRDefault="00E8435E">
      <w:pPr>
        <w:pStyle w:val="Bodytext10"/>
        <w:spacing w:after="0"/>
      </w:pPr>
    </w:p>
    <w:p w:rsidR="00E8435E" w:rsidRDefault="00E8435E">
      <w:pPr>
        <w:pStyle w:val="Bodytext10"/>
        <w:spacing w:after="0"/>
      </w:pPr>
    </w:p>
    <w:p w:rsidR="00E8435E" w:rsidRDefault="00E8435E">
      <w:pPr>
        <w:pStyle w:val="Bodytext10"/>
        <w:spacing w:after="280"/>
      </w:pPr>
    </w:p>
    <w:p w:rsidR="00E8435E" w:rsidRDefault="004A6B7A">
      <w:pPr>
        <w:pStyle w:val="Heading110"/>
        <w:keepNext/>
        <w:keepLines/>
      </w:pPr>
      <w:bookmarkStart w:id="0" w:name="bookmark2"/>
      <w:r>
        <w:rPr>
          <w:rStyle w:val="Heading11"/>
          <w:b/>
          <w:bCs/>
        </w:rPr>
        <w:t>Adresat:</w:t>
      </w:r>
      <w:bookmarkEnd w:id="0"/>
    </w:p>
    <w:p w:rsidR="00E8435E" w:rsidRDefault="004A6B7A">
      <w:pPr>
        <w:pStyle w:val="Heading110"/>
        <w:keepNext/>
        <w:keepLines/>
      </w:pPr>
      <w:r>
        <w:rPr>
          <w:rStyle w:val="Heading11"/>
          <w:b/>
          <w:bCs/>
        </w:rPr>
        <w:t>Ministerstwo Spraw Wewnętrznych i Administracji</w:t>
      </w:r>
    </w:p>
    <w:p w:rsidR="00E8435E" w:rsidRDefault="004A6B7A">
      <w:pPr>
        <w:pStyle w:val="Bodytext10"/>
      </w:pPr>
      <w:r>
        <w:rPr>
          <w:rStyle w:val="Bodytext1"/>
        </w:rPr>
        <w:t>ul. Stefana Batorego 5 02-591 Warszawa</w:t>
      </w:r>
    </w:p>
    <w:p w:rsidR="00E8435E" w:rsidRDefault="004A6B7A">
      <w:pPr>
        <w:pStyle w:val="Bodytext10"/>
      </w:pPr>
      <w:r>
        <w:rPr>
          <w:rStyle w:val="Bodytext1"/>
          <w:i/>
          <w:iCs/>
        </w:rPr>
        <w:t xml:space="preserve">(Do </w:t>
      </w:r>
      <w:r>
        <w:rPr>
          <w:rStyle w:val="Bodytext1"/>
          <w:i/>
          <w:iCs/>
        </w:rPr>
        <w:t>wiadomości: Parlamentarny Zespół ds. Posiadania Broni)</w:t>
      </w:r>
    </w:p>
    <w:p w:rsidR="00E8435E" w:rsidRDefault="004A6B7A">
      <w:pPr>
        <w:pStyle w:val="Heading110"/>
        <w:keepNext/>
        <w:keepLines/>
      </w:pPr>
      <w:bookmarkStart w:id="1" w:name="bookmark5"/>
      <w:r>
        <w:rPr>
          <w:rStyle w:val="Heading11"/>
          <w:b/>
          <w:bCs/>
        </w:rPr>
        <w:t>WNIOSEK OBYWATELSKI / PETYCJA</w:t>
      </w:r>
      <w:bookmarkEnd w:id="1"/>
    </w:p>
    <w:p w:rsidR="00E8435E" w:rsidRDefault="004A6B7A">
      <w:pPr>
        <w:pStyle w:val="Heading110"/>
        <w:keepNext/>
        <w:keepLines/>
        <w:spacing w:after="240"/>
      </w:pPr>
      <w:bookmarkStart w:id="2" w:name="bookmark7"/>
      <w:r>
        <w:rPr>
          <w:rStyle w:val="Heading11"/>
          <w:b/>
          <w:bCs/>
        </w:rPr>
        <w:t>w sprawie pilnej reformy Ustawy o broni i amunicji oraz rozporządzeń wykonawczych w zakresie procedur, bezpieczeństwa operacyjnego oraz obronności kraju</w:t>
      </w:r>
      <w:bookmarkEnd w:id="2"/>
    </w:p>
    <w:p w:rsidR="00E8435E" w:rsidRDefault="004A6B7A">
      <w:pPr>
        <w:pStyle w:val="Bodytext10"/>
      </w:pPr>
      <w:r>
        <w:rPr>
          <w:rStyle w:val="Bodytext1"/>
        </w:rPr>
        <w:t>W obliczu dynamicz</w:t>
      </w:r>
      <w:r>
        <w:rPr>
          <w:rStyle w:val="Bodytext1"/>
        </w:rPr>
        <w:t>nie zmieniającej się sytuacji geopolitycznej w Europie oraz realnego zagrożenia konfliktem zbrojnym, dotychczasowy, wysoce biurokratyczny model dostępu do broni w Polsce stał się archaizmem, który osłabia potencjał obronny naszych obywateli. Jako praworząd</w:t>
      </w:r>
      <w:r>
        <w:rPr>
          <w:rStyle w:val="Bodytext1"/>
        </w:rPr>
        <w:t>ny obywatel zwracam się z wnioskiem o</w:t>
      </w:r>
      <w:r w:rsidR="000C781E">
        <w:rPr>
          <w:rStyle w:val="Bodytext1"/>
        </w:rPr>
        <w:t> </w:t>
      </w:r>
      <w:r>
        <w:rPr>
          <w:rStyle w:val="Bodytext1"/>
        </w:rPr>
        <w:t>pilne podjęcie prac legislacyjnych zmierzających do uproszczenia procedur i</w:t>
      </w:r>
      <w:r w:rsidR="000C781E">
        <w:rPr>
          <w:rStyle w:val="Bodytext1"/>
        </w:rPr>
        <w:t> </w:t>
      </w:r>
      <w:r>
        <w:rPr>
          <w:rStyle w:val="Bodytext1"/>
        </w:rPr>
        <w:t>urealnienia przepisów.</w:t>
      </w:r>
    </w:p>
    <w:p w:rsidR="00E8435E" w:rsidRDefault="004A6B7A">
      <w:pPr>
        <w:pStyle w:val="Bodytext10"/>
      </w:pPr>
      <w:r>
        <w:rPr>
          <w:rStyle w:val="Bodytext1"/>
        </w:rPr>
        <w:t>Postuluję wprowadzenie zmian w następujących obszarach:</w:t>
      </w:r>
    </w:p>
    <w:p w:rsidR="00E8435E" w:rsidRDefault="004A6B7A">
      <w:pPr>
        <w:pStyle w:val="Heading110"/>
        <w:keepNext/>
        <w:keepLines/>
        <w:numPr>
          <w:ilvl w:val="0"/>
          <w:numId w:val="1"/>
        </w:numPr>
        <w:tabs>
          <w:tab w:val="left" w:pos="333"/>
        </w:tabs>
      </w:pPr>
      <w:bookmarkStart w:id="3" w:name="bookmark9"/>
      <w:r>
        <w:rPr>
          <w:rStyle w:val="Heading11"/>
          <w:b/>
          <w:bCs/>
        </w:rPr>
        <w:t>Zminimalizowanie czasu oczekiwania na wydanie pozwolenia</w:t>
      </w:r>
      <w:bookmarkEnd w:id="3"/>
    </w:p>
    <w:p w:rsidR="00E8435E" w:rsidRDefault="004A6B7A">
      <w:pPr>
        <w:pStyle w:val="Bodytext10"/>
      </w:pPr>
      <w:r>
        <w:rPr>
          <w:rStyle w:val="Bodytext1"/>
        </w:rPr>
        <w:t>Obecne</w:t>
      </w:r>
      <w:r>
        <w:rPr>
          <w:rStyle w:val="Bodytext1"/>
        </w:rPr>
        <w:t xml:space="preserve"> procedury administracyjne trwają miesiącami. Wnoszę o wprowadzenie zasady, według której obywatel posiadający aktualne orzeczenie psychologiczne i</w:t>
      </w:r>
      <w:r w:rsidR="000C781E">
        <w:rPr>
          <w:rStyle w:val="Bodytext1"/>
        </w:rPr>
        <w:t> </w:t>
      </w:r>
      <w:r>
        <w:rPr>
          <w:rStyle w:val="Bodytext1"/>
        </w:rPr>
        <w:t xml:space="preserve">lekarskie oraz zdany państwowy egzamin (np. patent strzelecki), powinien móc </w:t>
      </w:r>
      <w:r>
        <w:rPr>
          <w:rStyle w:val="Bodytext1"/>
          <w:b/>
          <w:bCs/>
        </w:rPr>
        <w:t>natychmiastowo dokonać zakupu w</w:t>
      </w:r>
      <w:r>
        <w:rPr>
          <w:rStyle w:val="Bodytext1"/>
          <w:b/>
          <w:bCs/>
        </w:rPr>
        <w:t xml:space="preserve">ybranej broni. </w:t>
      </w:r>
      <w:r>
        <w:rPr>
          <w:rStyle w:val="Bodytext1"/>
        </w:rPr>
        <w:t>Biurokratyczny proces wydawania decyzji administracyjnej przez WPA nie powinien sztucznie blokować zweryfikowanych osób.</w:t>
      </w:r>
    </w:p>
    <w:p w:rsidR="00E8435E" w:rsidRDefault="004A6B7A">
      <w:pPr>
        <w:pStyle w:val="Heading110"/>
        <w:keepNext/>
        <w:keepLines/>
        <w:numPr>
          <w:ilvl w:val="0"/>
          <w:numId w:val="1"/>
        </w:numPr>
        <w:tabs>
          <w:tab w:val="left" w:pos="341"/>
        </w:tabs>
      </w:pPr>
      <w:bookmarkStart w:id="4" w:name="bookmark11"/>
      <w:r>
        <w:rPr>
          <w:rStyle w:val="Heading11"/>
          <w:b/>
          <w:bCs/>
        </w:rPr>
        <w:t>Racjonalne zasady ładowania i przechowywania amunicji (Magazynki w</w:t>
      </w:r>
      <w:r w:rsidR="000C781E">
        <w:rPr>
          <w:rStyle w:val="Heading11"/>
          <w:b/>
          <w:bCs/>
        </w:rPr>
        <w:t> </w:t>
      </w:r>
      <w:r>
        <w:rPr>
          <w:rStyle w:val="Heading11"/>
          <w:b/>
          <w:bCs/>
        </w:rPr>
        <w:t>stanie gotowości)</w:t>
      </w:r>
      <w:bookmarkEnd w:id="4"/>
    </w:p>
    <w:p w:rsidR="00E8435E" w:rsidRDefault="004A6B7A">
      <w:pPr>
        <w:pStyle w:val="Bodytext10"/>
      </w:pPr>
      <w:r>
        <w:rPr>
          <w:rStyle w:val="Bodytext1"/>
        </w:rPr>
        <w:t>Obecna interpretacja przepisów doty</w:t>
      </w:r>
      <w:r>
        <w:rPr>
          <w:rStyle w:val="Bodytext1"/>
        </w:rPr>
        <w:t xml:space="preserve">czących przechowywania amunicji "w stanie rozładowanym" w domach bywa niejednoznaczna i niepraktyczna. Przechowywanie broni z podpiętym magazynkiem i nabojem w komorze w warunkach pokojowych jest zbędne z punktu widzenia bezpieczeństwa. Jednakże </w:t>
      </w:r>
      <w:r>
        <w:rPr>
          <w:rStyle w:val="Bodytext1"/>
          <w:b/>
          <w:bCs/>
        </w:rPr>
        <w:t xml:space="preserve">możliwość </w:t>
      </w:r>
      <w:r>
        <w:rPr>
          <w:rStyle w:val="Bodytext1"/>
          <w:b/>
          <w:bCs/>
        </w:rPr>
        <w:t>przechowywania osobno załadowanego amunicją magazynka (wypiętego z broni i</w:t>
      </w:r>
      <w:r w:rsidR="000C781E">
        <w:rPr>
          <w:rStyle w:val="Bodytext1"/>
          <w:b/>
          <w:bCs/>
        </w:rPr>
        <w:t> </w:t>
      </w:r>
      <w:r>
        <w:rPr>
          <w:rStyle w:val="Bodytext1"/>
          <w:b/>
          <w:bCs/>
        </w:rPr>
        <w:t xml:space="preserve">zabezpieczonego) </w:t>
      </w:r>
      <w:r>
        <w:rPr>
          <w:rStyle w:val="Bodytext1"/>
        </w:rPr>
        <w:t>jest rzeczą całkowicie naturalną i niezbędną w razie konieczności nagłego użycia broni do obrony miru domowego. Przepisy powinny</w:t>
      </w:r>
      <w:r>
        <w:rPr>
          <w:rStyle w:val="Bodytext1"/>
        </w:rPr>
        <w:br w:type="page"/>
      </w:r>
      <w:r>
        <w:rPr>
          <w:rStyle w:val="Bodytext1"/>
        </w:rPr>
        <w:lastRenderedPageBreak/>
        <w:t>wprost i bezwzględnie zezwalać na p</w:t>
      </w:r>
      <w:r>
        <w:rPr>
          <w:rStyle w:val="Bodytext1"/>
        </w:rPr>
        <w:t>osiadanie przygotowanych, pełnych magazynków w pobliżu broni, co skraca czas reakcji w sytuacji zagrożenia życia, zachowując jednocześnie pełne bezpieczeństwo techniczne (pusta komora nabojowa).</w:t>
      </w:r>
    </w:p>
    <w:p w:rsidR="00E8435E" w:rsidRDefault="004A6B7A">
      <w:pPr>
        <w:pStyle w:val="Heading110"/>
        <w:keepNext/>
        <w:keepLines/>
        <w:numPr>
          <w:ilvl w:val="0"/>
          <w:numId w:val="1"/>
        </w:numPr>
        <w:tabs>
          <w:tab w:val="left" w:pos="313"/>
        </w:tabs>
      </w:pPr>
      <w:bookmarkStart w:id="5" w:name="bookmark13"/>
      <w:r>
        <w:rPr>
          <w:rStyle w:val="Heading11"/>
          <w:b/>
          <w:bCs/>
        </w:rPr>
        <w:t>Prawo do obrony domu i dostęp do broni automatycznej</w:t>
      </w:r>
      <w:bookmarkEnd w:id="5"/>
    </w:p>
    <w:p w:rsidR="00E8435E" w:rsidRDefault="004A6B7A">
      <w:pPr>
        <w:pStyle w:val="Bodytext10"/>
      </w:pPr>
      <w:r>
        <w:rPr>
          <w:rStyle w:val="Bodytext1"/>
        </w:rPr>
        <w:t>Przepisy</w:t>
      </w:r>
      <w:r>
        <w:rPr>
          <w:rStyle w:val="Bodytext1"/>
        </w:rPr>
        <w:t xml:space="preserve"> powinny sankcjonować prawo do posiadania broni w celu obrony miru domowego oraz przygotowania obywateli do ewentualnych działań w warunkach wojny. W związku z tym postuluję również </w:t>
      </w:r>
      <w:r>
        <w:rPr>
          <w:rStyle w:val="Bodytext1"/>
          <w:b/>
          <w:bCs/>
        </w:rPr>
        <w:t xml:space="preserve">zredefiniowanie dostępu do broni automatycznej (samoczynnej) </w:t>
      </w:r>
      <w:r>
        <w:rPr>
          <w:rStyle w:val="Bodytext1"/>
        </w:rPr>
        <w:t>dla pełnoletn</w:t>
      </w:r>
      <w:r>
        <w:rPr>
          <w:rStyle w:val="Bodytext1"/>
        </w:rPr>
        <w:t>ich, niekaranych i zweryfikowanych obywateli - np. w ramach specjalnych komponentów obrony terytorialnej, rezerw lub rozszerzonych licencji szkoleniowych, bez dotychczasowych, skrajnych ograniczeń instytucjonalnych.</w:t>
      </w:r>
    </w:p>
    <w:p w:rsidR="00E8435E" w:rsidRDefault="004A6B7A">
      <w:pPr>
        <w:pStyle w:val="Bodytext10"/>
        <w:numPr>
          <w:ilvl w:val="0"/>
          <w:numId w:val="1"/>
        </w:numPr>
        <w:tabs>
          <w:tab w:val="left" w:pos="327"/>
        </w:tabs>
      </w:pPr>
      <w:r>
        <w:rPr>
          <w:rStyle w:val="Bodytext1"/>
          <w:b/>
          <w:bCs/>
        </w:rPr>
        <w:t>Alternatywne zabezpieczenia broni (Bloka</w:t>
      </w:r>
      <w:r>
        <w:rPr>
          <w:rStyle w:val="Bodytext1"/>
          <w:b/>
          <w:bCs/>
        </w:rPr>
        <w:t xml:space="preserve">dy na spust i kłódki zamiast SI) </w:t>
      </w:r>
      <w:r>
        <w:rPr>
          <w:rStyle w:val="Bodytext1"/>
        </w:rPr>
        <w:t xml:space="preserve">Wnoszę o rezygnację z bezwzględnego wymogu przechowywania broni w szafach klasy S1 na rzecz tańszych i mobilnych zabezpieczeń mechanicznych, takich jak </w:t>
      </w:r>
      <w:r>
        <w:rPr>
          <w:rStyle w:val="Bodytext1"/>
          <w:b/>
          <w:bCs/>
        </w:rPr>
        <w:t xml:space="preserve">blokady na spust </w:t>
      </w:r>
      <w:r w:rsidRPr="000C781E">
        <w:rPr>
          <w:rStyle w:val="Bodytext1"/>
          <w:b/>
          <w:bCs/>
          <w:lang w:eastAsia="en-US" w:bidi="en-US"/>
        </w:rPr>
        <w:t xml:space="preserve">(trigger locks) </w:t>
      </w:r>
      <w:r>
        <w:rPr>
          <w:rStyle w:val="Bodytext1"/>
          <w:b/>
          <w:bCs/>
        </w:rPr>
        <w:t xml:space="preserve">oraz atestowane kłódki kablowe. </w:t>
      </w:r>
      <w:r>
        <w:rPr>
          <w:rStyle w:val="Bodytext1"/>
        </w:rPr>
        <w:t>Narzuc</w:t>
      </w:r>
      <w:r>
        <w:rPr>
          <w:rStyle w:val="Bodytext1"/>
        </w:rPr>
        <w:t>anie obowiązku zakupu pancernej szafy uderza w mobilność strzelców, podnosi koszty i</w:t>
      </w:r>
      <w:r w:rsidR="000C781E">
        <w:rPr>
          <w:rStyle w:val="Bodytext1"/>
        </w:rPr>
        <w:t> </w:t>
      </w:r>
      <w:bookmarkStart w:id="6" w:name="_GoBack"/>
      <w:bookmarkEnd w:id="6"/>
      <w:r>
        <w:rPr>
          <w:rStyle w:val="Bodytext1"/>
        </w:rPr>
        <w:t>utrudnia dynamiczne zabezpieczenie broni np. podczas czasowego pobytu poza miejscem stałego zamieszkania, w hotelu lub w podróży.</w:t>
      </w:r>
    </w:p>
    <w:p w:rsidR="00E8435E" w:rsidRDefault="004A6B7A">
      <w:pPr>
        <w:pStyle w:val="Heading110"/>
        <w:keepNext/>
        <w:keepLines/>
        <w:numPr>
          <w:ilvl w:val="0"/>
          <w:numId w:val="1"/>
        </w:numPr>
        <w:tabs>
          <w:tab w:val="left" w:pos="320"/>
        </w:tabs>
      </w:pPr>
      <w:bookmarkStart w:id="7" w:name="bookmark15"/>
      <w:r>
        <w:rPr>
          <w:rStyle w:val="Heading11"/>
          <w:b/>
          <w:bCs/>
        </w:rPr>
        <w:t xml:space="preserve">Przechowywanie i zabezpieczenie broni w </w:t>
      </w:r>
      <w:r>
        <w:rPr>
          <w:rStyle w:val="Heading11"/>
          <w:b/>
          <w:bCs/>
        </w:rPr>
        <w:t>pojeździe (samochodzie)</w:t>
      </w:r>
      <w:bookmarkEnd w:id="7"/>
    </w:p>
    <w:p w:rsidR="00E8435E" w:rsidRDefault="004A6B7A">
      <w:pPr>
        <w:pStyle w:val="Bodytext10"/>
      </w:pPr>
      <w:r>
        <w:rPr>
          <w:rStyle w:val="Bodytext1"/>
        </w:rPr>
        <w:t>Obecne przepisy zmuszają kierowców do ciągłego noszenia broni przy sobie, gdyż pozostawienie jej w zamkniętym aucie bywa interpretowane jako złamanie zasad należytego zabezpieczenia. Wnoszę o jasne uregulowanie tej kwestii poprzez d</w:t>
      </w:r>
      <w:r>
        <w:rPr>
          <w:rStyle w:val="Bodytext1"/>
        </w:rPr>
        <w:t>opuszczenie możliwości czasowego pozostawienia broni i amunicji w zamkniętym pojeździe, o ile broń jest niewidoczna z zewnątrz, bądź zabezpieczona dedykowaną kłódką kablową przypiętą do elementów konstrukcyjnych auta lub zamknięta w małej, mobilnej kasetce</w:t>
      </w:r>
      <w:r>
        <w:rPr>
          <w:rStyle w:val="Bodytext1"/>
        </w:rPr>
        <w:t xml:space="preserve"> podróżnej.</w:t>
      </w:r>
    </w:p>
    <w:p w:rsidR="00E8435E" w:rsidRDefault="004A6B7A">
      <w:pPr>
        <w:pStyle w:val="Heading110"/>
        <w:keepNext/>
        <w:keepLines/>
        <w:numPr>
          <w:ilvl w:val="0"/>
          <w:numId w:val="1"/>
        </w:numPr>
        <w:tabs>
          <w:tab w:val="left" w:pos="313"/>
        </w:tabs>
      </w:pPr>
      <w:bookmarkStart w:id="8" w:name="bookmark17"/>
      <w:r>
        <w:rPr>
          <w:rStyle w:val="Heading11"/>
          <w:b/>
          <w:bCs/>
        </w:rPr>
        <w:t>Swobodne przenoszenie broni w sposób niewidoczny (W futerale)</w:t>
      </w:r>
      <w:bookmarkEnd w:id="8"/>
    </w:p>
    <w:p w:rsidR="00E8435E" w:rsidRDefault="004A6B7A">
      <w:pPr>
        <w:pStyle w:val="Bodytext10"/>
      </w:pPr>
      <w:r>
        <w:rPr>
          <w:rStyle w:val="Bodytext1"/>
        </w:rPr>
        <w:t xml:space="preserve">Postuluję jednoznaczne i czytelne zalegalizowanie przenoszenia rozładowanej broni </w:t>
      </w:r>
      <w:r>
        <w:rPr>
          <w:rStyle w:val="Bodytext1"/>
          <w:b/>
          <w:bCs/>
        </w:rPr>
        <w:t xml:space="preserve">w sposób niewidoczny dla osób postronnych - np. w dedykowanych futerałach, torbach czy plecakach, </w:t>
      </w:r>
      <w:r>
        <w:rPr>
          <w:rStyle w:val="Bodytext1"/>
        </w:rPr>
        <w:t>be</w:t>
      </w:r>
      <w:r>
        <w:rPr>
          <w:rStyle w:val="Bodytext1"/>
        </w:rPr>
        <w:t>z restrykcyjnego wymogu noszenia jej wyłącznie przy ciele pod ubraniem. Dyskretny transport w pokrowcu w pełni zabezpiecza przed wzbudzaniem niepokoju społecznego, gwarantując jednocześnie wygodę i bezpieczeństwo transportu.</w:t>
      </w:r>
    </w:p>
    <w:p w:rsidR="00E8435E" w:rsidRDefault="004A6B7A">
      <w:pPr>
        <w:pStyle w:val="Bodytext10"/>
        <w:numPr>
          <w:ilvl w:val="0"/>
          <w:numId w:val="1"/>
        </w:numPr>
        <w:tabs>
          <w:tab w:val="left" w:pos="327"/>
        </w:tabs>
      </w:pPr>
      <w:r>
        <w:rPr>
          <w:rStyle w:val="Bodytext1"/>
          <w:b/>
          <w:bCs/>
        </w:rPr>
        <w:t>Ochrona przed dyskryminacją med</w:t>
      </w:r>
      <w:r>
        <w:rPr>
          <w:rStyle w:val="Bodytext1"/>
          <w:b/>
          <w:bCs/>
        </w:rPr>
        <w:t xml:space="preserve">yczną (Depresja a pozwolenie na broń) </w:t>
      </w:r>
      <w:r>
        <w:rPr>
          <w:rStyle w:val="Bodytext1"/>
        </w:rPr>
        <w:t>Postuluję zmianę przepisów w taki sposób, aby epizody depresyjne lub leczenie zaburzeń nastroju (depresji) nie stanowiły automatycznej, bezwzględnej przeszkody do posiadania broni palnej. Depresja to choroba cywilizacy</w:t>
      </w:r>
      <w:r>
        <w:rPr>
          <w:rStyle w:val="Bodytext1"/>
        </w:rPr>
        <w:t>jna, która w większości przypadków poddaje się skutecznemu leczeniu farmakologicznemu i</w:t>
      </w:r>
      <w:r>
        <w:rPr>
          <w:rStyle w:val="Bodytext1"/>
        </w:rPr>
        <w:br w:type="page"/>
      </w:r>
      <w:r>
        <w:rPr>
          <w:rStyle w:val="Bodytext1"/>
        </w:rPr>
        <w:lastRenderedPageBreak/>
        <w:t>terapeutycznemu. Obecne, archaiczne przepisy stygmatyzują strzelców i zmuszają ich do ukrywania problemów zdrowotnych ze strachu przed utratą uprawnień. Prawo powinno g</w:t>
      </w:r>
      <w:r>
        <w:rPr>
          <w:rStyle w:val="Bodytext1"/>
        </w:rPr>
        <w:t xml:space="preserve">warantować, że osoba lecząca się na depresję, posiadająca pozytywną opinię swojego lekarza prowadzącego, </w:t>
      </w:r>
      <w:r>
        <w:rPr>
          <w:rStyle w:val="Bodytext1"/>
          <w:b/>
          <w:bCs/>
        </w:rPr>
        <w:t xml:space="preserve">może bez przeszkód zachować lub uzyskać pozwolenie na broń. </w:t>
      </w:r>
      <w:r>
        <w:rPr>
          <w:rStyle w:val="Bodytext1"/>
        </w:rPr>
        <w:t xml:space="preserve">Zdrowie psychiczne powinno być oceniane indywidualnie i merytorycznie, a nie automatycznie </w:t>
      </w:r>
      <w:r>
        <w:rPr>
          <w:rStyle w:val="Bodytext1"/>
        </w:rPr>
        <w:t>dyskwalifikowane na podstawie samej jednostki chorobowej.</w:t>
      </w:r>
    </w:p>
    <w:p w:rsidR="00E8435E" w:rsidRDefault="004A6B7A">
      <w:pPr>
        <w:pStyle w:val="Heading110"/>
        <w:keepNext/>
        <w:keepLines/>
        <w:numPr>
          <w:ilvl w:val="0"/>
          <w:numId w:val="1"/>
        </w:numPr>
        <w:tabs>
          <w:tab w:val="left" w:pos="313"/>
        </w:tabs>
      </w:pPr>
      <w:bookmarkStart w:id="9" w:name="bookmark19"/>
      <w:r>
        <w:rPr>
          <w:rStyle w:val="Heading11"/>
          <w:b/>
          <w:bCs/>
        </w:rPr>
        <w:t>Przeniesienie kompetencji na drogę sądową i ograniczenie utraty praw do</w:t>
      </w:r>
      <w:r w:rsidR="000C781E">
        <w:rPr>
          <w:rStyle w:val="Heading11"/>
          <w:b/>
          <w:bCs/>
        </w:rPr>
        <w:t> </w:t>
      </w:r>
      <w:r>
        <w:rPr>
          <w:rStyle w:val="Heading11"/>
          <w:b/>
          <w:bCs/>
        </w:rPr>
        <w:t>ciężkich przestępstw</w:t>
      </w:r>
      <w:bookmarkEnd w:id="9"/>
    </w:p>
    <w:p w:rsidR="00E8435E" w:rsidRDefault="004A6B7A">
      <w:pPr>
        <w:pStyle w:val="Bodytext10"/>
      </w:pPr>
      <w:r>
        <w:rPr>
          <w:rStyle w:val="Bodytext1"/>
        </w:rPr>
        <w:t>Obecny system pozwala organom Policji (WPA) na cofnięcie pozwolenia na broń z</w:t>
      </w:r>
      <w:r w:rsidR="000C781E">
        <w:rPr>
          <w:rStyle w:val="Bodytext1"/>
        </w:rPr>
        <w:t> </w:t>
      </w:r>
      <w:r>
        <w:rPr>
          <w:rStyle w:val="Bodytext1"/>
        </w:rPr>
        <w:t>błahych powodów administrac</w:t>
      </w:r>
      <w:r>
        <w:rPr>
          <w:rStyle w:val="Bodytext1"/>
        </w:rPr>
        <w:t xml:space="preserve">yjnych. Postuluję zmianę przepisów w taki sposób, aby </w:t>
      </w:r>
      <w:r>
        <w:rPr>
          <w:rStyle w:val="Bodytext1"/>
          <w:b/>
          <w:bCs/>
        </w:rPr>
        <w:t xml:space="preserve">zawieszenie lub odebranie prawa do posiadania broni mogło nastąpić wyłącznie na mocy prawomocnego wyroku niezawisłego Sądu. </w:t>
      </w:r>
      <w:r>
        <w:rPr>
          <w:rStyle w:val="Bodytext1"/>
        </w:rPr>
        <w:t>Ponadto wnoszę o to, aby bezwzględna utrata pozwolenia na broń była sankcją st</w:t>
      </w:r>
      <w:r>
        <w:rPr>
          <w:rStyle w:val="Bodytext1"/>
        </w:rPr>
        <w:t xml:space="preserve">osowaną </w:t>
      </w:r>
      <w:r>
        <w:rPr>
          <w:rStyle w:val="Bodytext1"/>
          <w:b/>
          <w:bCs/>
        </w:rPr>
        <w:t xml:space="preserve">wyłącznie w przypadku skazania za ciężkie przestępstwa umyślne </w:t>
      </w:r>
      <w:r>
        <w:rPr>
          <w:rStyle w:val="Bodytext1"/>
        </w:rPr>
        <w:t>(np. z użyciem przemocy, przeciwko życiu i zdrowiu lub bezpieczeństwu powszechnemu). Drobne wykroczenia czy czyny o niskiej szkodliwości społecznej nie powinny pozbawiać praworządnego o</w:t>
      </w:r>
      <w:r>
        <w:rPr>
          <w:rStyle w:val="Bodytext1"/>
        </w:rPr>
        <w:t>bywatela narzędzi do obrony i uprawiania sportu.</w:t>
      </w:r>
    </w:p>
    <w:p w:rsidR="00E8435E" w:rsidRDefault="004A6B7A">
      <w:pPr>
        <w:pStyle w:val="Heading110"/>
        <w:keepNext/>
        <w:keepLines/>
        <w:numPr>
          <w:ilvl w:val="0"/>
          <w:numId w:val="1"/>
        </w:numPr>
        <w:tabs>
          <w:tab w:val="left" w:pos="313"/>
        </w:tabs>
      </w:pPr>
      <w:bookmarkStart w:id="10" w:name="bookmark21"/>
      <w:r>
        <w:rPr>
          <w:rStyle w:val="Heading11"/>
          <w:b/>
          <w:bCs/>
        </w:rPr>
        <w:t>Bezwzględny prymat prawa do obrony miru domowego nad przepisami administracyjnymi</w:t>
      </w:r>
      <w:bookmarkEnd w:id="10"/>
    </w:p>
    <w:p w:rsidR="00E8435E" w:rsidRDefault="004A6B7A">
      <w:pPr>
        <w:pStyle w:val="Bodytext10"/>
      </w:pPr>
      <w:r>
        <w:rPr>
          <w:rStyle w:val="Bodytext1"/>
        </w:rPr>
        <w:t xml:space="preserve">Postuluję wprowadzenie do ustawy jednoznacznego zapisu gwarantującego bezwzględną ochronę prawną dla posiadacza broni oraz </w:t>
      </w:r>
      <w:r>
        <w:rPr>
          <w:rStyle w:val="Bodytext1"/>
        </w:rPr>
        <w:t>jego bliskich w sytuacji odpierania bezpośredniego zamachu na życie lub zdrowie domowników w miejscu zamieszkania. Przepisy powinny wprost gwarantować, że:</w:t>
      </w:r>
    </w:p>
    <w:p w:rsidR="00E8435E" w:rsidRDefault="004A6B7A">
      <w:pPr>
        <w:pStyle w:val="Bodytext10"/>
        <w:numPr>
          <w:ilvl w:val="0"/>
          <w:numId w:val="2"/>
        </w:numPr>
        <w:tabs>
          <w:tab w:val="left" w:pos="727"/>
        </w:tabs>
        <w:spacing w:after="0"/>
        <w:ind w:left="700" w:hanging="340"/>
      </w:pPr>
      <w:r>
        <w:rPr>
          <w:rStyle w:val="Bodytext1"/>
        </w:rPr>
        <w:t>Użycie broni palnej w warunkach obrony koniecznej (Art. 25 KK) we własnym domu przez legalnego posia</w:t>
      </w:r>
      <w:r>
        <w:rPr>
          <w:rStyle w:val="Bodytext1"/>
        </w:rPr>
        <w:t xml:space="preserve">dacza będącego pod wpływem alkoholu lub innych substancji </w:t>
      </w:r>
      <w:r>
        <w:rPr>
          <w:rStyle w:val="Bodytext1"/>
          <w:b/>
          <w:bCs/>
        </w:rPr>
        <w:t xml:space="preserve">nie może stanowić podstawy do administracyjnego cofnięcia pozwolenia na broń, </w:t>
      </w:r>
      <w:r>
        <w:rPr>
          <w:rStyle w:val="Bodytext1"/>
        </w:rPr>
        <w:t>o ile obrona była zasadna. W sytuacji zagrożenia życia stan psychofizyczny wywołany spożyciem alkoholu nie może pozbawia</w:t>
      </w:r>
      <w:r>
        <w:rPr>
          <w:rStyle w:val="Bodytext1"/>
        </w:rPr>
        <w:t>ć obywatela prawa do skutecznej obrony rodziny.</w:t>
      </w:r>
    </w:p>
    <w:p w:rsidR="00E8435E" w:rsidRDefault="004A6B7A">
      <w:pPr>
        <w:pStyle w:val="Bodytext10"/>
        <w:numPr>
          <w:ilvl w:val="0"/>
          <w:numId w:val="2"/>
        </w:numPr>
        <w:tabs>
          <w:tab w:val="left" w:pos="727"/>
        </w:tabs>
        <w:spacing w:after="180"/>
        <w:ind w:left="700" w:hanging="340"/>
      </w:pPr>
      <w:r>
        <w:rPr>
          <w:rStyle w:val="Bodytext1"/>
        </w:rPr>
        <w:t>Użycie legalnie posiadanej broni przez innego stałego mieszkańca domu (np. współmałżonka, dorosłe dzieci) nieposiadającego własnego pozwolenia, w</w:t>
      </w:r>
      <w:r w:rsidR="000C781E">
        <w:rPr>
          <w:rStyle w:val="Bodytext1"/>
        </w:rPr>
        <w:t> </w:t>
      </w:r>
      <w:r>
        <w:rPr>
          <w:rStyle w:val="Bodytext1"/>
        </w:rPr>
        <w:t xml:space="preserve">celu odparcia ataku na domowników, </w:t>
      </w:r>
      <w:r>
        <w:rPr>
          <w:rStyle w:val="Bodytext1"/>
          <w:b/>
          <w:bCs/>
        </w:rPr>
        <w:t>musi być z mocy prawa trakt</w:t>
      </w:r>
      <w:r>
        <w:rPr>
          <w:rStyle w:val="Bodytext1"/>
          <w:b/>
          <w:bCs/>
        </w:rPr>
        <w:t xml:space="preserve">owane jako działanie w stanie wyższej konieczności i nie może skutkować odpowiedzialnością karną </w:t>
      </w:r>
      <w:r>
        <w:rPr>
          <w:rStyle w:val="Bodytext1"/>
        </w:rPr>
        <w:t>za nielegalne posiadanie broni ani dla osoby broniącej się, ani dla właściciela broni za jej rzekome „nieuprawnione udostępnienie”.</w:t>
      </w:r>
    </w:p>
    <w:p w:rsidR="00E8435E" w:rsidRDefault="004A6B7A">
      <w:pPr>
        <w:pStyle w:val="Heading110"/>
        <w:keepNext/>
        <w:keepLines/>
      </w:pPr>
      <w:bookmarkStart w:id="11" w:name="bookmark23"/>
      <w:r>
        <w:rPr>
          <w:rStyle w:val="Heading11"/>
          <w:b/>
          <w:bCs/>
        </w:rPr>
        <w:t>Uzasadnienie</w:t>
      </w:r>
      <w:bookmarkEnd w:id="11"/>
    </w:p>
    <w:p w:rsidR="00E8435E" w:rsidRDefault="004A6B7A">
      <w:pPr>
        <w:pStyle w:val="Bodytext10"/>
        <w:spacing w:after="0"/>
      </w:pPr>
      <w:r>
        <w:rPr>
          <w:rStyle w:val="Bodytext1"/>
        </w:rPr>
        <w:t>Czasy, w który</w:t>
      </w:r>
      <w:r>
        <w:rPr>
          <w:rStyle w:val="Bodytext1"/>
        </w:rPr>
        <w:t>ch projektowano obecną ustawę, bezpowrotnie minęły.</w:t>
      </w:r>
    </w:p>
    <w:p w:rsidR="00E8435E" w:rsidRDefault="004A6B7A">
      <w:pPr>
        <w:pStyle w:val="Bodytext10"/>
      </w:pPr>
      <w:r>
        <w:rPr>
          <w:rStyle w:val="Bodytext1"/>
        </w:rPr>
        <w:t>Rzeczpospolita potrzebuje obywateli potrafiących obsługiwać broń palną i mających</w:t>
      </w:r>
      <w:r>
        <w:rPr>
          <w:rStyle w:val="Bodytext1"/>
        </w:rPr>
        <w:br w:type="page"/>
      </w:r>
      <w:r>
        <w:rPr>
          <w:rStyle w:val="Bodytext1"/>
        </w:rPr>
        <w:lastRenderedPageBreak/>
        <w:t>do niej sprawny dostęp. Jeśli państwo zweryfikowało niekaralność obywatela, jego zdrowie oraz umiejętności techniczne, mno</w:t>
      </w:r>
      <w:r>
        <w:rPr>
          <w:rStyle w:val="Bodytext1"/>
        </w:rPr>
        <w:t>żenie dalszych barier urzędowych, stygmatyzowanie osób leczące się na depresję oraz utrzymywanie łatwości w odbieraniu uprawnień za błahe uchybienia jest działaniem na szkodę bezpieczeństwa powszechnego i praw obywatelskich. Własny dom musi być dla obywate</w:t>
      </w:r>
      <w:r>
        <w:rPr>
          <w:rStyle w:val="Bodytext1"/>
        </w:rPr>
        <w:t>la bezpieczną twierdzą, a prawo powinno chronić uczciwego Strzelca.</w:t>
      </w:r>
    </w:p>
    <w:p w:rsidR="00E8435E" w:rsidRDefault="004A6B7A">
      <w:pPr>
        <w:pStyle w:val="Bodytext10"/>
      </w:pPr>
      <w:r>
        <w:rPr>
          <w:rStyle w:val="Bodytext1"/>
          <w:i/>
          <w:iCs/>
        </w:rPr>
        <w:t>Wyrażam zgodę na ujawnienie na stronie internetowej podmiotu rozpatrującego petycję danych osobowych wyłącznie w formie pseudonimu:</w:t>
      </w:r>
      <w:r>
        <w:rPr>
          <w:rStyle w:val="Bodytext1"/>
          <w:b/>
          <w:bCs/>
        </w:rPr>
        <w:t xml:space="preserve"> </w:t>
      </w:r>
      <w:r w:rsidR="000C781E">
        <w:rPr>
          <w:rStyle w:val="Bodytext1"/>
          <w:b/>
          <w:bCs/>
        </w:rPr>
        <w:tab/>
      </w:r>
      <w:r w:rsidR="000C781E">
        <w:rPr>
          <w:rStyle w:val="Bodytext1"/>
          <w:b/>
          <w:bCs/>
        </w:rPr>
        <w:tab/>
      </w:r>
      <w:r w:rsidR="000C781E">
        <w:rPr>
          <w:rStyle w:val="Bodytext1"/>
          <w:b/>
          <w:bCs/>
        </w:rPr>
        <w:tab/>
      </w:r>
      <w:r>
        <w:rPr>
          <w:rStyle w:val="Bodytext1"/>
          <w:b/>
          <w:bCs/>
        </w:rPr>
        <w:t xml:space="preserve">, </w:t>
      </w:r>
      <w:r>
        <w:rPr>
          <w:rStyle w:val="Bodytext1"/>
          <w:i/>
          <w:iCs/>
        </w:rPr>
        <w:t>zgodnie z</w:t>
      </w:r>
      <w:r w:rsidR="000C781E">
        <w:rPr>
          <w:rStyle w:val="Bodytext1"/>
          <w:i/>
          <w:iCs/>
        </w:rPr>
        <w:t> </w:t>
      </w:r>
      <w:r w:rsidRPr="000C781E">
        <w:rPr>
          <w:rStyle w:val="Bodytext1"/>
          <w:i/>
          <w:iCs/>
          <w:lang w:eastAsia="en-US" w:bidi="en-US"/>
        </w:rPr>
        <w:t xml:space="preserve">art. </w:t>
      </w:r>
      <w:r>
        <w:rPr>
          <w:rStyle w:val="Bodytext1"/>
          <w:i/>
          <w:iCs/>
        </w:rPr>
        <w:t>4 ust. 3 ustawy o petycjach, z</w:t>
      </w:r>
      <w:r>
        <w:rPr>
          <w:rStyle w:val="Bodytext1"/>
          <w:i/>
          <w:iCs/>
        </w:rPr>
        <w:t>astrzegając jednocześnie brak zgody na</w:t>
      </w:r>
      <w:r w:rsidR="000C781E">
        <w:rPr>
          <w:rStyle w:val="Bodytext1"/>
          <w:i/>
          <w:iCs/>
        </w:rPr>
        <w:t> </w:t>
      </w:r>
      <w:r>
        <w:rPr>
          <w:rStyle w:val="Bodytext1"/>
          <w:i/>
          <w:iCs/>
        </w:rPr>
        <w:t>upublicznienie mojego prawdziwego imienia i nazwiska.</w:t>
      </w:r>
    </w:p>
    <w:p w:rsidR="00E8435E" w:rsidRDefault="000C781E">
      <w:pPr>
        <w:pStyle w:val="Bodytext10"/>
        <w:spacing w:after="0"/>
        <w:jc w:val="right"/>
      </w:pPr>
      <w:r>
        <w:rPr>
          <w:rStyle w:val="Bodytext1"/>
        </w:rPr>
        <w:t>Z poważaniem</w:t>
      </w:r>
    </w:p>
    <w:p w:rsidR="00E8435E" w:rsidRDefault="00E8435E">
      <w:pPr>
        <w:pStyle w:val="Bodytext10"/>
        <w:jc w:val="right"/>
      </w:pPr>
    </w:p>
    <w:sectPr w:rsidR="00E8435E">
      <w:pgSz w:w="11900" w:h="16840"/>
      <w:pgMar w:top="1477" w:right="1408" w:bottom="1331" w:left="1406" w:header="1049" w:footer="90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B7A" w:rsidRDefault="004A6B7A">
      <w:r>
        <w:separator/>
      </w:r>
    </w:p>
  </w:endnote>
  <w:endnote w:type="continuationSeparator" w:id="0">
    <w:p w:rsidR="004A6B7A" w:rsidRDefault="004A6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B7A" w:rsidRDefault="004A6B7A"/>
  </w:footnote>
  <w:footnote w:type="continuationSeparator" w:id="0">
    <w:p w:rsidR="004A6B7A" w:rsidRDefault="004A6B7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75082"/>
    <w:multiLevelType w:val="multilevel"/>
    <w:tmpl w:val="890871A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AB407A"/>
    <w:multiLevelType w:val="multilevel"/>
    <w:tmpl w:val="B3C2CC08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35E"/>
    <w:rsid w:val="000C781E"/>
    <w:rsid w:val="004A6B7A"/>
    <w:rsid w:val="00E8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8BFB2"/>
  <w15:docId w15:val="{0B4F6397-2E33-4086-8A90-9490A1431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Heading11">
    <w:name w:val="Heading #1|1_"/>
    <w:basedOn w:val="Domylnaczcionkaakapitu"/>
    <w:link w:val="Heading11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paragraph" w:customStyle="1" w:styleId="Bodytext10">
    <w:name w:val="Body text|1"/>
    <w:basedOn w:val="Normalny"/>
    <w:link w:val="Bodytext1"/>
    <w:pPr>
      <w:spacing w:after="240" w:line="276" w:lineRule="auto"/>
    </w:pPr>
    <w:rPr>
      <w:rFonts w:ascii="Arial" w:eastAsia="Arial" w:hAnsi="Arial" w:cs="Arial"/>
    </w:rPr>
  </w:style>
  <w:style w:type="paragraph" w:customStyle="1" w:styleId="Heading110">
    <w:name w:val="Heading #1|1"/>
    <w:basedOn w:val="Normalny"/>
    <w:link w:val="Heading11"/>
    <w:pPr>
      <w:spacing w:line="276" w:lineRule="auto"/>
      <w:outlineLvl w:val="0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1180</Words>
  <Characters>6727</Characters>
  <Application>Microsoft Office Word</Application>
  <DocSecurity>0</DocSecurity>
  <Lines>56</Lines>
  <Paragraphs>15</Paragraphs>
  <ScaleCrop>false</ScaleCrop>
  <Company>MSWiA</Company>
  <LinksUpToDate>false</LinksUpToDate>
  <CharactersWithSpaces>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2</cp:revision>
  <dcterms:created xsi:type="dcterms:W3CDTF">2026-10-14T11:13:00Z</dcterms:created>
  <dcterms:modified xsi:type="dcterms:W3CDTF">2026-10-14T11:13:00Z</dcterms:modified>
</cp:coreProperties>
</file>