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E0C8" w14:textId="2F2309DC" w:rsidR="00B65736" w:rsidRDefault="00B65736">
      <w:pPr>
        <w:spacing w:line="1" w:lineRule="exact"/>
      </w:pPr>
    </w:p>
    <w:p w14:paraId="04A17CA7" w14:textId="6E3E103D" w:rsidR="000C7882" w:rsidRDefault="00C4081A">
      <w:pPr>
        <w:pStyle w:val="Heading10"/>
        <w:keepNext/>
        <w:keepLines/>
        <w:spacing w:after="0"/>
        <w:rPr>
          <w:rStyle w:val="Heading1"/>
          <w:b/>
          <w:bCs/>
        </w:rPr>
      </w:pPr>
      <w:bookmarkStart w:id="0" w:name="bookmark2"/>
      <w:r>
        <w:rPr>
          <w:noProof/>
        </w:rPr>
        <w:drawing>
          <wp:anchor distT="0" distB="0" distL="114300" distR="114300" simplePos="0" relativeHeight="125829378" behindDoc="0" locked="0" layoutInCell="1" allowOverlap="1" wp14:anchorId="39A068FD" wp14:editId="51DA3B28">
            <wp:simplePos x="0" y="0"/>
            <wp:positionH relativeFrom="margin">
              <wp:align>left</wp:align>
            </wp:positionH>
            <wp:positionV relativeFrom="paragraph">
              <wp:posOffset>92075</wp:posOffset>
            </wp:positionV>
            <wp:extent cx="2340610" cy="865505"/>
            <wp:effectExtent l="0" t="0" r="254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340610" cy="865505"/>
                    </a:xfrm>
                    <a:prstGeom prst="rect">
                      <a:avLst/>
                    </a:prstGeom>
                  </pic:spPr>
                </pic:pic>
              </a:graphicData>
            </a:graphic>
          </wp:anchor>
        </w:drawing>
      </w:r>
    </w:p>
    <w:p w14:paraId="1AE3E9E9" w14:textId="77777777" w:rsidR="00A44D36" w:rsidRDefault="00A44D36">
      <w:pPr>
        <w:pStyle w:val="Heading10"/>
        <w:keepNext/>
        <w:keepLines/>
        <w:spacing w:after="0"/>
        <w:rPr>
          <w:rStyle w:val="Heading1"/>
          <w:b/>
          <w:bCs/>
        </w:rPr>
      </w:pPr>
    </w:p>
    <w:p w14:paraId="4E1AD413" w14:textId="77777777" w:rsidR="00A44D36" w:rsidRDefault="00A44D36" w:rsidP="00A44D36">
      <w:pPr>
        <w:pStyle w:val="Heading30"/>
        <w:keepNext/>
        <w:keepLines/>
        <w:spacing w:after="0"/>
        <w:jc w:val="right"/>
      </w:pPr>
      <w:bookmarkStart w:id="1" w:name="bookmark0"/>
      <w:r>
        <w:rPr>
          <w:rStyle w:val="Heading3"/>
          <w:b/>
          <w:bCs/>
          <w:color w:val="002856"/>
        </w:rPr>
        <w:t>ECHR-KS</w:t>
      </w:r>
      <w:bookmarkEnd w:id="1"/>
    </w:p>
    <w:p w14:paraId="7290B5E7" w14:textId="5FBFEE36" w:rsidR="000C7882" w:rsidRPr="00A44D36" w:rsidRDefault="00A44D36" w:rsidP="00A44D36">
      <w:pPr>
        <w:pStyle w:val="Bodytext30"/>
        <w:rPr>
          <w:rStyle w:val="Heading1"/>
          <w:b w:val="0"/>
          <w:bCs w:val="0"/>
          <w:color w:val="000000"/>
          <w:sz w:val="19"/>
          <w:szCs w:val="19"/>
        </w:rPr>
      </w:pPr>
      <w:r>
        <w:rPr>
          <w:rStyle w:val="Bodytext3"/>
          <w:i/>
          <w:iCs/>
        </w:rPr>
        <w:t>Kluczowy temat - Artykuł 6 Dostęp do adwokata</w:t>
      </w:r>
    </w:p>
    <w:p w14:paraId="1828D49D" w14:textId="77777777" w:rsidR="00A44D36" w:rsidRDefault="00A44D36" w:rsidP="00A44D36">
      <w:pPr>
        <w:pStyle w:val="Heading10"/>
        <w:keepNext/>
        <w:keepLines/>
        <w:pBdr>
          <w:top w:val="single" w:sz="4" w:space="1" w:color="auto"/>
        </w:pBdr>
        <w:spacing w:after="0"/>
        <w:rPr>
          <w:rStyle w:val="Heading1"/>
          <w:b/>
          <w:bCs/>
        </w:rPr>
      </w:pPr>
    </w:p>
    <w:p w14:paraId="728213CF" w14:textId="48524B8A" w:rsidR="00B65736" w:rsidRDefault="00381181">
      <w:pPr>
        <w:pStyle w:val="Heading10"/>
        <w:keepNext/>
        <w:keepLines/>
        <w:spacing w:after="0"/>
      </w:pPr>
      <w:r>
        <w:rPr>
          <w:rStyle w:val="Heading1"/>
          <w:b/>
          <w:bCs/>
        </w:rPr>
        <w:t>KLUCZOWY TEMAT</w:t>
      </w:r>
      <w:r>
        <w:rPr>
          <w:rStyle w:val="Heading1"/>
          <w:b/>
          <w:bCs/>
          <w:vertAlign w:val="superscript"/>
        </w:rPr>
        <w:footnoteReference w:id="1"/>
      </w:r>
      <w:bookmarkEnd w:id="0"/>
    </w:p>
    <w:p w14:paraId="38FF1847" w14:textId="69BDD09D" w:rsidR="0016420C" w:rsidRDefault="00381181">
      <w:pPr>
        <w:pStyle w:val="Heading10"/>
        <w:keepNext/>
        <w:keepLines/>
        <w:rPr>
          <w:rStyle w:val="Heading1"/>
          <w:b/>
          <w:bCs/>
        </w:rPr>
      </w:pPr>
      <w:bookmarkStart w:id="2" w:name="bookmark4"/>
      <w:r>
        <w:rPr>
          <w:rStyle w:val="Heading1"/>
          <w:b/>
          <w:bCs/>
        </w:rPr>
        <w:t>Artykuł 6 §§ 1 i 3 (c)</w:t>
      </w:r>
    </w:p>
    <w:p w14:paraId="033EE9B5" w14:textId="69CD9596" w:rsidR="00B65736" w:rsidRDefault="00381181">
      <w:pPr>
        <w:pStyle w:val="Heading10"/>
        <w:keepNext/>
        <w:keepLines/>
      </w:pPr>
      <w:r>
        <w:rPr>
          <w:rStyle w:val="Heading1"/>
          <w:b/>
          <w:bCs/>
        </w:rPr>
        <w:t>Dostęp</w:t>
      </w:r>
      <w:r w:rsidR="0016420C">
        <w:rPr>
          <w:rStyle w:val="Heading1"/>
          <w:b/>
          <w:bCs/>
        </w:rPr>
        <w:t xml:space="preserve"> </w:t>
      </w:r>
      <w:r>
        <w:rPr>
          <w:rStyle w:val="Heading1"/>
          <w:b/>
          <w:bCs/>
        </w:rPr>
        <w:t>do adwokata</w:t>
      </w:r>
      <w:bookmarkEnd w:id="2"/>
    </w:p>
    <w:p w14:paraId="1F9881D3" w14:textId="300C60B1" w:rsidR="00B65736" w:rsidRDefault="00381181">
      <w:pPr>
        <w:pStyle w:val="Tekstpodstawowy"/>
        <w:spacing w:after="220" w:line="226" w:lineRule="auto"/>
        <w:jc w:val="center"/>
        <w:rPr>
          <w:sz w:val="22"/>
          <w:szCs w:val="22"/>
        </w:rPr>
      </w:pPr>
      <w:r>
        <w:rPr>
          <w:rStyle w:val="TekstpodstawowyZnak"/>
          <w:b/>
          <w:bCs/>
          <w:color w:val="2F2F2F"/>
          <w:sz w:val="22"/>
          <w:szCs w:val="22"/>
        </w:rPr>
        <w:t>(Ostatnia aktualizacja: 28/02/2025</w:t>
      </w:r>
      <w:r w:rsidR="00A44D36">
        <w:rPr>
          <w:rStyle w:val="TekstpodstawowyZnak"/>
          <w:b/>
          <w:bCs/>
          <w:color w:val="2F2F2F"/>
          <w:sz w:val="22"/>
          <w:szCs w:val="22"/>
        </w:rPr>
        <w:t xml:space="preserve"> r.</w:t>
      </w:r>
      <w:r>
        <w:rPr>
          <w:rStyle w:val="TekstpodstawowyZnak"/>
          <w:b/>
          <w:bCs/>
          <w:color w:val="2F2F2F"/>
          <w:sz w:val="22"/>
          <w:szCs w:val="22"/>
        </w:rPr>
        <w:t>)</w:t>
      </w:r>
    </w:p>
    <w:p w14:paraId="38B9308E" w14:textId="77777777" w:rsidR="00B65736" w:rsidRDefault="00381181" w:rsidP="00A44D36">
      <w:pPr>
        <w:pStyle w:val="Heading30"/>
        <w:keepNext/>
        <w:keepLines/>
        <w:pBdr>
          <w:bottom w:val="single" w:sz="4" w:space="1" w:color="auto"/>
        </w:pBdr>
        <w:spacing w:after="160"/>
      </w:pPr>
      <w:bookmarkStart w:id="3" w:name="bookmark6"/>
      <w:r>
        <w:rPr>
          <w:rStyle w:val="Heading3"/>
          <w:b/>
          <w:bCs/>
        </w:rPr>
        <w:t>Wprowadzenie</w:t>
      </w:r>
      <w:bookmarkEnd w:id="3"/>
    </w:p>
    <w:p w14:paraId="33888B35" w14:textId="026CC855" w:rsidR="00B65736" w:rsidRDefault="00381181">
      <w:pPr>
        <w:pStyle w:val="Tekstpodstawowy"/>
        <w:spacing w:after="100"/>
        <w:jc w:val="both"/>
      </w:pPr>
      <w:r>
        <w:rPr>
          <w:rStyle w:val="TekstpodstawowyZnak"/>
        </w:rPr>
        <w:t>Prawo każdego oskarżonego o popełnienie przestępstwa do skutecznej obrony przez adwokata, w razie potrzeby przydzielonego z urzędu, jest jedną z podstawowych cech rzetelnego procesu sądowego (</w:t>
      </w:r>
      <w:hyperlink r:id="rId9" w:history="1">
        <w:r>
          <w:rPr>
            <w:rStyle w:val="TekstpodstawowyZnak"/>
            <w:i/>
            <w:iCs/>
            <w:color w:val="0072BC"/>
          </w:rPr>
          <w:t>Salduz</w:t>
        </w:r>
      </w:hyperlink>
      <w:r>
        <w:rPr>
          <w:rStyle w:val="TekstpodstawowyZnak"/>
          <w:i/>
          <w:iCs/>
          <w:color w:val="0072BC"/>
        </w:rPr>
        <w:t xml:space="preserve"> </w:t>
      </w:r>
      <w:hyperlink r:id="rId10" w:history="1">
        <w:r>
          <w:rPr>
            <w:rStyle w:val="TekstpodstawowyZnak"/>
            <w:i/>
            <w:iCs/>
            <w:color w:val="0072BC"/>
          </w:rPr>
          <w:t>przeciwko Turcji</w:t>
        </w:r>
        <w:r>
          <w:rPr>
            <w:rStyle w:val="TekstpodstawowyZnak"/>
            <w:color w:val="0072BC"/>
          </w:rPr>
          <w:t xml:space="preserve"> </w:t>
        </w:r>
      </w:hyperlink>
      <w:r>
        <w:rPr>
          <w:rStyle w:val="TekstpodstawowyZnak"/>
        </w:rPr>
        <w:t>[</w:t>
      </w:r>
      <w:r w:rsidR="000C7882">
        <w:rPr>
          <w:rStyle w:val="TekstpodstawowyZnak"/>
        </w:rPr>
        <w:t>WI</w:t>
      </w:r>
      <w:r>
        <w:rPr>
          <w:rStyle w:val="TekstpodstawowyZnak"/>
        </w:rPr>
        <w:t>], 2008</w:t>
      </w:r>
      <w:r w:rsidR="000C7882">
        <w:rPr>
          <w:rStyle w:val="TekstpodstawowyZnak"/>
        </w:rPr>
        <w:t xml:space="preserve"> r.</w:t>
      </w:r>
      <w:r>
        <w:rPr>
          <w:rStyle w:val="TekstpodstawowyZnak"/>
        </w:rPr>
        <w:t xml:space="preserve">, § 51; </w:t>
      </w:r>
      <w:hyperlink r:id="rId11" w:history="1">
        <w:r>
          <w:rPr>
            <w:rStyle w:val="TekstpodstawowyZnak"/>
            <w:i/>
            <w:iCs/>
            <w:color w:val="0072BC"/>
          </w:rPr>
          <w:t>Ibrahim i Inni przeciwko Zjednoczonemu Królestwu</w:t>
        </w:r>
        <w:r>
          <w:rPr>
            <w:rStyle w:val="TekstpodstawowyZnak"/>
            <w:color w:val="0072BC"/>
          </w:rPr>
          <w:t xml:space="preserve"> </w:t>
        </w:r>
      </w:hyperlink>
      <w:r>
        <w:rPr>
          <w:rStyle w:val="TekstpodstawowyZnak"/>
        </w:rPr>
        <w:t>[</w:t>
      </w:r>
      <w:r w:rsidR="000C7882">
        <w:rPr>
          <w:rStyle w:val="TekstpodstawowyZnak"/>
        </w:rPr>
        <w:t>WI</w:t>
      </w:r>
      <w:r>
        <w:rPr>
          <w:rStyle w:val="TekstpodstawowyZnak"/>
        </w:rPr>
        <w:t>], 2016</w:t>
      </w:r>
      <w:r w:rsidR="000C7882">
        <w:rPr>
          <w:rStyle w:val="TekstpodstawowyZnak"/>
        </w:rPr>
        <w:t xml:space="preserve"> r.</w:t>
      </w:r>
      <w:r>
        <w:rPr>
          <w:rStyle w:val="TekstpodstawowyZnak"/>
        </w:rPr>
        <w:t xml:space="preserve">, § 255). Co do zasady, podejrzanemu należy zapewnić dostęp do pomocy prawnej od momentu postawienia mu </w:t>
      </w:r>
      <w:r w:rsidR="000C7882">
        <w:rPr>
          <w:rStyle w:val="TekstpodstawowyZnak"/>
        </w:rPr>
        <w:t>„</w:t>
      </w:r>
      <w:r>
        <w:rPr>
          <w:rStyle w:val="TekstpodstawowyZnak"/>
        </w:rPr>
        <w:t>zarzutów karnych" w autonomicznym rozumieniu Konwencji (</w:t>
      </w:r>
      <w:hyperlink r:id="rId12" w:history="1">
        <w:r>
          <w:rPr>
            <w:rStyle w:val="TekstpodstawowyZnak"/>
            <w:i/>
            <w:iCs/>
            <w:color w:val="0072BC"/>
          </w:rPr>
          <w:t>Simeonovi przeciwko Bułgarii</w:t>
        </w:r>
        <w:r>
          <w:rPr>
            <w:rStyle w:val="TekstpodstawowyZnak"/>
            <w:color w:val="0072BC"/>
          </w:rPr>
          <w:t xml:space="preserve"> </w:t>
        </w:r>
      </w:hyperlink>
      <w:r>
        <w:rPr>
          <w:rStyle w:val="TekstpodstawowyZnak"/>
        </w:rPr>
        <w:t>[</w:t>
      </w:r>
      <w:r w:rsidR="000C7882">
        <w:rPr>
          <w:rStyle w:val="TekstpodstawowyZnak"/>
        </w:rPr>
        <w:t>WI</w:t>
      </w:r>
      <w:r>
        <w:rPr>
          <w:rStyle w:val="TekstpodstawowyZnak"/>
        </w:rPr>
        <w:t>], 2017</w:t>
      </w:r>
      <w:r w:rsidR="000C7882">
        <w:rPr>
          <w:rStyle w:val="TekstpodstawowyZnak"/>
        </w:rPr>
        <w:t xml:space="preserve"> r.</w:t>
      </w:r>
      <w:r>
        <w:rPr>
          <w:rStyle w:val="TekstpodstawowyZnak"/>
        </w:rPr>
        <w:t>, § 110;</w:t>
      </w:r>
      <w:hyperlink r:id="rId13" w:history="1">
        <w:r>
          <w:rPr>
            <w:rStyle w:val="TekstpodstawowyZnak"/>
          </w:rPr>
          <w:t xml:space="preserve"> </w:t>
        </w:r>
        <w:r>
          <w:rPr>
            <w:rStyle w:val="TekstpodstawowyZnak"/>
            <w:i/>
            <w:iCs/>
            <w:color w:val="0072BC"/>
          </w:rPr>
          <w:t>Beuze przeciwko Belgii</w:t>
        </w:r>
        <w:r>
          <w:rPr>
            <w:rStyle w:val="TekstpodstawowyZnak"/>
            <w:color w:val="0072BC"/>
          </w:rPr>
          <w:t xml:space="preserve"> </w:t>
        </w:r>
      </w:hyperlink>
      <w:r>
        <w:rPr>
          <w:rStyle w:val="TekstpodstawowyZnak"/>
        </w:rPr>
        <w:t>[</w:t>
      </w:r>
      <w:r w:rsidR="000C7882">
        <w:rPr>
          <w:rStyle w:val="TekstpodstawowyZnak"/>
        </w:rPr>
        <w:t>WI</w:t>
      </w:r>
      <w:r>
        <w:rPr>
          <w:rStyle w:val="TekstpodstawowyZnak"/>
        </w:rPr>
        <w:t>], 2018</w:t>
      </w:r>
      <w:r w:rsidR="000C7882">
        <w:rPr>
          <w:rStyle w:val="TekstpodstawowyZnak"/>
        </w:rPr>
        <w:t xml:space="preserve"> r.</w:t>
      </w:r>
      <w:r>
        <w:rPr>
          <w:rStyle w:val="TekstpodstawowyZnak"/>
        </w:rPr>
        <w:t>, § 119;</w:t>
      </w:r>
      <w:hyperlink r:id="rId14" w:history="1">
        <w:r>
          <w:rPr>
            <w:rStyle w:val="TekstpodstawowyZnak"/>
          </w:rPr>
          <w:t xml:space="preserve"> </w:t>
        </w:r>
        <w:r>
          <w:rPr>
            <w:rStyle w:val="TekstpodstawowyZnak"/>
            <w:i/>
            <w:iCs/>
            <w:color w:val="0072BC"/>
          </w:rPr>
          <w:t>Dubois przeciwko Francji</w:t>
        </w:r>
      </w:hyperlink>
      <w:r>
        <w:rPr>
          <w:rStyle w:val="TekstpodstawowyZnak"/>
        </w:rPr>
        <w:t>, 2022</w:t>
      </w:r>
      <w:r w:rsidR="000C7882">
        <w:rPr>
          <w:rStyle w:val="TekstpodstawowyZnak"/>
        </w:rPr>
        <w:t xml:space="preserve"> r.</w:t>
      </w:r>
      <w:r>
        <w:rPr>
          <w:rStyle w:val="TekstpodstawowyZnak"/>
        </w:rPr>
        <w:t>, §§ 45-46 i 69-75).</w:t>
      </w:r>
    </w:p>
    <w:p w14:paraId="18513F02" w14:textId="33C37E01" w:rsidR="00B65736" w:rsidRDefault="00381181" w:rsidP="00381181">
      <w:pPr>
        <w:pStyle w:val="Tekstpodstawowy"/>
        <w:spacing w:after="100"/>
        <w:jc w:val="both"/>
      </w:pPr>
      <w:r>
        <w:rPr>
          <w:rStyle w:val="TekstpodstawowyZnak"/>
        </w:rPr>
        <w:t>W sprawie</w:t>
      </w:r>
      <w:hyperlink r:id="rId15" w:history="1">
        <w:r>
          <w:rPr>
            <w:rStyle w:val="TekstpodstawowyZnak"/>
          </w:rPr>
          <w:t xml:space="preserve"> </w:t>
        </w:r>
        <w:r>
          <w:rPr>
            <w:rStyle w:val="TekstpodstawowyZnak"/>
            <w:i/>
            <w:iCs/>
            <w:color w:val="0072BC"/>
          </w:rPr>
          <w:t>Beuze przeciwko Belgii</w:t>
        </w:r>
        <w:r>
          <w:rPr>
            <w:rStyle w:val="TekstpodstawowyZnak"/>
            <w:color w:val="0072BC"/>
          </w:rPr>
          <w:t xml:space="preserve"> </w:t>
        </w:r>
      </w:hyperlink>
      <w:r>
        <w:rPr>
          <w:rStyle w:val="TekstpodstawowyZnak"/>
        </w:rPr>
        <w:t>[</w:t>
      </w:r>
      <w:r w:rsidR="000C7882">
        <w:rPr>
          <w:rStyle w:val="TekstpodstawowyZnak"/>
        </w:rPr>
        <w:t>WI</w:t>
      </w:r>
      <w:r>
        <w:rPr>
          <w:rStyle w:val="TekstpodstawowyZnak"/>
        </w:rPr>
        <w:t>], 2018</w:t>
      </w:r>
      <w:r w:rsidR="000C7882">
        <w:rPr>
          <w:rStyle w:val="TekstpodstawowyZnak"/>
        </w:rPr>
        <w:t xml:space="preserve"> r.</w:t>
      </w:r>
      <w:r>
        <w:rPr>
          <w:rStyle w:val="TekstpodstawowyZnak"/>
        </w:rPr>
        <w:t xml:space="preserve">, §§ 125-130, opierając się na swoim wcześniejszym orzecznictwie (w szczególności </w:t>
      </w:r>
      <w:hyperlink r:id="rId16" w:history="1">
        <w:r>
          <w:rPr>
            <w:rStyle w:val="TekstpodstawowyZnak"/>
            <w:i/>
            <w:iCs/>
            <w:color w:val="0072BC"/>
          </w:rPr>
          <w:t>Salduz</w:t>
        </w:r>
      </w:hyperlink>
      <w:r>
        <w:t xml:space="preserve"> </w:t>
      </w:r>
      <w:hyperlink r:id="rId17" w:history="1">
        <w:r>
          <w:rPr>
            <w:rStyle w:val="TekstpodstawowyZnak"/>
            <w:i/>
            <w:iCs/>
            <w:color w:val="0072BC"/>
          </w:rPr>
          <w:t>v. Turcja</w:t>
        </w:r>
        <w:r>
          <w:rPr>
            <w:rStyle w:val="TekstpodstawowyZnak"/>
            <w:color w:val="0072BC"/>
          </w:rPr>
          <w:t xml:space="preserve"> </w:t>
        </w:r>
      </w:hyperlink>
      <w:r>
        <w:rPr>
          <w:rStyle w:val="TekstpodstawowyZnak"/>
        </w:rPr>
        <w:t xml:space="preserve">[WI], 2008 r., §§ 53-54; </w:t>
      </w:r>
      <w:hyperlink r:id="rId18" w:history="1">
        <w:r>
          <w:rPr>
            <w:rStyle w:val="TekstpodstawowyZnak"/>
            <w:i/>
            <w:iCs/>
            <w:color w:val="0072BC"/>
          </w:rPr>
          <w:t>Ibrahim i Inni przeciwko Zjednoczonemu Królestwu</w:t>
        </w:r>
        <w:r>
          <w:rPr>
            <w:rStyle w:val="TekstpodstawowyZnak"/>
            <w:color w:val="0072BC"/>
          </w:rPr>
          <w:t xml:space="preserve"> </w:t>
        </w:r>
      </w:hyperlink>
      <w:r>
        <w:rPr>
          <w:rStyle w:val="TekstpodstawowyZnak"/>
        </w:rPr>
        <w:t xml:space="preserve">[WI], 2016 r., § 255; </w:t>
      </w:r>
      <w:hyperlink r:id="rId19" w:history="1">
        <w:r>
          <w:rPr>
            <w:rStyle w:val="TekstpodstawowyZnak"/>
            <w:i/>
            <w:iCs/>
            <w:color w:val="0072BC"/>
          </w:rPr>
          <w:t>Simeonovi przeciwko Bułgarii</w:t>
        </w:r>
        <w:r>
          <w:rPr>
            <w:rStyle w:val="TekstpodstawowyZnak"/>
            <w:color w:val="0072BC"/>
          </w:rPr>
          <w:t xml:space="preserve"> </w:t>
        </w:r>
      </w:hyperlink>
      <w:r>
        <w:rPr>
          <w:rStyle w:val="TekstpodstawowyZnak"/>
        </w:rPr>
        <w:t xml:space="preserve">[WI], 2017 r., § 112) Trybunał wyjaśnił, że </w:t>
      </w:r>
      <w:r>
        <w:rPr>
          <w:rStyle w:val="TekstpodstawowyZnak"/>
          <w:b/>
          <w:bCs/>
        </w:rPr>
        <w:t xml:space="preserve">cele realizowane </w:t>
      </w:r>
      <w:r>
        <w:rPr>
          <w:rStyle w:val="TekstpodstawowyZnak"/>
        </w:rPr>
        <w:t>przez prawo dostępu do adwokata obejmują następujące kwestie:</w:t>
      </w:r>
    </w:p>
    <w:p w14:paraId="708E39E6" w14:textId="77777777" w:rsidR="00B65736" w:rsidRDefault="00381181">
      <w:pPr>
        <w:pStyle w:val="Tekstpodstawowy"/>
        <w:numPr>
          <w:ilvl w:val="0"/>
          <w:numId w:val="1"/>
        </w:numPr>
        <w:tabs>
          <w:tab w:val="left" w:pos="849"/>
        </w:tabs>
        <w:ind w:left="860" w:hanging="280"/>
        <w:jc w:val="both"/>
      </w:pPr>
      <w:r>
        <w:rPr>
          <w:rStyle w:val="TekstpodstawowyZnak"/>
        </w:rPr>
        <w:t>Zapobieganie pomyłkom sądowym, a przede wszystkim realizacja celów art. 6, w szczególności równość broni między organami prowadzącymi dochodzenie lub ściganie a oskarżonym;</w:t>
      </w:r>
    </w:p>
    <w:p w14:paraId="1B501023" w14:textId="77777777" w:rsidR="00B65736" w:rsidRDefault="00381181">
      <w:pPr>
        <w:pStyle w:val="Tekstpodstawowy"/>
        <w:numPr>
          <w:ilvl w:val="0"/>
          <w:numId w:val="1"/>
        </w:numPr>
        <w:tabs>
          <w:tab w:val="left" w:pos="849"/>
        </w:tabs>
        <w:ind w:firstLine="580"/>
      </w:pPr>
      <w:r>
        <w:rPr>
          <w:rStyle w:val="TekstpodstawowyZnak"/>
        </w:rPr>
        <w:t>Przeciwwaga dla bezbronności podejrzanych w areszcie policyjnym;</w:t>
      </w:r>
    </w:p>
    <w:p w14:paraId="6987D1A0" w14:textId="77777777" w:rsidR="00B65736" w:rsidRDefault="00381181">
      <w:pPr>
        <w:pStyle w:val="Tekstpodstawowy"/>
        <w:numPr>
          <w:ilvl w:val="0"/>
          <w:numId w:val="1"/>
        </w:numPr>
        <w:tabs>
          <w:tab w:val="left" w:pos="849"/>
        </w:tabs>
        <w:ind w:firstLine="580"/>
        <w:jc w:val="both"/>
      </w:pPr>
      <w:r>
        <w:rPr>
          <w:rStyle w:val="TekstpodstawowyZnak"/>
        </w:rPr>
        <w:t>Podstawowe zabezpieczenie przed przymusem i złym traktowaniem podejrzanych przez policję;</w:t>
      </w:r>
    </w:p>
    <w:p w14:paraId="1A81C8D6" w14:textId="44E1D00F" w:rsidR="00B65736" w:rsidRDefault="00381181">
      <w:pPr>
        <w:pStyle w:val="Tekstpodstawowy"/>
        <w:numPr>
          <w:ilvl w:val="0"/>
          <w:numId w:val="1"/>
        </w:numPr>
        <w:tabs>
          <w:tab w:val="left" w:pos="849"/>
        </w:tabs>
        <w:spacing w:after="100"/>
        <w:ind w:left="860" w:hanging="280"/>
        <w:jc w:val="both"/>
      </w:pPr>
      <w:r>
        <w:rPr>
          <w:rStyle w:val="TekstpodstawowyZnak"/>
        </w:rPr>
        <w:t>Zapewnienie poszanowania prawa oskarżonego do nieobciążania samego siebie i do zachowania milczenia, które - podobnie jak prawo dostępu do adwokata jako takie - może być zagwarantowane tylko wtedy, gdy oskarżony zostanie odpowiednio poinformowany o tych prawach (zob. również</w:t>
      </w:r>
      <w:hyperlink r:id="rId20" w:history="1">
        <w:r>
          <w:rPr>
            <w:rStyle w:val="TekstpodstawowyZnak"/>
          </w:rPr>
          <w:t xml:space="preserve"> </w:t>
        </w:r>
        <w:r>
          <w:rPr>
            <w:rStyle w:val="TekstpodstawowyZnak"/>
            <w:i/>
            <w:iCs/>
            <w:color w:val="0072BC"/>
          </w:rPr>
          <w:t>Lalik przeciwko Polsce</w:t>
        </w:r>
      </w:hyperlink>
      <w:r>
        <w:rPr>
          <w:rStyle w:val="TekstpodstawowyZnak"/>
        </w:rPr>
        <w:t>, 2023</w:t>
      </w:r>
      <w:r w:rsidR="000C7882">
        <w:rPr>
          <w:rStyle w:val="TekstpodstawowyZnak"/>
        </w:rPr>
        <w:t xml:space="preserve"> r.</w:t>
      </w:r>
      <w:r>
        <w:rPr>
          <w:rStyle w:val="TekstpodstawowyZnak"/>
        </w:rPr>
        <w:t>, § 62). W związku z tym natychmiastowy dostęp do adwokata mogącego udzielić informacji o prawach procesowych może zapobiec niesprawiedliwości wynikającej z braku odpowiednich informacji o prawach.</w:t>
      </w:r>
    </w:p>
    <w:p w14:paraId="000267D4" w14:textId="268605B9" w:rsidR="00B65736" w:rsidRDefault="00381181">
      <w:pPr>
        <w:pStyle w:val="Tekstpodstawowy"/>
        <w:spacing w:after="100"/>
        <w:jc w:val="both"/>
      </w:pPr>
      <w:hyperlink r:id="rId21" w:history="1">
        <w:r>
          <w:rPr>
            <w:rStyle w:val="TekstpodstawowyZnak"/>
            <w:i/>
            <w:iCs/>
            <w:color w:val="0072BC"/>
          </w:rPr>
          <w:t>W sprawie Beuze przeciwko Belgii</w:t>
        </w:r>
        <w:r>
          <w:rPr>
            <w:rStyle w:val="TekstpodstawowyZnak"/>
            <w:color w:val="0072BC"/>
          </w:rPr>
          <w:t xml:space="preserve"> </w:t>
        </w:r>
      </w:hyperlink>
      <w:r>
        <w:rPr>
          <w:rStyle w:val="TekstpodstawowyZnak"/>
        </w:rPr>
        <w:t>[</w:t>
      </w:r>
      <w:r w:rsidR="000C7882">
        <w:rPr>
          <w:rStyle w:val="TekstpodstawowyZnak"/>
        </w:rPr>
        <w:t>WI</w:t>
      </w:r>
      <w:r>
        <w:rPr>
          <w:rStyle w:val="TekstpodstawowyZnak"/>
        </w:rPr>
        <w:t>], 2018</w:t>
      </w:r>
      <w:r w:rsidR="000C7882">
        <w:rPr>
          <w:rStyle w:val="TekstpodstawowyZnak"/>
        </w:rPr>
        <w:t xml:space="preserve"> r.</w:t>
      </w:r>
      <w:r>
        <w:rPr>
          <w:rStyle w:val="TekstpodstawowyZnak"/>
        </w:rPr>
        <w:t xml:space="preserve">, §§ 133-134, Trybunał opracował również </w:t>
      </w:r>
      <w:r>
        <w:rPr>
          <w:rStyle w:val="TekstpodstawowyZnak"/>
          <w:b/>
          <w:bCs/>
        </w:rPr>
        <w:t>treść prawa dostępu do adwokata</w:t>
      </w:r>
      <w:r>
        <w:rPr>
          <w:rStyle w:val="TekstpodstawowyZnak"/>
        </w:rPr>
        <w:t>. Wyróżnił dwa minimalne wymogi: (1) prawo do kontaktu i konsultacji z adwokatem przed przesłuchaniem, które obejmuje również prawo do udzielania adwokatowi poufnych instrukcji, oraz (2) fizyczną obecność adwokata podczas wstępnego przesłuchania przez policję i wszelkich dalszych przesłuchań w toku postępowania przygotowawczego. Taka obecność musi zapewniać skuteczną i praktyczną pomoc prawną.</w:t>
      </w:r>
    </w:p>
    <w:p w14:paraId="71DCEBD1" w14:textId="01E684F1" w:rsidR="004777F2" w:rsidRDefault="00CF7210">
      <w:pPr>
        <w:pStyle w:val="Tekstpodstawowy"/>
        <w:spacing w:after="100"/>
        <w:jc w:val="both"/>
        <w:rPr>
          <w:rStyle w:val="TekstpodstawowyZnak"/>
        </w:rPr>
      </w:pPr>
      <w:r>
        <w:rPr>
          <w:noProof/>
        </w:rPr>
        <w:drawing>
          <wp:anchor distT="50800" distB="0" distL="114300" distR="114300" simplePos="0" relativeHeight="251659264" behindDoc="0" locked="0" layoutInCell="1" allowOverlap="1" wp14:anchorId="0B89D975" wp14:editId="14DB5A8E">
            <wp:simplePos x="0" y="0"/>
            <wp:positionH relativeFrom="margin">
              <wp:align>center</wp:align>
            </wp:positionH>
            <wp:positionV relativeFrom="bottomMargin">
              <wp:posOffset>555879</wp:posOffset>
            </wp:positionV>
            <wp:extent cx="737870" cy="591185"/>
            <wp:effectExtent l="0" t="0" r="5080" b="0"/>
            <wp:wrapTopAndBottom/>
            <wp:docPr id="3" name="Shape 3" descr="Obraz zawierający tekst, Czcionka, kreskówka, clipart&#10;&#10;Zawartość wygenerowana przez sztuczną inteligencję może być niepoprawna."/>
            <wp:cNvGraphicFramePr/>
            <a:graphic xmlns:a="http://schemas.openxmlformats.org/drawingml/2006/main">
              <a:graphicData uri="http://schemas.openxmlformats.org/drawingml/2006/picture">
                <pic:pic xmlns:pic="http://schemas.openxmlformats.org/drawingml/2006/picture">
                  <pic:nvPicPr>
                    <pic:cNvPr id="3" name="Shape 3" descr="Obraz zawierający tekst, Czcionka, kreskówka, clipart&#10;&#10;Zawartość wygenerowana przez sztuczną inteligencję może być niepoprawna."/>
                    <pic:cNvPicPr/>
                  </pic:nvPicPr>
                  <pic:blipFill>
                    <a:blip r:embed="rId22"/>
                    <a:stretch/>
                  </pic:blipFill>
                  <pic:spPr>
                    <a:xfrm>
                      <a:off x="0" y="0"/>
                      <a:ext cx="737870" cy="591185"/>
                    </a:xfrm>
                    <a:prstGeom prst="rect">
                      <a:avLst/>
                    </a:prstGeom>
                  </pic:spPr>
                </pic:pic>
              </a:graphicData>
            </a:graphic>
          </wp:anchor>
        </w:drawing>
      </w:r>
      <w:r w:rsidR="00381181">
        <w:rPr>
          <w:rStyle w:val="TekstpodstawowyZnak"/>
        </w:rPr>
        <w:t xml:space="preserve">W związku z tym ostatnim minimalnym wymogiem należy zauważyć, że w sprawie </w:t>
      </w:r>
      <w:hyperlink r:id="rId23" w:history="1">
        <w:r w:rsidR="00381181">
          <w:rPr>
            <w:rStyle w:val="TekstpodstawowyZnak"/>
            <w:i/>
            <w:iCs/>
            <w:color w:val="0072BC"/>
          </w:rPr>
          <w:t>Soytemiz przeciwko</w:t>
        </w:r>
      </w:hyperlink>
      <w:r w:rsidR="00381181">
        <w:rPr>
          <w:rStyle w:val="TekstpodstawowyZnak"/>
          <w:i/>
          <w:iCs/>
          <w:color w:val="0072BC"/>
        </w:rPr>
        <w:t xml:space="preserve"> </w:t>
      </w:r>
      <w:hyperlink r:id="rId24" w:history="1">
        <w:r w:rsidR="00381181">
          <w:rPr>
            <w:rStyle w:val="TekstpodstawowyZnak"/>
            <w:i/>
            <w:iCs/>
            <w:color w:val="0072BC"/>
          </w:rPr>
          <w:t>Turcji</w:t>
        </w:r>
      </w:hyperlink>
      <w:r w:rsidR="00381181">
        <w:rPr>
          <w:rStyle w:val="TekstpodstawowyZnak"/>
        </w:rPr>
        <w:t>, 2018</w:t>
      </w:r>
      <w:r w:rsidR="001E0E0F">
        <w:rPr>
          <w:rStyle w:val="TekstpodstawowyZnak"/>
        </w:rPr>
        <w:t xml:space="preserve"> r.</w:t>
      </w:r>
      <w:r w:rsidR="00381181">
        <w:rPr>
          <w:rStyle w:val="TekstpodstawowyZnak"/>
        </w:rPr>
        <w:t xml:space="preserve">, §§ 44-64, Trybunał podkreślił, że prawo do korzystania z pomocy adwokata wymaga nie tylko, aby adwokat mógł być obecny, ale także, aby mógł aktywnie pomagać podejrzanemu podczas, </w:t>
      </w:r>
      <w:r w:rsidR="00381181" w:rsidRPr="009C2C8B">
        <w:rPr>
          <w:rStyle w:val="TekstpodstawowyZnak"/>
        </w:rPr>
        <w:t>między innymi</w:t>
      </w:r>
      <w:r w:rsidR="00381181">
        <w:rPr>
          <w:rStyle w:val="TekstpodstawowyZnak"/>
        </w:rPr>
        <w:t xml:space="preserve">, przesłuchania przez policję i interweniować w celu zapewnienia poszanowania praw podejrzanego. Prawo do korzystania z pomocy adwokata obowiązuje przez cały czas i do końca przesłuchania przez policję, w tym podczas odczytywania odebranych </w:t>
      </w:r>
      <w:r w:rsidR="009C2C8B">
        <w:rPr>
          <w:rStyle w:val="TekstpodstawowyZnak"/>
        </w:rPr>
        <w:t>wyjaśnień</w:t>
      </w:r>
      <w:r w:rsidR="00381181">
        <w:rPr>
          <w:rStyle w:val="TekstpodstawowyZnak"/>
        </w:rPr>
        <w:t xml:space="preserve"> i proszenia podejrzanego o potwierdzenie</w:t>
      </w:r>
      <w:r w:rsidR="00C42B70">
        <w:rPr>
          <w:rStyle w:val="TekstpodstawowyZnak"/>
        </w:rPr>
        <w:t xml:space="preserve"> i podpisa</w:t>
      </w:r>
      <w:r w:rsidR="009C2C8B">
        <w:rPr>
          <w:rStyle w:val="TekstpodstawowyZnak"/>
        </w:rPr>
        <w:t>nie ich</w:t>
      </w:r>
      <w:r w:rsidR="00C42B70">
        <w:rPr>
          <w:rStyle w:val="TekstpodstawowyZnak"/>
        </w:rPr>
        <w:t xml:space="preserve">, ponieważ pomoc adwokata jest równie ważna w tym momencie przesłuchania. W związku z tym policja jest zasadniczo zobowiązana do powstrzymania się od przesłuchania lub odroczenia przesłuchania w przypadku powołania się przez podejrzanego na prawo do pomocy adwokata podczas przesłuchania, dopóki adwokat nie będzie obecny i nie będzie w stanie pomóc podejrzanemu. To samo dotyczy sytuacji, w której adwokat musi opuścić przesłuchanie lub zostanie o to poproszony przed zakończeniem przesłuchania przez policję oraz przed odczytaniem i </w:t>
      </w:r>
      <w:r w:rsidR="00C42B70">
        <w:rPr>
          <w:rStyle w:val="TekstpodstawowyZnak"/>
        </w:rPr>
        <w:lastRenderedPageBreak/>
        <w:t xml:space="preserve">podpisaniem </w:t>
      </w:r>
    </w:p>
    <w:p w14:paraId="5346B91E" w14:textId="77777777" w:rsidR="00381181" w:rsidRDefault="00381181">
      <w:pPr>
        <w:pStyle w:val="Tekstpodstawowy"/>
        <w:spacing w:after="100"/>
        <w:jc w:val="both"/>
        <w:rPr>
          <w:rStyle w:val="TekstpodstawowyZnak"/>
        </w:rPr>
      </w:pPr>
    </w:p>
    <w:p w14:paraId="62E0B598" w14:textId="34C78589" w:rsidR="004777F2" w:rsidRDefault="004777F2">
      <w:pPr>
        <w:pStyle w:val="Tekstpodstawowy"/>
        <w:spacing w:after="100"/>
        <w:jc w:val="both"/>
        <w:rPr>
          <w:rStyle w:val="TekstpodstawowyZnak"/>
        </w:rPr>
      </w:pPr>
    </w:p>
    <w:p w14:paraId="6CCC38C7" w14:textId="62843369" w:rsidR="003355CC" w:rsidRDefault="00C42B70">
      <w:pPr>
        <w:pStyle w:val="Tekstpodstawowy"/>
        <w:spacing w:after="100"/>
        <w:jc w:val="both"/>
        <w:rPr>
          <w:rStyle w:val="TekstpodstawowyZnak"/>
        </w:rPr>
      </w:pPr>
      <w:r>
        <w:rPr>
          <w:rStyle w:val="TekstpodstawowyZnak"/>
        </w:rPr>
        <w:t>złożonych zeznań. Jednakże w sprawie</w:t>
      </w:r>
      <w:hyperlink r:id="rId25" w:history="1">
        <w:r>
          <w:rPr>
            <w:rStyle w:val="TekstpodstawowyZnak"/>
          </w:rPr>
          <w:t xml:space="preserve"> </w:t>
        </w:r>
        <w:r>
          <w:rPr>
            <w:rStyle w:val="TekstpodstawowyZnak"/>
            <w:i/>
            <w:iCs/>
            <w:color w:val="0072BC"/>
          </w:rPr>
          <w:t>Doyle przeciwko Irlandii</w:t>
        </w:r>
      </w:hyperlink>
      <w:r>
        <w:rPr>
          <w:rStyle w:val="TekstpodstawowyZnak"/>
        </w:rPr>
        <w:t xml:space="preserve">, 2019 r., §§ 81-103, w której skarżącemu zezwolono na </w:t>
      </w:r>
      <w:r w:rsidR="00507397">
        <w:rPr>
          <w:rStyle w:val="TekstpodstawowyZnak"/>
        </w:rPr>
        <w:t>reprezentację przez adwokata, ale jego adwokat nie został dopuszczony do przesłuchania przez policję w wyniku odpowiedniej praktyki policyjnej stosowanej w tym czasie, Trybunał nie stwierdził naruszenia Artykułu 6 §§ 1 i 3 (c) Konwencji. Trybunał uznał, że pomimo kwestionowanego ograniczenia prawa skarżącego do dostępu do adwokata podczas przesłuchania przez policję, w okolicznościach przedmiotowej sprawy ogólna rzetelność postępowania nie została nieodwracalnie naruszona.</w:t>
      </w:r>
    </w:p>
    <w:p w14:paraId="6FFFE65B" w14:textId="16E28199" w:rsidR="00B65736" w:rsidRDefault="008F3D20">
      <w:pPr>
        <w:pStyle w:val="Tekstpodstawowy"/>
        <w:spacing w:after="100"/>
        <w:jc w:val="both"/>
      </w:pPr>
      <w:r>
        <w:rPr>
          <w:rStyle w:val="TekstpodstawowyZnak"/>
        </w:rPr>
        <w:t xml:space="preserve">Jednakże </w:t>
      </w:r>
      <w:r w:rsidR="00381181">
        <w:rPr>
          <w:rStyle w:val="TekstpodstawowyZnak"/>
        </w:rPr>
        <w:t xml:space="preserve">w sprawie </w:t>
      </w:r>
      <w:hyperlink r:id="rId26" w:history="1">
        <w:r w:rsidR="00381181">
          <w:rPr>
            <w:rStyle w:val="TekstpodstawowyZnak"/>
            <w:i/>
            <w:iCs/>
            <w:color w:val="0072BC"/>
          </w:rPr>
          <w:t>Beuze przeciwko Belgii</w:t>
        </w:r>
        <w:r w:rsidR="00381181">
          <w:rPr>
            <w:rStyle w:val="TekstpodstawowyZnak"/>
            <w:color w:val="0072BC"/>
          </w:rPr>
          <w:t xml:space="preserve"> </w:t>
        </w:r>
        <w:r w:rsidR="00381181">
          <w:rPr>
            <w:rStyle w:val="TekstpodstawowyZnak"/>
          </w:rPr>
          <w:t>[</w:t>
        </w:r>
        <w:r w:rsidR="00C42B70">
          <w:rPr>
            <w:rStyle w:val="TekstpodstawowyZnak"/>
          </w:rPr>
          <w:t>WI</w:t>
        </w:r>
        <w:r w:rsidR="00381181">
          <w:rPr>
            <w:rStyle w:val="TekstpodstawowyZnak"/>
          </w:rPr>
          <w:t>], 2018</w:t>
        </w:r>
        <w:r w:rsidR="00C42B70">
          <w:rPr>
            <w:rStyle w:val="TekstpodstawowyZnak"/>
          </w:rPr>
          <w:t xml:space="preserve"> r.</w:t>
        </w:r>
        <w:r w:rsidR="00381181">
          <w:rPr>
            <w:rStyle w:val="TekstpodstawowyZnak"/>
          </w:rPr>
          <w:t xml:space="preserve">, </w:t>
        </w:r>
      </w:hyperlink>
      <w:r w:rsidR="00381181">
        <w:rPr>
          <w:rStyle w:val="TekstpodstawowyZnak"/>
        </w:rPr>
        <w:t xml:space="preserve">§ 135, Trybunał wskazał, tytułem przykładu, że w zależności od konkretnych okoliczności każdej sprawy i danego systemu prawnego, następujące ograniczenia mogą również podważać rzetelność postępowania: (1) odmowa lub trudności napotkane przez adwokata w ubieganiu się o dostęp do akt sprawy na najwcześniejszych etapach postępowania karnego lub w trakcie postępowania przygotowawczego oraz (2) nieuczestniczenie adwokata w czynnościach dochodzeniowych, takich jak </w:t>
      </w:r>
      <w:r w:rsidR="009D3CD1">
        <w:rPr>
          <w:rStyle w:val="TekstpodstawowyZnak"/>
        </w:rPr>
        <w:t>identyfikacja podejrzanych</w:t>
      </w:r>
      <w:r w:rsidR="00381181">
        <w:rPr>
          <w:rStyle w:val="TekstpodstawowyZnak"/>
        </w:rPr>
        <w:t xml:space="preserve"> lub rekonstrukcje</w:t>
      </w:r>
      <w:r w:rsidR="009D3CD1">
        <w:rPr>
          <w:rStyle w:val="TekstpodstawowyZnak"/>
        </w:rPr>
        <w:t xml:space="preserve"> zdarzeń</w:t>
      </w:r>
      <w:r w:rsidR="00381181">
        <w:rPr>
          <w:rStyle w:val="TekstpodstawowyZnak"/>
        </w:rPr>
        <w:t xml:space="preserve">. Może to również obejmować konieczność obecności adwokata podczas </w:t>
      </w:r>
      <w:r w:rsidR="009D3CD1">
        <w:rPr>
          <w:rStyle w:val="TekstpodstawowyZnak"/>
        </w:rPr>
        <w:t>czynności</w:t>
      </w:r>
      <w:r w:rsidR="00381181">
        <w:rPr>
          <w:rStyle w:val="TekstpodstawowyZnak"/>
        </w:rPr>
        <w:t xml:space="preserve"> przeszukania i zajęcia (</w:t>
      </w:r>
      <w:hyperlink r:id="rId27" w:history="1">
        <w:r w:rsidR="00381181">
          <w:rPr>
            <w:rStyle w:val="TekstpodstawowyZnak"/>
            <w:i/>
            <w:iCs/>
            <w:color w:val="0072BC"/>
          </w:rPr>
          <w:t>Ayetullah Ay</w:t>
        </w:r>
      </w:hyperlink>
      <w:r w:rsidR="00381181">
        <w:rPr>
          <w:rStyle w:val="TekstpodstawowyZnak"/>
          <w:i/>
          <w:iCs/>
          <w:color w:val="0072BC"/>
        </w:rPr>
        <w:t xml:space="preserve"> </w:t>
      </w:r>
      <w:hyperlink r:id="rId28" w:history="1">
        <w:r w:rsidR="00381181">
          <w:rPr>
            <w:rStyle w:val="TekstpodstawowyZnak"/>
            <w:i/>
            <w:iCs/>
            <w:color w:val="0072BC"/>
          </w:rPr>
          <w:t>przeciwko Turcji</w:t>
        </w:r>
      </w:hyperlink>
      <w:r w:rsidR="00381181">
        <w:rPr>
          <w:rStyle w:val="TekstpodstawowyZnak"/>
        </w:rPr>
        <w:t>, 2020</w:t>
      </w:r>
      <w:r w:rsidR="00C42B70">
        <w:rPr>
          <w:rStyle w:val="TekstpodstawowyZnak"/>
        </w:rPr>
        <w:t xml:space="preserve"> r.</w:t>
      </w:r>
      <w:r w:rsidR="00381181">
        <w:rPr>
          <w:rStyle w:val="TekstpodstawowyZnak"/>
        </w:rPr>
        <w:t>, §§ 135 i 163).</w:t>
      </w:r>
    </w:p>
    <w:p w14:paraId="47351D1B" w14:textId="6F873203" w:rsidR="00B65736" w:rsidRDefault="00381181">
      <w:pPr>
        <w:pStyle w:val="Tekstpodstawowy"/>
        <w:spacing w:after="100"/>
        <w:jc w:val="both"/>
      </w:pPr>
      <w:r>
        <w:rPr>
          <w:rStyle w:val="TekstpodstawowyZnak"/>
        </w:rPr>
        <w:t>Ponadto Trybunał wskazał, że przy ocenie ogólnej rzetelności postępowania należy wziąć pod uwagę, indywidualnie dla każdego przypadku, cały zakres usług szczególnie związanych z pomocą prawną: omówienie sprawy, organizację obrony, zebranie dowodów uniewinniających, przygotowanie do przesłuchania, wsparcie dla oskarżonego znajdującego się w trudnej sytuacji oraz weryfikację warunków pozbawienia wolności (</w:t>
      </w:r>
      <w:hyperlink r:id="rId29" w:history="1">
        <w:r>
          <w:rPr>
            <w:rStyle w:val="TekstpodstawowyZnak"/>
            <w:i/>
            <w:iCs/>
            <w:color w:val="0072BC"/>
          </w:rPr>
          <w:t>Beuze przeciwko Belgii</w:t>
        </w:r>
        <w:r>
          <w:rPr>
            <w:rStyle w:val="TekstpodstawowyZnak"/>
            <w:color w:val="0072BC"/>
          </w:rPr>
          <w:t xml:space="preserve"> </w:t>
        </w:r>
        <w:r>
          <w:rPr>
            <w:rStyle w:val="TekstpodstawowyZnak"/>
          </w:rPr>
          <w:t>[</w:t>
        </w:r>
        <w:r w:rsidR="00C42B70">
          <w:rPr>
            <w:rStyle w:val="TekstpodstawowyZnak"/>
          </w:rPr>
          <w:t>WI</w:t>
        </w:r>
        <w:r>
          <w:rPr>
            <w:rStyle w:val="TekstpodstawowyZnak"/>
          </w:rPr>
          <w:t>], 2018</w:t>
        </w:r>
        <w:r w:rsidR="00C42B70">
          <w:rPr>
            <w:rStyle w:val="TekstpodstawowyZnak"/>
          </w:rPr>
          <w:t xml:space="preserve"> r.</w:t>
        </w:r>
        <w:r>
          <w:rPr>
            <w:rStyle w:val="TekstpodstawowyZnak"/>
          </w:rPr>
          <w:t xml:space="preserve">, </w:t>
        </w:r>
      </w:hyperlink>
      <w:r>
        <w:rPr>
          <w:rStyle w:val="TekstpodstawowyZnak"/>
        </w:rPr>
        <w:t>§ 136).</w:t>
      </w:r>
    </w:p>
    <w:p w14:paraId="5BAA6BF3" w14:textId="192BA7C4" w:rsidR="00B65736" w:rsidRDefault="00381181">
      <w:pPr>
        <w:pStyle w:val="Tekstpodstawowy"/>
        <w:spacing w:after="200"/>
        <w:jc w:val="both"/>
      </w:pPr>
      <w:r>
        <w:rPr>
          <w:rStyle w:val="TekstpodstawowyZnak"/>
        </w:rPr>
        <w:t>Artykuł 6 § 3 (c) obejmuje szczególne aspekty prawa do rzetelnego procesu sądowego w rozumieniu art. 6 § 1 (</w:t>
      </w:r>
      <w:hyperlink r:id="rId30" w:history="1">
        <w:r>
          <w:rPr>
            <w:rStyle w:val="TekstpodstawowyZnak"/>
            <w:i/>
            <w:iCs/>
            <w:color w:val="0072BC"/>
          </w:rPr>
          <w:t>Dvorski przeciwko Chorwacji</w:t>
        </w:r>
        <w:r>
          <w:rPr>
            <w:rStyle w:val="TekstpodstawowyZnak"/>
            <w:color w:val="0072BC"/>
          </w:rPr>
          <w:t xml:space="preserve"> </w:t>
        </w:r>
      </w:hyperlink>
      <w:r>
        <w:rPr>
          <w:rStyle w:val="TekstpodstawowyZnak"/>
        </w:rPr>
        <w:t>[</w:t>
      </w:r>
      <w:r w:rsidR="00444486">
        <w:rPr>
          <w:rStyle w:val="TekstpodstawowyZnak"/>
        </w:rPr>
        <w:t>WI</w:t>
      </w:r>
      <w:r>
        <w:rPr>
          <w:rStyle w:val="TekstpodstawowyZnak"/>
        </w:rPr>
        <w:t>], 2015</w:t>
      </w:r>
      <w:r w:rsidR="00444486">
        <w:rPr>
          <w:rStyle w:val="TekstpodstawowyZnak"/>
        </w:rPr>
        <w:t xml:space="preserve"> r.</w:t>
      </w:r>
      <w:r>
        <w:rPr>
          <w:rStyle w:val="TekstpodstawowyZnak"/>
        </w:rPr>
        <w:t>, § 76), a zadaniem Trybunału w każdej sprawie jest zbadanie ogólnej rzetelności postępowania, a mianowicie, czy postępowanie jako całość było rzetelne (</w:t>
      </w:r>
      <w:hyperlink r:id="rId31" w:history="1">
        <w:r>
          <w:rPr>
            <w:rStyle w:val="TekstpodstawowyZnak"/>
            <w:i/>
            <w:iCs/>
            <w:color w:val="0072BC"/>
          </w:rPr>
          <w:t>Ibrahim i</w:t>
        </w:r>
      </w:hyperlink>
      <w:r>
        <w:rPr>
          <w:rStyle w:val="TekstpodstawowyZnak"/>
          <w:i/>
          <w:iCs/>
          <w:color w:val="0072BC"/>
        </w:rPr>
        <w:t xml:space="preserve"> </w:t>
      </w:r>
      <w:hyperlink r:id="rId32" w:history="1">
        <w:r w:rsidR="003355CC">
          <w:rPr>
            <w:rStyle w:val="TekstpodstawowyZnak"/>
            <w:i/>
            <w:iCs/>
            <w:color w:val="0072BC"/>
          </w:rPr>
          <w:t>I</w:t>
        </w:r>
        <w:r>
          <w:rPr>
            <w:rStyle w:val="TekstpodstawowyZnak"/>
            <w:i/>
            <w:iCs/>
            <w:color w:val="0072BC"/>
          </w:rPr>
          <w:t>nni przeciwko Zjednoczonemu Królestwu</w:t>
        </w:r>
        <w:r>
          <w:rPr>
            <w:rStyle w:val="TekstpodstawowyZnak"/>
            <w:color w:val="0072BC"/>
          </w:rPr>
          <w:t xml:space="preserve"> </w:t>
        </w:r>
      </w:hyperlink>
      <w:r>
        <w:rPr>
          <w:rStyle w:val="TekstpodstawowyZnak"/>
        </w:rPr>
        <w:t>[</w:t>
      </w:r>
      <w:r w:rsidR="00444486">
        <w:rPr>
          <w:rStyle w:val="TekstpodstawowyZnak"/>
        </w:rPr>
        <w:t>WI</w:t>
      </w:r>
      <w:r>
        <w:rPr>
          <w:rStyle w:val="TekstpodstawowyZnak"/>
        </w:rPr>
        <w:t>], 2016</w:t>
      </w:r>
      <w:r w:rsidR="00444486">
        <w:rPr>
          <w:rStyle w:val="TekstpodstawowyZnak"/>
        </w:rPr>
        <w:t xml:space="preserve"> r.</w:t>
      </w:r>
      <w:r>
        <w:rPr>
          <w:rStyle w:val="TekstpodstawowyZnak"/>
        </w:rPr>
        <w:t>, § 257;</w:t>
      </w:r>
      <w:hyperlink r:id="rId33" w:history="1">
        <w:r>
          <w:rPr>
            <w:rStyle w:val="TekstpodstawowyZnak"/>
          </w:rPr>
          <w:t xml:space="preserve"> </w:t>
        </w:r>
        <w:r>
          <w:rPr>
            <w:rStyle w:val="TekstpodstawowyZnak"/>
            <w:i/>
            <w:iCs/>
            <w:color w:val="0072BC"/>
          </w:rPr>
          <w:t>Beuze przeciwko Belgii</w:t>
        </w:r>
        <w:r>
          <w:rPr>
            <w:rStyle w:val="TekstpodstawowyZnak"/>
            <w:color w:val="0072BC"/>
          </w:rPr>
          <w:t xml:space="preserve"> </w:t>
        </w:r>
      </w:hyperlink>
      <w:r>
        <w:rPr>
          <w:rStyle w:val="TekstpodstawowyZnak"/>
        </w:rPr>
        <w:t>[</w:t>
      </w:r>
      <w:r w:rsidR="00444486">
        <w:rPr>
          <w:rStyle w:val="TekstpodstawowyZnak"/>
        </w:rPr>
        <w:t>WI</w:t>
      </w:r>
      <w:r>
        <w:rPr>
          <w:rStyle w:val="TekstpodstawowyZnak"/>
        </w:rPr>
        <w:t>], 2018</w:t>
      </w:r>
      <w:r w:rsidR="00444486">
        <w:rPr>
          <w:rStyle w:val="TekstpodstawowyZnak"/>
        </w:rPr>
        <w:t xml:space="preserve"> r.</w:t>
      </w:r>
      <w:r>
        <w:rPr>
          <w:rStyle w:val="TekstpodstawowyZnak"/>
        </w:rPr>
        <w:t>, §§ 120</w:t>
      </w:r>
      <w:r w:rsidR="00A76B52">
        <w:rPr>
          <w:rStyle w:val="TekstpodstawowyZnak"/>
        </w:rPr>
        <w:t>-</w:t>
      </w:r>
      <w:r>
        <w:rPr>
          <w:rStyle w:val="TekstpodstawowyZnak"/>
        </w:rPr>
        <w:softHyphen/>
        <w:t>122).</w:t>
      </w:r>
    </w:p>
    <w:p w14:paraId="33FC2CA2" w14:textId="77777777" w:rsidR="00B65736" w:rsidRPr="00FA1C63" w:rsidRDefault="00381181" w:rsidP="00FA1C63">
      <w:pPr>
        <w:pStyle w:val="Heading30"/>
        <w:keepNext/>
        <w:keepLines/>
        <w:pBdr>
          <w:bottom w:val="single" w:sz="4" w:space="1" w:color="auto"/>
        </w:pBdr>
      </w:pPr>
      <w:bookmarkStart w:id="4" w:name="bookmark8"/>
      <w:r w:rsidRPr="00FA1C63">
        <w:rPr>
          <w:rStyle w:val="Heading3"/>
          <w:b/>
          <w:bCs/>
        </w:rPr>
        <w:t>Zasady wynikające z aktualnego orzecznictwa</w:t>
      </w:r>
      <w:bookmarkEnd w:id="4"/>
    </w:p>
    <w:p w14:paraId="6C491725" w14:textId="5F6FC26B" w:rsidR="00B65736" w:rsidRDefault="00381181">
      <w:pPr>
        <w:pStyle w:val="Tekstpodstawowy"/>
        <w:numPr>
          <w:ilvl w:val="0"/>
          <w:numId w:val="1"/>
        </w:numPr>
        <w:tabs>
          <w:tab w:val="left" w:pos="846"/>
        </w:tabs>
        <w:ind w:left="860" w:hanging="280"/>
        <w:jc w:val="both"/>
      </w:pPr>
      <w:r>
        <w:rPr>
          <w:rStyle w:val="TekstpodstawowyZnak"/>
        </w:rPr>
        <w:t>Wczesny dostęp do adwokata gwarantowany na mocy art. 6 § 3 (c) może, wyjątkowo, zostać opóźniony. To, czy takie ograniczenie dostępu do adwokata jest zgodne z ogólną rzetelnością postępowania, jest oceniane na dwóch etapach (</w:t>
      </w:r>
      <w:hyperlink r:id="rId34" w:history="1">
        <w:r>
          <w:rPr>
            <w:rStyle w:val="TekstpodstawowyZnak"/>
            <w:i/>
            <w:iCs/>
            <w:color w:val="0072BC"/>
          </w:rPr>
          <w:t>Ibrahim i Inni przeciwko Zjednoczonemu</w:t>
        </w:r>
      </w:hyperlink>
      <w:r>
        <w:rPr>
          <w:rStyle w:val="TekstpodstawowyZnak"/>
          <w:i/>
          <w:iCs/>
          <w:color w:val="0072BC"/>
        </w:rPr>
        <w:t xml:space="preserve"> </w:t>
      </w:r>
      <w:hyperlink r:id="rId35" w:history="1">
        <w:r>
          <w:rPr>
            <w:rStyle w:val="TekstpodstawowyZnak"/>
            <w:i/>
            <w:iCs/>
            <w:color w:val="0072BC"/>
          </w:rPr>
          <w:t>Królestwu</w:t>
        </w:r>
        <w:r>
          <w:rPr>
            <w:rStyle w:val="TekstpodstawowyZnak"/>
            <w:color w:val="0072BC"/>
          </w:rPr>
          <w:t xml:space="preserve"> </w:t>
        </w:r>
      </w:hyperlink>
      <w:r>
        <w:rPr>
          <w:rStyle w:val="TekstpodstawowyZnak"/>
        </w:rPr>
        <w:t>[</w:t>
      </w:r>
      <w:r w:rsidR="00444486">
        <w:rPr>
          <w:rStyle w:val="TekstpodstawowyZnak"/>
        </w:rPr>
        <w:t>WI</w:t>
      </w:r>
      <w:r>
        <w:rPr>
          <w:rStyle w:val="TekstpodstawowyZnak"/>
        </w:rPr>
        <w:t>], 2016</w:t>
      </w:r>
      <w:r w:rsidR="00444486">
        <w:rPr>
          <w:rStyle w:val="TekstpodstawowyZnak"/>
        </w:rPr>
        <w:t xml:space="preserve"> r.</w:t>
      </w:r>
      <w:r>
        <w:rPr>
          <w:rStyle w:val="TekstpodstawowyZnak"/>
        </w:rPr>
        <w:t>, § 257):</w:t>
      </w:r>
    </w:p>
    <w:p w14:paraId="4B09CD8B" w14:textId="77777777" w:rsidR="00B65736" w:rsidRDefault="00381181">
      <w:pPr>
        <w:pStyle w:val="Tekstpodstawowy"/>
        <w:numPr>
          <w:ilvl w:val="0"/>
          <w:numId w:val="2"/>
        </w:numPr>
        <w:tabs>
          <w:tab w:val="left" w:pos="1424"/>
        </w:tabs>
        <w:ind w:left="1160"/>
        <w:jc w:val="both"/>
      </w:pPr>
      <w:r>
        <w:rPr>
          <w:rStyle w:val="TekstpodstawowyZnak"/>
        </w:rPr>
        <w:t>Trybunał ocenia, czy istniały ważne powody ograniczenia;</w:t>
      </w:r>
    </w:p>
    <w:p w14:paraId="521F24F0" w14:textId="669AD8DF" w:rsidR="00B65736" w:rsidRDefault="00381181">
      <w:pPr>
        <w:pStyle w:val="Tekstpodstawowy"/>
        <w:numPr>
          <w:ilvl w:val="0"/>
          <w:numId w:val="2"/>
        </w:numPr>
        <w:tabs>
          <w:tab w:val="left" w:pos="1424"/>
        </w:tabs>
        <w:ind w:left="1440" w:hanging="280"/>
        <w:jc w:val="both"/>
      </w:pPr>
      <w:r>
        <w:rPr>
          <w:rStyle w:val="TekstpodstawowyZnak"/>
        </w:rPr>
        <w:t>Następnie Trybunał rozważa uszczerbek dla prawa do obrony spowodowany ograniczeniem w sprawie. Innymi słowy, Trybunał musi zbadać wpływ ograniczenia na ogólną rzetelność postępowania.</w:t>
      </w:r>
    </w:p>
    <w:p w14:paraId="0FD8E40E" w14:textId="3F89E3BA" w:rsidR="00B65736" w:rsidRDefault="00381181" w:rsidP="007E5745">
      <w:pPr>
        <w:pStyle w:val="Tekstpodstawowy"/>
        <w:numPr>
          <w:ilvl w:val="0"/>
          <w:numId w:val="2"/>
        </w:numPr>
        <w:tabs>
          <w:tab w:val="left" w:pos="846"/>
        </w:tabs>
        <w:ind w:left="860" w:hanging="280"/>
        <w:jc w:val="both"/>
        <w:rPr>
          <w:rStyle w:val="TekstpodstawowyZnak"/>
        </w:rPr>
      </w:pPr>
      <w:r>
        <w:rPr>
          <w:rStyle w:val="TekstpodstawowyZnak"/>
        </w:rPr>
        <w:t>Kryterium ważnych powodów jest rygorystyczne (</w:t>
      </w:r>
      <w:hyperlink r:id="rId36" w:history="1">
        <w:r>
          <w:rPr>
            <w:rStyle w:val="TekstpodstawowyZnak"/>
            <w:i/>
            <w:iCs/>
            <w:color w:val="0072BC"/>
          </w:rPr>
          <w:t>ibid.</w:t>
        </w:r>
      </w:hyperlink>
      <w:r>
        <w:rPr>
          <w:rStyle w:val="TekstpodstawowyZnak"/>
        </w:rPr>
        <w:t xml:space="preserve">, § 258; </w:t>
      </w:r>
      <w:hyperlink r:id="rId37" w:history="1">
        <w:r>
          <w:rPr>
            <w:rStyle w:val="TekstpodstawowyZnak"/>
            <w:i/>
            <w:iCs/>
            <w:color w:val="0072BC"/>
          </w:rPr>
          <w:t>Dimitar Mitev przeciwko Bułgarii</w:t>
        </w:r>
      </w:hyperlink>
      <w:r>
        <w:rPr>
          <w:rStyle w:val="TekstpodstawowyZnak"/>
        </w:rPr>
        <w:t>, 2018</w:t>
      </w:r>
      <w:r w:rsidR="00A76B52">
        <w:rPr>
          <w:rStyle w:val="TekstpodstawowyZnak"/>
        </w:rPr>
        <w:t xml:space="preserve"> r.</w:t>
      </w:r>
      <w:r>
        <w:rPr>
          <w:rStyle w:val="TekstpodstawowyZnak"/>
        </w:rPr>
        <w:t>, § 71). W związku z tym ograniczenia dostępu do porady prawnej są dozwolone: (i) tylko w wyjątkowych okolicznościach; (ii) muszą mieć charakter tymczasowy; (iii) muszą opierać się na indywidualnej ocenie konkretnych okoliczności sprawy; oraz (iv) muszą mieć podstawę w prawie krajowym, które musi regulować zakres i treść wszelkich ograniczeń (</w:t>
      </w:r>
      <w:hyperlink r:id="rId38" w:history="1">
        <w:r w:rsidRPr="007E5745">
          <w:rPr>
            <w:rStyle w:val="TekstpodstawowyZnak"/>
            <w:i/>
            <w:iCs/>
            <w:color w:val="0072BC"/>
          </w:rPr>
          <w:t xml:space="preserve">Ibrahim i </w:t>
        </w:r>
        <w:r w:rsidR="003355CC" w:rsidRPr="007E5745">
          <w:rPr>
            <w:rStyle w:val="TekstpodstawowyZnak"/>
            <w:i/>
            <w:iCs/>
            <w:color w:val="0072BC"/>
          </w:rPr>
          <w:t>I</w:t>
        </w:r>
        <w:r w:rsidRPr="007E5745">
          <w:rPr>
            <w:rStyle w:val="TekstpodstawowyZnak"/>
            <w:i/>
            <w:iCs/>
            <w:color w:val="0072BC"/>
          </w:rPr>
          <w:t>nni</w:t>
        </w:r>
      </w:hyperlink>
      <w:r w:rsidRPr="007E5745">
        <w:rPr>
          <w:rStyle w:val="TekstpodstawowyZnak"/>
          <w:i/>
          <w:iCs/>
          <w:color w:val="0072BC"/>
        </w:rPr>
        <w:t xml:space="preserve"> </w:t>
      </w:r>
      <w:hyperlink r:id="rId39" w:history="1">
        <w:r w:rsidRPr="007E5745">
          <w:rPr>
            <w:rStyle w:val="TekstpodstawowyZnak"/>
            <w:i/>
            <w:iCs/>
            <w:color w:val="0072BC"/>
          </w:rPr>
          <w:t>przeciwko Zjednoczonemu Królestwu</w:t>
        </w:r>
        <w:r w:rsidRPr="007E5745">
          <w:rPr>
            <w:rStyle w:val="TekstpodstawowyZnak"/>
            <w:color w:val="0072BC"/>
          </w:rPr>
          <w:t xml:space="preserve"> </w:t>
        </w:r>
      </w:hyperlink>
      <w:r>
        <w:rPr>
          <w:rStyle w:val="TekstpodstawowyZnak"/>
        </w:rPr>
        <w:t>[</w:t>
      </w:r>
      <w:r w:rsidR="00A76B52">
        <w:rPr>
          <w:rStyle w:val="TekstpodstawowyZnak"/>
        </w:rPr>
        <w:t>WI</w:t>
      </w:r>
      <w:r>
        <w:rPr>
          <w:rStyle w:val="TekstpodstawowyZnak"/>
        </w:rPr>
        <w:t>], 2016</w:t>
      </w:r>
      <w:r w:rsidR="00A76B52">
        <w:rPr>
          <w:rStyle w:val="TekstpodstawowyZnak"/>
        </w:rPr>
        <w:t xml:space="preserve"> r.</w:t>
      </w:r>
      <w:r>
        <w:rPr>
          <w:rStyle w:val="TekstpodstawowyZnak"/>
        </w:rPr>
        <w:t>, § 258)</w:t>
      </w:r>
    </w:p>
    <w:p w14:paraId="77888ED5" w14:textId="667970C3" w:rsidR="007E5745" w:rsidRDefault="007E5745" w:rsidP="009C2A56">
      <w:pPr>
        <w:pStyle w:val="Tekstpodstawowy"/>
        <w:numPr>
          <w:ilvl w:val="0"/>
          <w:numId w:val="2"/>
        </w:numPr>
        <w:tabs>
          <w:tab w:val="left" w:pos="846"/>
        </w:tabs>
        <w:ind w:left="860" w:hanging="280"/>
        <w:jc w:val="both"/>
      </w:pPr>
      <w:r>
        <w:t xml:space="preserve">W sprawie </w:t>
      </w:r>
      <w:hyperlink r:id="rId40" w:history="1">
        <w:r w:rsidRPr="009C2A56">
          <w:rPr>
            <w:rStyle w:val="Hipercze"/>
            <w:i/>
            <w:iCs/>
            <w:color w:val="0070C0"/>
            <w:u w:val="none"/>
          </w:rPr>
          <w:t>Beuze przeciwko Belgii</w:t>
        </w:r>
      </w:hyperlink>
      <w:r>
        <w:t xml:space="preserve"> [WI], 2018 r. </w:t>
      </w:r>
      <w:r>
        <w:rPr>
          <w:rStyle w:val="TekstpodstawowyZnak"/>
        </w:rPr>
        <w:t xml:space="preserve">§§ 142-144 i 160-164, Trybunał wyjaśnił, że ogólne i obowiązkowe </w:t>
      </w:r>
      <w:r w:rsidR="009C2A56">
        <w:rPr>
          <w:rStyle w:val="TekstpodstawowyZnak"/>
        </w:rPr>
        <w:t>(w tym przypadku ustawowe) ograniczenie dostępu do adwokata podczas pierwszego przesłuchania nie może stanowić istotnego powodu: takie ograniczenie nie eliminuje konieczności ustalenia przez władze krajowe, w drodze indywidualnej i specyficznej dla danego przypadku oceny, czy istnieją jakiekolwiek istotne powody. W każdym razie, to na rządzie spoczywa obowiązek wykazania istnienia istotnych powodów do ograniczenia dostępu do adwokata, co może okazać się trudne w przypadku obowiązkowego ograniczenia.</w:t>
      </w:r>
    </w:p>
    <w:p w14:paraId="4AC22A9E" w14:textId="4419C85D" w:rsidR="00B65736" w:rsidRDefault="00381181" w:rsidP="009D3CD1">
      <w:pPr>
        <w:pStyle w:val="Tekstpodstawowy"/>
        <w:numPr>
          <w:ilvl w:val="0"/>
          <w:numId w:val="2"/>
        </w:numPr>
        <w:tabs>
          <w:tab w:val="left" w:pos="684"/>
        </w:tabs>
        <w:ind w:left="700" w:hanging="280"/>
        <w:jc w:val="both"/>
        <w:rPr>
          <w:rStyle w:val="TekstpodstawowyZnak"/>
        </w:rPr>
      </w:pPr>
      <w:r>
        <w:rPr>
          <w:rStyle w:val="TekstpodstawowyZnak"/>
        </w:rPr>
        <w:t>Jednakże brak istotnych powodów sam w sobie nie prowadzi do stwierdzenia naruszenia Artykułu 6, ponieważ Trybunał zawsze musi zbadać, czy postępowanie jako całość było rzetelne (</w:t>
      </w:r>
      <w:hyperlink r:id="rId41" w:history="1">
        <w:r>
          <w:rPr>
            <w:rStyle w:val="TekstpodstawowyZnak"/>
            <w:i/>
            <w:iCs/>
            <w:color w:val="0072BC"/>
          </w:rPr>
          <w:t>Ibrahim i Inni przeciwko Zjednoczonemu Królestwu</w:t>
        </w:r>
        <w:r>
          <w:rPr>
            <w:rStyle w:val="TekstpodstawowyZnak"/>
            <w:color w:val="0072BC"/>
          </w:rPr>
          <w:t xml:space="preserve"> </w:t>
        </w:r>
      </w:hyperlink>
      <w:r>
        <w:rPr>
          <w:rStyle w:val="TekstpodstawowyZnak"/>
        </w:rPr>
        <w:t>[</w:t>
      </w:r>
      <w:r w:rsidR="00A76B52">
        <w:rPr>
          <w:rStyle w:val="TekstpodstawowyZnak"/>
        </w:rPr>
        <w:t>WI</w:t>
      </w:r>
      <w:r>
        <w:rPr>
          <w:rStyle w:val="TekstpodstawowyZnak"/>
        </w:rPr>
        <w:t>], 2016</w:t>
      </w:r>
      <w:r w:rsidR="00A76B52">
        <w:rPr>
          <w:rStyle w:val="TekstpodstawowyZnak"/>
        </w:rPr>
        <w:t xml:space="preserve"> r.</w:t>
      </w:r>
      <w:r>
        <w:rPr>
          <w:rStyle w:val="TekstpodstawowyZnak"/>
        </w:rPr>
        <w:t xml:space="preserve">, § 262; </w:t>
      </w:r>
      <w:hyperlink r:id="rId42" w:history="1">
        <w:r>
          <w:rPr>
            <w:rStyle w:val="TekstpodstawowyZnak"/>
            <w:i/>
            <w:iCs/>
            <w:color w:val="0072BC"/>
          </w:rPr>
          <w:t>Simeonovi przeciwko</w:t>
        </w:r>
      </w:hyperlink>
      <w:r>
        <w:rPr>
          <w:rStyle w:val="TekstpodstawowyZnak"/>
          <w:i/>
          <w:iCs/>
          <w:color w:val="0072BC"/>
        </w:rPr>
        <w:t xml:space="preserve"> </w:t>
      </w:r>
      <w:hyperlink r:id="rId43" w:history="1">
        <w:r>
          <w:rPr>
            <w:rStyle w:val="TekstpodstawowyZnak"/>
            <w:i/>
            <w:iCs/>
            <w:color w:val="0072BC"/>
          </w:rPr>
          <w:t>Bułgarii</w:t>
        </w:r>
        <w:r>
          <w:rPr>
            <w:rStyle w:val="TekstpodstawowyZnak"/>
            <w:color w:val="0072BC"/>
          </w:rPr>
          <w:t xml:space="preserve"> </w:t>
        </w:r>
      </w:hyperlink>
      <w:r>
        <w:rPr>
          <w:rStyle w:val="TekstpodstawowyZnak"/>
        </w:rPr>
        <w:t>[</w:t>
      </w:r>
      <w:r w:rsidR="00A76B52">
        <w:rPr>
          <w:rStyle w:val="TekstpodstawowyZnak"/>
        </w:rPr>
        <w:t>WI</w:t>
      </w:r>
      <w:r>
        <w:rPr>
          <w:rStyle w:val="TekstpodstawowyZnak"/>
        </w:rPr>
        <w:t>], 2017</w:t>
      </w:r>
      <w:r w:rsidR="00A76B52">
        <w:rPr>
          <w:rStyle w:val="TekstpodstawowyZnak"/>
        </w:rPr>
        <w:t xml:space="preserve"> r.</w:t>
      </w:r>
      <w:r>
        <w:rPr>
          <w:rStyle w:val="TekstpodstawowyZnak"/>
        </w:rPr>
        <w:t xml:space="preserve">, § 118; </w:t>
      </w:r>
      <w:hyperlink r:id="rId44" w:history="1">
        <w:r>
          <w:rPr>
            <w:rStyle w:val="TekstpodstawowyZnak"/>
            <w:i/>
            <w:iCs/>
            <w:color w:val="0072BC"/>
          </w:rPr>
          <w:t>Beuze przeciwko Belgii</w:t>
        </w:r>
        <w:r>
          <w:rPr>
            <w:rStyle w:val="TekstpodstawowyZnak"/>
            <w:color w:val="0072BC"/>
          </w:rPr>
          <w:t xml:space="preserve"> </w:t>
        </w:r>
      </w:hyperlink>
      <w:r>
        <w:rPr>
          <w:rStyle w:val="TekstpodstawowyZnak"/>
        </w:rPr>
        <w:t>[</w:t>
      </w:r>
      <w:r w:rsidR="00A76B52">
        <w:rPr>
          <w:rStyle w:val="TekstpodstawowyZnak"/>
        </w:rPr>
        <w:t>Wi</w:t>
      </w:r>
      <w:r>
        <w:rPr>
          <w:rStyle w:val="TekstpodstawowyZnak"/>
        </w:rPr>
        <w:t>], 2018</w:t>
      </w:r>
      <w:r w:rsidR="00A76B52">
        <w:rPr>
          <w:rStyle w:val="TekstpodstawowyZnak"/>
        </w:rPr>
        <w:t xml:space="preserve"> r.</w:t>
      </w:r>
      <w:r>
        <w:rPr>
          <w:rStyle w:val="TekstpodstawowyZnak"/>
        </w:rPr>
        <w:t>, § 144). Jednakże w przypadku, gdy nie ma istotnych powodów do ograniczenia dostępu do porady prawnej, Trybunał stosuje bardzo rygorystyczną kontrolę do oceny rzetelności (</w:t>
      </w:r>
      <w:hyperlink r:id="rId45" w:history="1">
        <w:r>
          <w:rPr>
            <w:rStyle w:val="TekstpodstawowyZnak"/>
            <w:i/>
            <w:iCs/>
            <w:color w:val="0072BC"/>
          </w:rPr>
          <w:t xml:space="preserve">Ibrahim i </w:t>
        </w:r>
        <w:r w:rsidR="00A76B52">
          <w:rPr>
            <w:rStyle w:val="TekstpodstawowyZnak"/>
            <w:i/>
            <w:iCs/>
            <w:color w:val="0072BC"/>
          </w:rPr>
          <w:t>I</w:t>
        </w:r>
        <w:r>
          <w:rPr>
            <w:rStyle w:val="TekstpodstawowyZnak"/>
            <w:i/>
            <w:iCs/>
            <w:color w:val="0072BC"/>
          </w:rPr>
          <w:t>nni przeciwko Zjednoczonemu</w:t>
        </w:r>
      </w:hyperlink>
      <w:r>
        <w:rPr>
          <w:rStyle w:val="TekstpodstawowyZnak"/>
          <w:i/>
          <w:iCs/>
          <w:color w:val="0072BC"/>
        </w:rPr>
        <w:t xml:space="preserve"> </w:t>
      </w:r>
      <w:hyperlink r:id="rId46" w:history="1">
        <w:r>
          <w:rPr>
            <w:rStyle w:val="TekstpodstawowyZnak"/>
            <w:i/>
            <w:iCs/>
            <w:color w:val="0072BC"/>
          </w:rPr>
          <w:t>Królestwu</w:t>
        </w:r>
        <w:r>
          <w:rPr>
            <w:rStyle w:val="TekstpodstawowyZnak"/>
            <w:color w:val="0072BC"/>
          </w:rPr>
          <w:t xml:space="preserve"> </w:t>
        </w:r>
      </w:hyperlink>
      <w:r w:rsidR="00A76B52">
        <w:rPr>
          <w:rStyle w:val="TekstpodstawowyZnak"/>
        </w:rPr>
        <w:t>[WI</w:t>
      </w:r>
      <w:r>
        <w:rPr>
          <w:rStyle w:val="TekstpodstawowyZnak"/>
        </w:rPr>
        <w:t>], 2016</w:t>
      </w:r>
      <w:r w:rsidR="00A76B52">
        <w:rPr>
          <w:rStyle w:val="TekstpodstawowyZnak"/>
        </w:rPr>
        <w:t xml:space="preserve"> r.</w:t>
      </w:r>
      <w:r>
        <w:rPr>
          <w:rStyle w:val="TekstpodstawowyZnak"/>
        </w:rPr>
        <w:t>, §§ 264-265). Ponadto, jeżeli dostęp do adwokata został opóźniony, a podejrzany nie został powiadomiony o prawie do pomocy prawnej, przywileju nieobciążania samego siebie lub prawie do zachowania milczenia, Rządowi będzie jeszcze trudniej wykazać, że postępowanie jako całość było rzetelne (</w:t>
      </w:r>
      <w:hyperlink r:id="rId47" w:history="1">
        <w:r>
          <w:rPr>
            <w:rStyle w:val="TekstpodstawowyZnak"/>
            <w:i/>
            <w:iCs/>
            <w:color w:val="0072BC"/>
          </w:rPr>
          <w:t>Beuze przeciwko Belgii</w:t>
        </w:r>
        <w:r>
          <w:rPr>
            <w:rStyle w:val="TekstpodstawowyZnak"/>
            <w:color w:val="0072BC"/>
          </w:rPr>
          <w:t xml:space="preserve"> </w:t>
        </w:r>
      </w:hyperlink>
      <w:r>
        <w:rPr>
          <w:rStyle w:val="TekstpodstawowyZnak"/>
        </w:rPr>
        <w:t>[</w:t>
      </w:r>
      <w:r w:rsidR="00A76B52">
        <w:rPr>
          <w:rStyle w:val="TekstpodstawowyZnak"/>
        </w:rPr>
        <w:t>WI</w:t>
      </w:r>
      <w:r>
        <w:rPr>
          <w:rStyle w:val="TekstpodstawowyZnak"/>
        </w:rPr>
        <w:t>], 2018</w:t>
      </w:r>
      <w:r w:rsidR="00A76B52">
        <w:rPr>
          <w:rStyle w:val="TekstpodstawowyZnak"/>
        </w:rPr>
        <w:t xml:space="preserve"> r.</w:t>
      </w:r>
      <w:r>
        <w:rPr>
          <w:rStyle w:val="TekstpodstawowyZnak"/>
        </w:rPr>
        <w:t xml:space="preserve">, § 146). W tym kontekście kwestia z perspektywy przywileju przeciwko samooskarżeniu pojawia się nie tylko w przypadku faktycznego przyznania się do winy lub bezpośrednio obciążających uwag, ale także w odniesieniu do oświadczeń, które można uznać za </w:t>
      </w:r>
      <w:r w:rsidR="00A76B52">
        <w:rPr>
          <w:rStyle w:val="TekstpodstawowyZnak"/>
        </w:rPr>
        <w:t>„</w:t>
      </w:r>
      <w:r>
        <w:rPr>
          <w:rStyle w:val="TekstpodstawowyZnak"/>
        </w:rPr>
        <w:t xml:space="preserve">znacząco </w:t>
      </w:r>
      <w:r>
        <w:rPr>
          <w:rStyle w:val="TekstpodstawowyZnak"/>
        </w:rPr>
        <w:lastRenderedPageBreak/>
        <w:t>wpływające" na stanowisko oskarżonego (</w:t>
      </w:r>
      <w:hyperlink r:id="rId48" w:history="1">
        <w:r w:rsidRPr="009D3CD1">
          <w:rPr>
            <w:rStyle w:val="TekstpodstawowyZnak"/>
            <w:i/>
            <w:iCs/>
            <w:color w:val="0072BC"/>
          </w:rPr>
          <w:t>ibid.</w:t>
        </w:r>
      </w:hyperlink>
      <w:r>
        <w:rPr>
          <w:rStyle w:val="TekstpodstawowyZnak"/>
        </w:rPr>
        <w:t>, § 178).</w:t>
      </w:r>
    </w:p>
    <w:p w14:paraId="7AD5DE7B" w14:textId="77777777" w:rsidR="009C2A56" w:rsidRDefault="009C2A56" w:rsidP="009C2A56">
      <w:pPr>
        <w:pStyle w:val="Tekstpodstawowy"/>
        <w:tabs>
          <w:tab w:val="left" w:pos="684"/>
        </w:tabs>
        <w:ind w:left="700"/>
        <w:jc w:val="both"/>
        <w:rPr>
          <w:rStyle w:val="TekstpodstawowyZnak"/>
        </w:rPr>
      </w:pPr>
    </w:p>
    <w:p w14:paraId="701535F8" w14:textId="507C972D" w:rsidR="00A76B52" w:rsidRDefault="009C2A56" w:rsidP="009C2A56">
      <w:pPr>
        <w:pStyle w:val="Tekstpodstawowy"/>
        <w:numPr>
          <w:ilvl w:val="0"/>
          <w:numId w:val="2"/>
        </w:numPr>
        <w:tabs>
          <w:tab w:val="left" w:pos="684"/>
        </w:tabs>
        <w:ind w:left="700" w:hanging="280"/>
        <w:jc w:val="both"/>
        <w:rPr>
          <w:rStyle w:val="TekstpodstawowyZnak"/>
        </w:rPr>
      </w:pPr>
      <w:r>
        <w:rPr>
          <w:rStyle w:val="TekstpodstawowyZnak"/>
        </w:rPr>
        <w:t>Analizując postępowanie jako całość, w stosowanych przypadkach, należy wziąć pod uwagę poniższą niewyczerpującą listę czynników w zakresie, w jakim jest to właściwe w okolicznościach konkretnej sprawy (</w:t>
      </w:r>
      <w:hyperlink r:id="rId49" w:history="1">
        <w:r w:rsidRPr="009C2A56">
          <w:rPr>
            <w:rStyle w:val="Hipercze"/>
            <w:i/>
            <w:iCs/>
            <w:color w:val="0070C0"/>
            <w:u w:val="none"/>
          </w:rPr>
          <w:t>Ibrahim i Inni przeciwko Zjednoczonemu Królestwu</w:t>
        </w:r>
      </w:hyperlink>
      <w:r w:rsidRPr="009C2A56">
        <w:rPr>
          <w:rStyle w:val="TekstpodstawowyZnak"/>
          <w:color w:val="0070C0"/>
        </w:rPr>
        <w:t xml:space="preserve"> </w:t>
      </w:r>
      <w:r>
        <w:rPr>
          <w:rStyle w:val="TekstpodstawowyZnak"/>
        </w:rPr>
        <w:t xml:space="preserve">[WI], 2016 r., 274; </w:t>
      </w:r>
      <w:hyperlink r:id="rId50" w:history="1">
        <w:r w:rsidRPr="009C2A56">
          <w:rPr>
            <w:rStyle w:val="Hipercze"/>
            <w:i/>
            <w:iCs/>
            <w:color w:val="0070C0"/>
            <w:u w:val="none"/>
          </w:rPr>
          <w:t>Beuze przeciwko Belgii</w:t>
        </w:r>
      </w:hyperlink>
      <w:r>
        <w:rPr>
          <w:rStyle w:val="TekstpodstawowyZnak"/>
        </w:rPr>
        <w:t xml:space="preserve"> [WI], 2018r., § 150; </w:t>
      </w:r>
      <w:hyperlink r:id="rId51" w:history="1">
        <w:r w:rsidRPr="009C2A56">
          <w:rPr>
            <w:rStyle w:val="Hipercze"/>
            <w:i/>
            <w:iCs/>
            <w:color w:val="0070C0"/>
            <w:u w:val="none"/>
          </w:rPr>
          <w:t>Sitnevskiy i Chaykovskiy przeciwko Ukrainie</w:t>
        </w:r>
        <w:r>
          <w:rPr>
            <w:rStyle w:val="Hipercze"/>
            <w:i/>
            <w:iCs/>
            <w:color w:val="0070C0"/>
            <w:u w:val="none"/>
          </w:rPr>
          <w:t xml:space="preserve">, </w:t>
        </w:r>
      </w:hyperlink>
      <w:r>
        <w:rPr>
          <w:rStyle w:val="TekstpodstawowyZnak"/>
        </w:rPr>
        <w:t xml:space="preserve"> 2016 r., §§ 78-80):</w:t>
      </w:r>
    </w:p>
    <w:p w14:paraId="0929DD87" w14:textId="523404A9" w:rsidR="00E33C8C" w:rsidRDefault="00381181" w:rsidP="00DB4AAE">
      <w:pPr>
        <w:pStyle w:val="Tekstpodstawowy"/>
        <w:numPr>
          <w:ilvl w:val="0"/>
          <w:numId w:val="3"/>
        </w:numPr>
        <w:tabs>
          <w:tab w:val="left" w:pos="1254"/>
        </w:tabs>
        <w:ind w:left="1280" w:hanging="300"/>
        <w:jc w:val="both"/>
        <w:rPr>
          <w:rStyle w:val="TekstpodstawowyZnak"/>
        </w:rPr>
      </w:pPr>
      <w:r>
        <w:rPr>
          <w:rStyle w:val="TekstpodstawowyZnak"/>
        </w:rPr>
        <w:t>Czy wnioskodawca był szczególnie podatny na zagrożenia, na przykład ze względu na swój wiek lub zdolności umysłowe;</w:t>
      </w:r>
    </w:p>
    <w:p w14:paraId="22680A75" w14:textId="2C286AA8" w:rsidR="00B65736" w:rsidRDefault="00381181">
      <w:pPr>
        <w:pStyle w:val="Tekstpodstawowy"/>
        <w:numPr>
          <w:ilvl w:val="0"/>
          <w:numId w:val="3"/>
        </w:numPr>
        <w:tabs>
          <w:tab w:val="left" w:pos="1254"/>
        </w:tabs>
        <w:ind w:left="1280" w:hanging="300"/>
        <w:jc w:val="both"/>
      </w:pPr>
      <w:r>
        <w:rPr>
          <w:rStyle w:val="TekstpodstawowyZnak"/>
        </w:rPr>
        <w:t xml:space="preserve">Ramy prawne regulujące postępowanie </w:t>
      </w:r>
      <w:r w:rsidR="00DB4AAE">
        <w:rPr>
          <w:rStyle w:val="TekstpodstawowyZnak"/>
        </w:rPr>
        <w:t>przedprocesowe</w:t>
      </w:r>
      <w:r>
        <w:rPr>
          <w:rStyle w:val="TekstpodstawowyZnak"/>
        </w:rPr>
        <w:t xml:space="preserve"> i dopuszczalność dowodów na rozprawie oraz to, czy były one przestrzegane; w przypadku zastosowania zasady wykluczenia jest szczególnie mało prawdopodobne, aby postępowanie jako całość zostało uznane za nieuczciwe;</w:t>
      </w:r>
    </w:p>
    <w:p w14:paraId="0C65EEEB" w14:textId="77777777" w:rsidR="00B65736" w:rsidRDefault="00381181">
      <w:pPr>
        <w:pStyle w:val="Tekstpodstawowy"/>
        <w:numPr>
          <w:ilvl w:val="0"/>
          <w:numId w:val="3"/>
        </w:numPr>
        <w:tabs>
          <w:tab w:val="left" w:pos="1254"/>
        </w:tabs>
        <w:ind w:left="1280" w:hanging="300"/>
        <w:jc w:val="both"/>
      </w:pPr>
      <w:r>
        <w:rPr>
          <w:rStyle w:val="TekstpodstawowyZnak"/>
        </w:rPr>
        <w:t>Czy wnioskodawca miał możliwość zakwestionowania autentyczności dowodów i sprzeciwienia się ich wykorzystaniu;</w:t>
      </w:r>
    </w:p>
    <w:p w14:paraId="3D8B5AA1" w14:textId="77777777" w:rsidR="00B65736" w:rsidRDefault="00381181">
      <w:pPr>
        <w:pStyle w:val="Tekstpodstawowy"/>
        <w:numPr>
          <w:ilvl w:val="0"/>
          <w:numId w:val="3"/>
        </w:numPr>
        <w:tabs>
          <w:tab w:val="left" w:pos="1254"/>
        </w:tabs>
        <w:ind w:left="1280" w:hanging="300"/>
        <w:jc w:val="both"/>
      </w:pPr>
      <w:r>
        <w:rPr>
          <w:rStyle w:val="TekstpodstawowyZnak"/>
        </w:rPr>
        <w:t>Jakość dowodów i to, czy okoliczności, w których zostały uzyskane, budzą wątpliwości co do ich wiarygodności lub dokładności, biorąc pod uwagę stopień i charakter przymusu;</w:t>
      </w:r>
    </w:p>
    <w:p w14:paraId="2620A13D" w14:textId="77777777" w:rsidR="00B65736" w:rsidRDefault="00381181">
      <w:pPr>
        <w:pStyle w:val="Tekstpodstawowy"/>
        <w:numPr>
          <w:ilvl w:val="0"/>
          <w:numId w:val="3"/>
        </w:numPr>
        <w:tabs>
          <w:tab w:val="left" w:pos="1254"/>
        </w:tabs>
        <w:ind w:left="1280" w:hanging="300"/>
        <w:jc w:val="both"/>
      </w:pPr>
      <w:r>
        <w:rPr>
          <w:rStyle w:val="TekstpodstawowyZnak"/>
        </w:rPr>
        <w:t>W przypadku, gdy dowody zostały uzyskane w sposób niezgodny z prawem, należy wskazać przedmiotową niezgodność z prawem, a w przypadku, gdy wynika ona z naruszenia innego artykułu Konwencji, charakter stwierdzonego naruszenia;</w:t>
      </w:r>
    </w:p>
    <w:p w14:paraId="4CD67754" w14:textId="77777777" w:rsidR="00B65736" w:rsidRDefault="00381181">
      <w:pPr>
        <w:pStyle w:val="Tekstpodstawowy"/>
        <w:numPr>
          <w:ilvl w:val="0"/>
          <w:numId w:val="3"/>
        </w:numPr>
        <w:tabs>
          <w:tab w:val="left" w:pos="1254"/>
        </w:tabs>
        <w:ind w:left="1280" w:hanging="300"/>
        <w:jc w:val="both"/>
      </w:pPr>
      <w:r>
        <w:rPr>
          <w:rStyle w:val="TekstpodstawowyZnak"/>
        </w:rPr>
        <w:t>W przypadku oświadczenia, charakter oświadczenia i to, czy zostało ono niezwłocznie wycofane lub zmienione;</w:t>
      </w:r>
    </w:p>
    <w:p w14:paraId="5AACA702" w14:textId="7260AF19" w:rsidR="00B65736" w:rsidRDefault="00381181">
      <w:pPr>
        <w:pStyle w:val="Tekstpodstawowy"/>
        <w:numPr>
          <w:ilvl w:val="0"/>
          <w:numId w:val="3"/>
        </w:numPr>
        <w:tabs>
          <w:tab w:val="left" w:pos="1254"/>
        </w:tabs>
        <w:ind w:left="1280" w:hanging="300"/>
        <w:jc w:val="both"/>
        <w:rPr>
          <w:rStyle w:val="TekstpodstawowyZnak"/>
        </w:rPr>
      </w:pPr>
      <w:r w:rsidRPr="00214F51">
        <w:rPr>
          <w:rStyle w:val="TekstpodstawowyZnak"/>
          <w:color w:val="auto"/>
        </w:rPr>
        <w:t>Wykorzystanie dowodów</w:t>
      </w:r>
      <w:r>
        <w:rPr>
          <w:rStyle w:val="TekstpodstawowyZnak"/>
        </w:rPr>
        <w:t>, a w szczególności to, czy dowody te stanowiły integralną lub znaczącą część materiału dowodowego, na którym oparto wyrok skazujący, oraz siła innych dowodów w sprawie (zob. dalej</w:t>
      </w:r>
      <w:hyperlink r:id="rId52" w:history="1">
        <w:r>
          <w:rPr>
            <w:rStyle w:val="TekstpodstawowyZnak"/>
          </w:rPr>
          <w:t xml:space="preserve"> </w:t>
        </w:r>
        <w:r>
          <w:rPr>
            <w:rStyle w:val="TekstpodstawowyZnak"/>
            <w:i/>
            <w:iCs/>
            <w:color w:val="0072BC"/>
          </w:rPr>
          <w:t>Brus przeciwko Belgii</w:t>
        </w:r>
      </w:hyperlink>
      <w:r>
        <w:rPr>
          <w:rStyle w:val="TekstpodstawowyZnak"/>
        </w:rPr>
        <w:t>, 2021</w:t>
      </w:r>
      <w:r w:rsidR="00DB4AAE">
        <w:rPr>
          <w:rStyle w:val="TekstpodstawowyZnak"/>
        </w:rPr>
        <w:t xml:space="preserve"> r.</w:t>
      </w:r>
      <w:r>
        <w:rPr>
          <w:rStyle w:val="TekstpodstawowyZnak"/>
        </w:rPr>
        <w:t>, §§ 34-36, gdzie Trybunał nie zgodził się, że poleganie na ogólnej wystarczalności dowodów do wydania wyroku skazującego może zastąpić ogólną ocenę rzetelności odnoszącą się do nieuzasadnionego ograniczenia prawa do wczesnego dostępu do adwokata);</w:t>
      </w:r>
    </w:p>
    <w:p w14:paraId="187AE362" w14:textId="1D7D0B50" w:rsidR="0016420C" w:rsidRDefault="0016420C" w:rsidP="0016420C">
      <w:pPr>
        <w:pStyle w:val="Tekstpodstawowy"/>
        <w:numPr>
          <w:ilvl w:val="0"/>
          <w:numId w:val="3"/>
        </w:numPr>
        <w:tabs>
          <w:tab w:val="left" w:pos="1254"/>
        </w:tabs>
        <w:ind w:left="1280" w:hanging="300"/>
        <w:jc w:val="both"/>
      </w:pPr>
      <w:r>
        <w:rPr>
          <w:rStyle w:val="TekstpodstawowyZnak"/>
        </w:rPr>
        <w:t xml:space="preserve">Czy ocena winy została dokonana przez zawodowych sędziów czy </w:t>
      </w:r>
      <w:r w:rsidR="00214F51">
        <w:rPr>
          <w:rStyle w:val="TekstpodstawowyZnak"/>
        </w:rPr>
        <w:t>też</w:t>
      </w:r>
      <w:r>
        <w:rPr>
          <w:rStyle w:val="TekstpodstawowyZnak"/>
        </w:rPr>
        <w:t xml:space="preserve"> ławników, a w przypadku tych drugich - treść instrukcji dla ławy przysięgłych;</w:t>
      </w:r>
    </w:p>
    <w:p w14:paraId="4222809E" w14:textId="77777777" w:rsidR="00B65736" w:rsidRDefault="00381181">
      <w:pPr>
        <w:pStyle w:val="Tekstpodstawowy"/>
        <w:numPr>
          <w:ilvl w:val="0"/>
          <w:numId w:val="3"/>
        </w:numPr>
        <w:tabs>
          <w:tab w:val="left" w:pos="1420"/>
        </w:tabs>
        <w:ind w:left="1140"/>
        <w:jc w:val="both"/>
      </w:pPr>
      <w:r>
        <w:rPr>
          <w:rStyle w:val="TekstpodstawowyZnak"/>
        </w:rPr>
        <w:t>Waga interesu publicznego w dochodzeniu i karaniu danego przestępstwa; oraz</w:t>
      </w:r>
    </w:p>
    <w:p w14:paraId="40AD0597" w14:textId="77777777" w:rsidR="00B65736" w:rsidRDefault="00381181">
      <w:pPr>
        <w:pStyle w:val="Tekstpodstawowy"/>
        <w:numPr>
          <w:ilvl w:val="0"/>
          <w:numId w:val="3"/>
        </w:numPr>
        <w:tabs>
          <w:tab w:val="left" w:pos="1420"/>
        </w:tabs>
        <w:ind w:left="1140"/>
        <w:jc w:val="both"/>
      </w:pPr>
      <w:r>
        <w:rPr>
          <w:rStyle w:val="TekstpodstawowyZnak"/>
        </w:rPr>
        <w:t>Inne odpowiednie gwarancje proceduralne przewidziane w prawie krajowym i praktyce.</w:t>
      </w:r>
    </w:p>
    <w:p w14:paraId="48BC43AD" w14:textId="697D03A4" w:rsidR="00B65736" w:rsidRDefault="00381181">
      <w:pPr>
        <w:pStyle w:val="Tekstpodstawowy"/>
        <w:numPr>
          <w:ilvl w:val="0"/>
          <w:numId w:val="4"/>
        </w:numPr>
        <w:tabs>
          <w:tab w:val="left" w:pos="844"/>
        </w:tabs>
        <w:ind w:left="860" w:hanging="280"/>
        <w:jc w:val="both"/>
      </w:pPr>
      <w:r>
        <w:rPr>
          <w:rStyle w:val="TekstpodstawowyZnak"/>
        </w:rPr>
        <w:t>Trybunał zwróci szczególną uwagę na istnienie oceny ograniczenia dostępu skarżącego do adwokata przez sądy krajowe lub jej brak i wyciągnie z niej niezbędne wnioski (</w:t>
      </w:r>
      <w:hyperlink r:id="rId53" w:history="1">
        <w:r>
          <w:rPr>
            <w:rStyle w:val="TekstpodstawowyZnak"/>
            <w:i/>
            <w:iCs/>
            <w:color w:val="0072BC"/>
          </w:rPr>
          <w:t>Bjarki H. Diego</w:t>
        </w:r>
      </w:hyperlink>
      <w:r>
        <w:rPr>
          <w:rStyle w:val="TekstpodstawowyZnak"/>
          <w:i/>
          <w:iCs/>
          <w:color w:val="0072BC"/>
        </w:rPr>
        <w:t xml:space="preserve"> </w:t>
      </w:r>
      <w:hyperlink r:id="rId54" w:history="1">
        <w:r>
          <w:rPr>
            <w:rStyle w:val="TekstpodstawowyZnak"/>
            <w:i/>
            <w:iCs/>
            <w:color w:val="0072BC"/>
          </w:rPr>
          <w:t>przeciwko Islandii</w:t>
        </w:r>
      </w:hyperlink>
      <w:r>
        <w:rPr>
          <w:rStyle w:val="TekstpodstawowyZnak"/>
        </w:rPr>
        <w:t>, 2022</w:t>
      </w:r>
      <w:r w:rsidR="00DB4AAE">
        <w:rPr>
          <w:rStyle w:val="TekstpodstawowyZnak"/>
        </w:rPr>
        <w:t xml:space="preserve"> r.</w:t>
      </w:r>
      <w:r>
        <w:rPr>
          <w:rStyle w:val="TekstpodstawowyZnak"/>
        </w:rPr>
        <w:t xml:space="preserve">, §§ 59 </w:t>
      </w:r>
      <w:r>
        <w:rPr>
          <w:rStyle w:val="TekstpodstawowyZnak"/>
          <w:i/>
          <w:iCs/>
        </w:rPr>
        <w:t>in fine</w:t>
      </w:r>
      <w:r>
        <w:rPr>
          <w:rStyle w:val="TekstpodstawowyZnak"/>
        </w:rPr>
        <w:t xml:space="preserve"> i 60). Jednakże, w przypadku braku takiej oceny, Trybunał musi dokonać własnej oceny ogólnej rzetelności postępowania. Ponadto, wykonując to zadanie, Trybunał nie powinien działać jako sąd czwartej instancji, kwestionując wynik procesu lub angażując się w ocenę faktów i dowodów lub ich wystarczalności uzasadniającej skazanie. Kwestie te, zgodnie z zasadą pomocniczości, są domeną sądów krajowych (</w:t>
      </w:r>
      <w:hyperlink r:id="rId55" w:history="1">
        <w:r>
          <w:rPr>
            <w:rStyle w:val="TekstpodstawowyZnak"/>
            <w:i/>
            <w:iCs/>
            <w:color w:val="0072BC"/>
          </w:rPr>
          <w:t>Kohen i Inni</w:t>
        </w:r>
      </w:hyperlink>
      <w:r>
        <w:rPr>
          <w:rStyle w:val="TekstpodstawowyZnak"/>
          <w:i/>
          <w:iCs/>
          <w:color w:val="0072BC"/>
        </w:rPr>
        <w:t xml:space="preserve"> </w:t>
      </w:r>
      <w:hyperlink r:id="rId56" w:history="1">
        <w:r>
          <w:rPr>
            <w:rStyle w:val="TekstpodstawowyZnak"/>
            <w:i/>
            <w:iCs/>
            <w:color w:val="0072BC"/>
          </w:rPr>
          <w:t>przeciwko Turcji</w:t>
        </w:r>
      </w:hyperlink>
      <w:r>
        <w:rPr>
          <w:rStyle w:val="TekstpodstawowyZnak"/>
        </w:rPr>
        <w:t>, 2022</w:t>
      </w:r>
      <w:r w:rsidR="00EB2BBB">
        <w:rPr>
          <w:rStyle w:val="TekstpodstawowyZnak"/>
        </w:rPr>
        <w:t xml:space="preserve"> r.</w:t>
      </w:r>
      <w:r>
        <w:rPr>
          <w:rStyle w:val="TekstpodstawowyZnak"/>
        </w:rPr>
        <w:t>, § 59).</w:t>
      </w:r>
    </w:p>
    <w:p w14:paraId="797D2B2C" w14:textId="21EEBEA4" w:rsidR="00B65736" w:rsidRDefault="00381181">
      <w:pPr>
        <w:pStyle w:val="Tekstpodstawowy"/>
        <w:numPr>
          <w:ilvl w:val="0"/>
          <w:numId w:val="4"/>
        </w:numPr>
        <w:tabs>
          <w:tab w:val="left" w:pos="844"/>
        </w:tabs>
        <w:ind w:left="860" w:hanging="280"/>
        <w:jc w:val="both"/>
      </w:pPr>
      <w:r>
        <w:rPr>
          <w:rStyle w:val="TekstpodstawowyZnak"/>
        </w:rPr>
        <w:t>Po opracowaniu wyżej wspomnianych ogólnych zasad dotyczących prawa dostępu do adwokata w sprawie</w:t>
      </w:r>
      <w:hyperlink r:id="rId57" w:history="1">
        <w:r>
          <w:rPr>
            <w:rStyle w:val="TekstpodstawowyZnak"/>
          </w:rPr>
          <w:t xml:space="preserve"> </w:t>
        </w:r>
        <w:r>
          <w:rPr>
            <w:rStyle w:val="TekstpodstawowyZnak"/>
            <w:i/>
            <w:iCs/>
            <w:color w:val="0072BC"/>
          </w:rPr>
          <w:t xml:space="preserve">Ibrahim i </w:t>
        </w:r>
        <w:r w:rsidR="0016420C">
          <w:rPr>
            <w:rStyle w:val="TekstpodstawowyZnak"/>
            <w:i/>
            <w:iCs/>
            <w:color w:val="0072BC"/>
          </w:rPr>
          <w:t>I</w:t>
        </w:r>
        <w:r>
          <w:rPr>
            <w:rStyle w:val="TekstpodstawowyZnak"/>
            <w:i/>
            <w:iCs/>
            <w:color w:val="0072BC"/>
          </w:rPr>
          <w:t>nni przeciwko Zjednoczonemu Królestwu</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2016</w:t>
      </w:r>
      <w:r w:rsidR="00DB4AAE">
        <w:rPr>
          <w:rStyle w:val="TekstpodstawowyZnak"/>
        </w:rPr>
        <w:t xml:space="preserve"> r.</w:t>
      </w:r>
      <w:r>
        <w:rPr>
          <w:rStyle w:val="TekstpodstawowyZnak"/>
        </w:rPr>
        <w:t>, §§ 249-274, w kilku kolejnych sprawach dotyczących systemowych ograniczeń tego prawa, Trybunał pozostawił otwartą kwestię, czy jest to wystarczające, samo w sobie, aby doprowadzić do naruszenia art. 6 §§ 1 i 3 (c). Trybunał uznał, że takie ograniczenia nie były oparte na istotnych powodach, a zatem, stosując bardzo rygorystyczny test kontroli do oceny sprawiedliwości, stwierdził naruszenie art. 6 ust. 1 i 3 (c) Konwencji (na przykład</w:t>
      </w:r>
      <w:hyperlink r:id="rId58" w:history="1">
        <w:r>
          <w:rPr>
            <w:rStyle w:val="TekstpodstawowyZnak"/>
          </w:rPr>
          <w:t xml:space="preserve"> </w:t>
        </w:r>
        <w:r>
          <w:rPr>
            <w:rStyle w:val="TekstpodstawowyZnak"/>
            <w:i/>
            <w:iCs/>
            <w:color w:val="0072BC"/>
          </w:rPr>
          <w:t>Bayram Koç p. Turcji</w:t>
        </w:r>
      </w:hyperlink>
      <w:r>
        <w:rPr>
          <w:rStyle w:val="TekstpodstawowyZnak"/>
        </w:rPr>
        <w:t>, 2017</w:t>
      </w:r>
      <w:r w:rsidR="00DB4AAE">
        <w:rPr>
          <w:rStyle w:val="TekstpodstawowyZnak"/>
        </w:rPr>
        <w:t xml:space="preserve"> r.</w:t>
      </w:r>
      <w:r>
        <w:rPr>
          <w:rStyle w:val="TekstpodstawowyZnak"/>
        </w:rPr>
        <w:t>, § 23;</w:t>
      </w:r>
      <w:hyperlink r:id="rId59" w:history="1">
        <w:r>
          <w:rPr>
            <w:rStyle w:val="TekstpodstawowyZnak"/>
          </w:rPr>
          <w:t xml:space="preserve"> </w:t>
        </w:r>
        <w:r>
          <w:rPr>
            <w:rStyle w:val="TekstpodstawowyZnak"/>
            <w:i/>
            <w:iCs/>
            <w:color w:val="0072BC"/>
          </w:rPr>
          <w:t>İzzet</w:t>
        </w:r>
      </w:hyperlink>
      <w:r>
        <w:rPr>
          <w:rStyle w:val="TekstpodstawowyZnak"/>
          <w:i/>
          <w:iCs/>
          <w:color w:val="0072BC"/>
        </w:rPr>
        <w:t xml:space="preserve"> </w:t>
      </w:r>
      <w:hyperlink r:id="rId60" w:history="1">
        <w:r>
          <w:rPr>
            <w:rStyle w:val="TekstpodstawowyZnak"/>
            <w:i/>
            <w:iCs/>
            <w:color w:val="0072BC"/>
          </w:rPr>
          <w:t>Çelik p. Turcji,</w:t>
        </w:r>
        <w:r>
          <w:rPr>
            <w:rStyle w:val="TekstpodstawowyZnak"/>
            <w:color w:val="0072BC"/>
          </w:rPr>
          <w:t xml:space="preserve"> </w:t>
        </w:r>
      </w:hyperlink>
      <w:r>
        <w:rPr>
          <w:rStyle w:val="TekstpodstawowyZnak"/>
        </w:rPr>
        <w:t>2018</w:t>
      </w:r>
      <w:r w:rsidR="00DB4AAE">
        <w:rPr>
          <w:rStyle w:val="TekstpodstawowyZnak"/>
        </w:rPr>
        <w:t xml:space="preserve"> r.</w:t>
      </w:r>
      <w:r>
        <w:rPr>
          <w:rStyle w:val="TekstpodstawowyZnak"/>
        </w:rPr>
        <w:t>, § 38).</w:t>
      </w:r>
    </w:p>
    <w:p w14:paraId="51EE2354" w14:textId="1F5F4F62" w:rsidR="00B65736" w:rsidRDefault="00381181">
      <w:pPr>
        <w:pStyle w:val="Tekstpodstawowy"/>
        <w:numPr>
          <w:ilvl w:val="0"/>
          <w:numId w:val="4"/>
        </w:numPr>
        <w:tabs>
          <w:tab w:val="left" w:pos="844"/>
        </w:tabs>
        <w:spacing w:after="200"/>
        <w:ind w:left="860" w:hanging="280"/>
        <w:jc w:val="both"/>
        <w:rPr>
          <w:rStyle w:val="TekstpodstawowyZnak"/>
        </w:rPr>
      </w:pPr>
      <w:r>
        <w:rPr>
          <w:rStyle w:val="TekstpodstawowyZnak"/>
        </w:rPr>
        <w:t>Jednakże w sprawie</w:t>
      </w:r>
      <w:hyperlink r:id="rId61" w:history="1">
        <w:r>
          <w:rPr>
            <w:rStyle w:val="TekstpodstawowyZnak"/>
          </w:rPr>
          <w:t xml:space="preserve"> </w:t>
        </w:r>
        <w:r>
          <w:rPr>
            <w:rStyle w:val="TekstpodstawowyZnak"/>
            <w:i/>
            <w:iCs/>
            <w:color w:val="0072BC"/>
          </w:rPr>
          <w:t>Beuze przeciwko Belgii</w:t>
        </w:r>
        <w:r>
          <w:rPr>
            <w:rStyle w:val="TekstpodstawowyZnak"/>
            <w:color w:val="0072BC"/>
          </w:rPr>
          <w:t xml:space="preserve"> </w:t>
        </w:r>
      </w:hyperlink>
      <w:r>
        <w:rPr>
          <w:rStyle w:val="TekstpodstawowyZnak"/>
        </w:rPr>
        <w:t>[</w:t>
      </w:r>
      <w:r w:rsidR="00DB4AAE">
        <w:rPr>
          <w:rStyle w:val="TekstpodstawowyZnak"/>
        </w:rPr>
        <w:t>WI] 2018</w:t>
      </w:r>
      <w:r w:rsidR="00EB2BBB">
        <w:rPr>
          <w:rStyle w:val="TekstpodstawowyZnak"/>
        </w:rPr>
        <w:t xml:space="preserve"> r.</w:t>
      </w:r>
      <w:r w:rsidR="00DB4AAE">
        <w:rPr>
          <w:rStyle w:val="TekstpodstawowyZnak"/>
        </w:rPr>
        <w:t xml:space="preserve">, §§ 144, 160-165, Trybunał potwierdził, że dwuetapowy test, opracowany w sprawie </w:t>
      </w:r>
      <w:hyperlink r:id="rId62" w:history="1">
        <w:r w:rsidR="00DB4AAE">
          <w:rPr>
            <w:rStyle w:val="TekstpodstawowyZnak"/>
            <w:i/>
            <w:iCs/>
            <w:color w:val="0072BC"/>
          </w:rPr>
          <w:t>Ibrachim i Inni przeciwko Zjed</w:t>
        </w:r>
        <w:r>
          <w:rPr>
            <w:rStyle w:val="TekstpodstawowyZnak"/>
            <w:i/>
            <w:iCs/>
            <w:color w:val="0072BC"/>
          </w:rPr>
          <w:t>noczonemu Królestwu</w:t>
        </w:r>
        <w:r>
          <w:rPr>
            <w:rStyle w:val="TekstpodstawowyZnak"/>
            <w:color w:val="0072BC"/>
          </w:rPr>
          <w:t xml:space="preserve"> </w:t>
        </w:r>
      </w:hyperlink>
      <w:r>
        <w:rPr>
          <w:rStyle w:val="TekstpodstawowyZnak"/>
        </w:rPr>
        <w:t xml:space="preserve"> [</w:t>
      </w:r>
      <w:r w:rsidR="00DB4AAE">
        <w:rPr>
          <w:rStyle w:val="TekstpodstawowyZnak"/>
        </w:rPr>
        <w:t>WI</w:t>
      </w:r>
      <w:r>
        <w:rPr>
          <w:rStyle w:val="TekstpodstawowyZnak"/>
        </w:rPr>
        <w:t>], 2016</w:t>
      </w:r>
      <w:r w:rsidR="00DB4AAE">
        <w:rPr>
          <w:rStyle w:val="TekstpodstawowyZnak"/>
        </w:rPr>
        <w:t xml:space="preserve"> r.</w:t>
      </w:r>
      <w:r>
        <w:rPr>
          <w:rStyle w:val="TekstpodstawowyZnak"/>
        </w:rPr>
        <w:t>, ma zastosowanie również do ogólnych i obowiązkowych (w tym przypadku ustawowych) ograniczeń. W takich okolicznościach Trybunał stosuje jednak bardzo rygorystyczną kontrolę do oceny sprawiedliwości, a brak przekonujących powodów ma duże znaczenie dla równowagi, która może zatem zostać przechylona w kierunku stwierdzenia naruszenia art. 6 ust. 1 i 3 (c) Konwencji.</w:t>
      </w:r>
    </w:p>
    <w:p w14:paraId="4A911212" w14:textId="77777777" w:rsidR="00ED473E" w:rsidRDefault="00ED473E" w:rsidP="00ED473E">
      <w:pPr>
        <w:pStyle w:val="Tekstpodstawowy"/>
        <w:tabs>
          <w:tab w:val="left" w:pos="844"/>
        </w:tabs>
        <w:spacing w:after="200"/>
        <w:jc w:val="both"/>
        <w:rPr>
          <w:rStyle w:val="TekstpodstawowyZnak"/>
        </w:rPr>
      </w:pPr>
    </w:p>
    <w:p w14:paraId="54BFC1A1" w14:textId="77777777" w:rsidR="00ED473E" w:rsidRDefault="00ED473E" w:rsidP="00ED473E">
      <w:pPr>
        <w:pStyle w:val="Tekstpodstawowy"/>
        <w:tabs>
          <w:tab w:val="left" w:pos="844"/>
        </w:tabs>
        <w:spacing w:after="200"/>
        <w:jc w:val="both"/>
        <w:rPr>
          <w:rStyle w:val="TekstpodstawowyZnak"/>
        </w:rPr>
      </w:pPr>
    </w:p>
    <w:p w14:paraId="6E33B184" w14:textId="77777777" w:rsidR="00911CCA" w:rsidRDefault="00911CCA" w:rsidP="00911CCA">
      <w:pPr>
        <w:pStyle w:val="Tekstpodstawowy"/>
        <w:tabs>
          <w:tab w:val="left" w:pos="844"/>
        </w:tabs>
        <w:spacing w:after="200"/>
        <w:jc w:val="both"/>
        <w:rPr>
          <w:rStyle w:val="TekstpodstawowyZnak"/>
        </w:rPr>
      </w:pPr>
    </w:p>
    <w:p w14:paraId="118161A1" w14:textId="77777777" w:rsidR="00911CCA" w:rsidRDefault="00911CCA" w:rsidP="00911CCA">
      <w:pPr>
        <w:pStyle w:val="Tekstpodstawowy"/>
        <w:tabs>
          <w:tab w:val="left" w:pos="844"/>
        </w:tabs>
        <w:spacing w:after="200"/>
        <w:jc w:val="both"/>
        <w:rPr>
          <w:rStyle w:val="TekstpodstawowyZnak"/>
        </w:rPr>
      </w:pPr>
    </w:p>
    <w:p w14:paraId="40004589" w14:textId="77777777" w:rsidR="00911CCA" w:rsidRDefault="00911CCA" w:rsidP="00911CCA">
      <w:pPr>
        <w:pStyle w:val="Tekstpodstawowy"/>
        <w:tabs>
          <w:tab w:val="left" w:pos="844"/>
        </w:tabs>
        <w:spacing w:after="200"/>
        <w:jc w:val="both"/>
      </w:pPr>
    </w:p>
    <w:p w14:paraId="37CE4088" w14:textId="0AB69E97" w:rsidR="00B65736" w:rsidRDefault="00214F51" w:rsidP="00FA1C63">
      <w:pPr>
        <w:pStyle w:val="Heading30"/>
        <w:keepNext/>
        <w:keepLines/>
        <w:pBdr>
          <w:bottom w:val="single" w:sz="4" w:space="1" w:color="auto"/>
        </w:pBdr>
        <w:spacing w:after="80"/>
        <w:jc w:val="both"/>
      </w:pPr>
      <w:bookmarkStart w:id="5" w:name="bookmark10"/>
      <w:r>
        <w:rPr>
          <w:rStyle w:val="Heading3"/>
          <w:b/>
          <w:bCs/>
        </w:rPr>
        <w:t xml:space="preserve">Istotne </w:t>
      </w:r>
      <w:r w:rsidR="00381181">
        <w:rPr>
          <w:rStyle w:val="Heading3"/>
          <w:b/>
          <w:bCs/>
        </w:rPr>
        <w:t>przykłady</w:t>
      </w:r>
      <w:bookmarkEnd w:id="5"/>
    </w:p>
    <w:p w14:paraId="7E8E7446" w14:textId="2B104A69" w:rsidR="00B65736" w:rsidRDefault="00381181">
      <w:pPr>
        <w:pStyle w:val="Tekstpodstawowy"/>
        <w:numPr>
          <w:ilvl w:val="0"/>
          <w:numId w:val="4"/>
        </w:numPr>
        <w:tabs>
          <w:tab w:val="left" w:pos="844"/>
        </w:tabs>
        <w:ind w:left="860" w:hanging="280"/>
        <w:jc w:val="both"/>
      </w:pPr>
      <w:hyperlink r:id="rId63" w:history="1">
        <w:r>
          <w:rPr>
            <w:rStyle w:val="TekstpodstawowyZnak"/>
            <w:i/>
            <w:iCs/>
            <w:color w:val="0072BC"/>
          </w:rPr>
          <w:t xml:space="preserve">Ibrahim i </w:t>
        </w:r>
        <w:r w:rsidR="0016420C">
          <w:rPr>
            <w:rStyle w:val="TekstpodstawowyZnak"/>
            <w:i/>
            <w:iCs/>
            <w:color w:val="0072BC"/>
          </w:rPr>
          <w:t>I</w:t>
        </w:r>
        <w:r>
          <w:rPr>
            <w:rStyle w:val="TekstpodstawowyZnak"/>
            <w:i/>
            <w:iCs/>
            <w:color w:val="0072BC"/>
          </w:rPr>
          <w:t>nni przeciwko Zjednoczonemu Królestwu</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2016</w:t>
      </w:r>
      <w:r w:rsidR="00DB4AAE">
        <w:rPr>
          <w:rStyle w:val="TekstpodstawowyZnak"/>
        </w:rPr>
        <w:t xml:space="preserve"> r.</w:t>
      </w:r>
      <w:r>
        <w:rPr>
          <w:rStyle w:val="TekstpodstawowyZnak"/>
        </w:rPr>
        <w:t xml:space="preserve"> - ograniczenie dostępu do adwokata w kontekście walki z terroryzmem;</w:t>
      </w:r>
    </w:p>
    <w:p w14:paraId="3A0F9D96" w14:textId="397DBE5A" w:rsidR="00B65736" w:rsidRDefault="00381181">
      <w:pPr>
        <w:pStyle w:val="Tekstpodstawowy"/>
        <w:numPr>
          <w:ilvl w:val="0"/>
          <w:numId w:val="4"/>
        </w:numPr>
        <w:tabs>
          <w:tab w:val="left" w:pos="844"/>
        </w:tabs>
        <w:ind w:left="860" w:hanging="280"/>
        <w:jc w:val="both"/>
        <w:rPr>
          <w:rStyle w:val="TekstpodstawowyZnak"/>
        </w:rPr>
      </w:pPr>
      <w:hyperlink r:id="rId64" w:history="1">
        <w:r>
          <w:rPr>
            <w:rStyle w:val="TekstpodstawowyZnak"/>
            <w:i/>
            <w:iCs/>
            <w:color w:val="0072BC"/>
          </w:rPr>
          <w:t>Simeonovi przeciwko Bułgarii</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2017</w:t>
      </w:r>
      <w:r w:rsidR="00DB4AAE">
        <w:rPr>
          <w:rStyle w:val="TekstpodstawowyZnak"/>
        </w:rPr>
        <w:t xml:space="preserve"> r.</w:t>
      </w:r>
      <w:r>
        <w:rPr>
          <w:rStyle w:val="TekstpodstawowyZnak"/>
        </w:rPr>
        <w:t xml:space="preserve"> - zasady Ibrahim i </w:t>
      </w:r>
      <w:r w:rsidR="00214F51">
        <w:rPr>
          <w:rStyle w:val="TekstpodstawowyZnak"/>
        </w:rPr>
        <w:t>inni</w:t>
      </w:r>
      <w:r>
        <w:rPr>
          <w:rStyle w:val="TekstpodstawowyZnak"/>
        </w:rPr>
        <w:t xml:space="preserve"> w kontekście zwykłego przestępstwa (napad z bronią w ręku i morderstwo);</w:t>
      </w:r>
    </w:p>
    <w:p w14:paraId="62019DC9" w14:textId="77777777" w:rsidR="004777F2" w:rsidRDefault="004777F2" w:rsidP="004777F2">
      <w:pPr>
        <w:pStyle w:val="Tekstpodstawowy"/>
        <w:tabs>
          <w:tab w:val="left" w:pos="844"/>
        </w:tabs>
        <w:ind w:left="860"/>
        <w:jc w:val="both"/>
      </w:pPr>
    </w:p>
    <w:p w14:paraId="3EBD149E" w14:textId="0FB3FAD9" w:rsidR="0016420C" w:rsidRDefault="00381181" w:rsidP="004777F2">
      <w:pPr>
        <w:pStyle w:val="Tekstpodstawowy"/>
        <w:numPr>
          <w:ilvl w:val="0"/>
          <w:numId w:val="4"/>
        </w:numPr>
        <w:tabs>
          <w:tab w:val="left" w:pos="844"/>
        </w:tabs>
        <w:ind w:left="860" w:hanging="280"/>
        <w:jc w:val="both"/>
        <w:rPr>
          <w:rStyle w:val="TekstpodstawowyZnak"/>
        </w:rPr>
      </w:pPr>
      <w:hyperlink r:id="rId65" w:history="1">
        <w:r>
          <w:rPr>
            <w:rStyle w:val="TekstpodstawowyZnak"/>
            <w:i/>
            <w:iCs/>
            <w:color w:val="0072BC"/>
          </w:rPr>
          <w:t>Beuze przeciwko Belgii</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2018</w:t>
      </w:r>
      <w:r w:rsidR="00DB4AAE">
        <w:rPr>
          <w:rStyle w:val="TekstpodstawowyZnak"/>
        </w:rPr>
        <w:t xml:space="preserve"> r.</w:t>
      </w:r>
      <w:r>
        <w:rPr>
          <w:rStyle w:val="TekstpodstawowyZnak"/>
        </w:rPr>
        <w:t xml:space="preserve"> - ogólne i obowiązkowe (ustawowe) ograniczenie dostępu do adwokata podczas pierwszego przesłuchania przez policję oraz brak możliwości korzystania przez podejrzanego z pomocy </w:t>
      </w:r>
    </w:p>
    <w:p w14:paraId="100C3497" w14:textId="1A3E0436" w:rsidR="00DB4AAE" w:rsidRDefault="00381181" w:rsidP="0016420C">
      <w:pPr>
        <w:pStyle w:val="Tekstpodstawowy"/>
        <w:tabs>
          <w:tab w:val="left" w:pos="844"/>
        </w:tabs>
        <w:ind w:left="860"/>
        <w:jc w:val="both"/>
      </w:pPr>
      <w:r>
        <w:rPr>
          <w:rStyle w:val="TekstpodstawowyZnak"/>
        </w:rPr>
        <w:t xml:space="preserve">adwokata podczas przesłuchania </w:t>
      </w:r>
      <w:r w:rsidR="00214F51">
        <w:rPr>
          <w:rStyle w:val="TekstpodstawowyZnak"/>
        </w:rPr>
        <w:t>na późniejszym etapie postępowania przygotowawczego</w:t>
      </w:r>
      <w:r>
        <w:rPr>
          <w:rStyle w:val="TekstpodstawowyZnak"/>
        </w:rPr>
        <w:t>;</w:t>
      </w:r>
    </w:p>
    <w:p w14:paraId="757598D7" w14:textId="7EB32EF2" w:rsidR="00B65736" w:rsidRDefault="00381181">
      <w:pPr>
        <w:pStyle w:val="Tekstpodstawowy"/>
        <w:numPr>
          <w:ilvl w:val="0"/>
          <w:numId w:val="4"/>
        </w:numPr>
        <w:tabs>
          <w:tab w:val="left" w:pos="844"/>
        </w:tabs>
        <w:ind w:left="860" w:hanging="280"/>
        <w:jc w:val="both"/>
      </w:pPr>
      <w:hyperlink r:id="rId66" w:history="1">
        <w:r>
          <w:rPr>
            <w:rStyle w:val="TekstpodstawowyZnak"/>
            <w:i/>
            <w:iCs/>
            <w:color w:val="0072BC"/>
          </w:rPr>
          <w:t>Artur Parkhomenko przeciwko Ukrainie</w:t>
        </w:r>
      </w:hyperlink>
      <w:r>
        <w:rPr>
          <w:rStyle w:val="TekstpodstawowyZnak"/>
        </w:rPr>
        <w:t>, 2017</w:t>
      </w:r>
      <w:r w:rsidR="00DB4AAE">
        <w:rPr>
          <w:rStyle w:val="TekstpodstawowyZnak"/>
        </w:rPr>
        <w:t xml:space="preserve"> r.</w:t>
      </w:r>
      <w:r>
        <w:rPr>
          <w:rStyle w:val="TekstpodstawowyZnak"/>
        </w:rPr>
        <w:t>, §§ 83-91 - szczegółowa ocena ogólnej rzetelności postępowania, w którym nie istniały żadne istotne powody ograniczenia;</w:t>
      </w:r>
    </w:p>
    <w:p w14:paraId="035C359A" w14:textId="2C657DA5" w:rsidR="00E33C8C" w:rsidRDefault="00381181" w:rsidP="001D7780">
      <w:pPr>
        <w:pStyle w:val="Tekstpodstawowy"/>
        <w:numPr>
          <w:ilvl w:val="0"/>
          <w:numId w:val="4"/>
        </w:numPr>
        <w:tabs>
          <w:tab w:val="left" w:pos="844"/>
        </w:tabs>
        <w:ind w:left="860" w:hanging="280"/>
        <w:jc w:val="both"/>
      </w:pPr>
      <w:hyperlink r:id="rId67" w:history="1">
        <w:r>
          <w:rPr>
            <w:rStyle w:val="TekstpodstawowyZnak"/>
            <w:i/>
            <w:iCs/>
            <w:color w:val="0072BC"/>
          </w:rPr>
          <w:t>Dimitar Mitev przeciwko Bułgarii</w:t>
        </w:r>
      </w:hyperlink>
      <w:r>
        <w:rPr>
          <w:rStyle w:val="TekstpodstawowyZnak"/>
        </w:rPr>
        <w:t>, 2018</w:t>
      </w:r>
      <w:r w:rsidR="00DB4AAE">
        <w:rPr>
          <w:rStyle w:val="TekstpodstawowyZnak"/>
        </w:rPr>
        <w:t xml:space="preserve"> r.</w:t>
      </w:r>
      <w:r>
        <w:rPr>
          <w:rStyle w:val="TekstpodstawowyZnak"/>
        </w:rPr>
        <w:t xml:space="preserve"> - ograniczenie dostępu do adwokata podczas przesłuchania przez policję;</w:t>
      </w:r>
    </w:p>
    <w:p w14:paraId="23BE544F" w14:textId="563CDC1A" w:rsidR="00B65736" w:rsidRDefault="00381181">
      <w:pPr>
        <w:pStyle w:val="Tekstpodstawowy"/>
        <w:numPr>
          <w:ilvl w:val="0"/>
          <w:numId w:val="4"/>
        </w:numPr>
        <w:tabs>
          <w:tab w:val="left" w:pos="844"/>
        </w:tabs>
        <w:spacing w:after="200"/>
        <w:ind w:left="860" w:hanging="280"/>
        <w:jc w:val="both"/>
      </w:pPr>
      <w:hyperlink r:id="rId68" w:history="1">
        <w:r>
          <w:rPr>
            <w:rStyle w:val="TekstpodstawowyZnak"/>
            <w:i/>
            <w:iCs/>
            <w:color w:val="0072BC"/>
          </w:rPr>
          <w:t>Dubois przeciwko Francji</w:t>
        </w:r>
      </w:hyperlink>
      <w:r>
        <w:rPr>
          <w:rStyle w:val="TekstpodstawowyZnak"/>
        </w:rPr>
        <w:t>, 2022</w:t>
      </w:r>
      <w:r w:rsidR="00DB4AAE">
        <w:rPr>
          <w:rStyle w:val="TekstpodstawowyZnak"/>
        </w:rPr>
        <w:t xml:space="preserve"> r.</w:t>
      </w:r>
      <w:r>
        <w:rPr>
          <w:rStyle w:val="TekstpodstawowyZnak"/>
        </w:rPr>
        <w:t xml:space="preserve"> - ograniczenie dostępu do adwokata podczas pierwszego przesłuchania osoby niepozbawionej wolności.</w:t>
      </w:r>
    </w:p>
    <w:p w14:paraId="57B52A46" w14:textId="77777777" w:rsidR="00B65736" w:rsidRDefault="00381181" w:rsidP="00FA1C63">
      <w:pPr>
        <w:pStyle w:val="Heading30"/>
        <w:keepNext/>
        <w:keepLines/>
        <w:pBdr>
          <w:bottom w:val="single" w:sz="4" w:space="1" w:color="auto"/>
        </w:pBdr>
        <w:spacing w:after="80"/>
        <w:jc w:val="both"/>
      </w:pPr>
      <w:bookmarkStart w:id="6" w:name="bookmark12"/>
      <w:r>
        <w:rPr>
          <w:rStyle w:val="Heading3"/>
          <w:b/>
          <w:bCs/>
        </w:rPr>
        <w:t>Podsumowanie ogólnych zasad</w:t>
      </w:r>
      <w:bookmarkEnd w:id="6"/>
    </w:p>
    <w:p w14:paraId="5C239585" w14:textId="53606632" w:rsidR="00B65736" w:rsidRDefault="00381181">
      <w:pPr>
        <w:pStyle w:val="Tekstpodstawowy"/>
        <w:numPr>
          <w:ilvl w:val="0"/>
          <w:numId w:val="4"/>
        </w:numPr>
        <w:tabs>
          <w:tab w:val="left" w:pos="840"/>
        </w:tabs>
        <w:ind w:firstLine="580"/>
        <w:jc w:val="both"/>
      </w:pPr>
      <w:hyperlink r:id="rId69" w:history="1">
        <w:r>
          <w:rPr>
            <w:rStyle w:val="TekstpodstawowyZnak"/>
            <w:i/>
            <w:iCs/>
            <w:color w:val="0072BC"/>
          </w:rPr>
          <w:t>Simeonovi przeciwko Bułgarii</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2017</w:t>
      </w:r>
      <w:r w:rsidR="00DB4AAE">
        <w:rPr>
          <w:rStyle w:val="TekstpodstawowyZnak"/>
        </w:rPr>
        <w:t xml:space="preserve"> r.</w:t>
      </w:r>
      <w:r>
        <w:rPr>
          <w:rStyle w:val="TekstpodstawowyZnak"/>
        </w:rPr>
        <w:t>, §§ 110-120;</w:t>
      </w:r>
    </w:p>
    <w:p w14:paraId="5C2C0434" w14:textId="2434D99C" w:rsidR="00B65736" w:rsidRDefault="00381181">
      <w:pPr>
        <w:pStyle w:val="Tekstpodstawowy"/>
        <w:numPr>
          <w:ilvl w:val="0"/>
          <w:numId w:val="4"/>
        </w:numPr>
        <w:tabs>
          <w:tab w:val="left" w:pos="840"/>
        </w:tabs>
        <w:ind w:firstLine="580"/>
        <w:jc w:val="both"/>
      </w:pPr>
      <w:hyperlink r:id="rId70" w:history="1">
        <w:r>
          <w:rPr>
            <w:rStyle w:val="TekstpodstawowyZnak"/>
            <w:i/>
            <w:iCs/>
            <w:color w:val="0072BC"/>
          </w:rPr>
          <w:t>Sitnevskiy i Chaykovskiy przeciwko Ukrainie</w:t>
        </w:r>
      </w:hyperlink>
      <w:r>
        <w:rPr>
          <w:rStyle w:val="TekstpodstawowyZnak"/>
        </w:rPr>
        <w:t>, 2016</w:t>
      </w:r>
      <w:r w:rsidR="00DB4AAE">
        <w:rPr>
          <w:rStyle w:val="TekstpodstawowyZnak"/>
        </w:rPr>
        <w:t xml:space="preserve"> r.</w:t>
      </w:r>
      <w:r>
        <w:rPr>
          <w:rStyle w:val="TekstpodstawowyZnak"/>
        </w:rPr>
        <w:t>, §§ 57-63;</w:t>
      </w:r>
    </w:p>
    <w:p w14:paraId="54217184" w14:textId="4862251E" w:rsidR="00FA1C63" w:rsidRPr="00FD2F2D" w:rsidRDefault="00381181" w:rsidP="00FD2F2D">
      <w:pPr>
        <w:pStyle w:val="Tekstpodstawowy"/>
        <w:numPr>
          <w:ilvl w:val="0"/>
          <w:numId w:val="4"/>
        </w:numPr>
        <w:tabs>
          <w:tab w:val="left" w:pos="840"/>
        </w:tabs>
        <w:ind w:firstLine="580"/>
        <w:jc w:val="both"/>
        <w:rPr>
          <w:rStyle w:val="Heading3"/>
          <w:b w:val="0"/>
          <w:bCs w:val="0"/>
          <w:color w:val="000000"/>
          <w:sz w:val="20"/>
          <w:szCs w:val="20"/>
        </w:rPr>
      </w:pPr>
      <w:hyperlink r:id="rId71" w:history="1">
        <w:r>
          <w:rPr>
            <w:rStyle w:val="TekstpodstawowyZnak"/>
            <w:i/>
            <w:iCs/>
            <w:color w:val="0072BC"/>
          </w:rPr>
          <w:t>Beuze przeciwko Belgii</w:t>
        </w:r>
        <w:r>
          <w:rPr>
            <w:rStyle w:val="TekstpodstawowyZnak"/>
            <w:color w:val="0072BC"/>
          </w:rPr>
          <w:t xml:space="preserve"> </w:t>
        </w:r>
      </w:hyperlink>
      <w:r>
        <w:rPr>
          <w:rStyle w:val="TekstpodstawowyZnak"/>
        </w:rPr>
        <w:t>[</w:t>
      </w:r>
      <w:r w:rsidR="00DB4AAE">
        <w:rPr>
          <w:rStyle w:val="TekstpodstawowyZnak"/>
        </w:rPr>
        <w:t>WI</w:t>
      </w:r>
      <w:r>
        <w:rPr>
          <w:rStyle w:val="TekstpodstawowyZnak"/>
        </w:rPr>
        <w:t>], 2018</w:t>
      </w:r>
      <w:r w:rsidR="00DB4AAE">
        <w:rPr>
          <w:rStyle w:val="TekstpodstawowyZnak"/>
        </w:rPr>
        <w:t xml:space="preserve"> r.</w:t>
      </w:r>
      <w:r>
        <w:rPr>
          <w:rStyle w:val="TekstpodstawowyZnak"/>
        </w:rPr>
        <w:t>,</w:t>
      </w:r>
      <w:r w:rsidR="00DB4AAE">
        <w:rPr>
          <w:rStyle w:val="TekstpodstawowyZnak"/>
        </w:rPr>
        <w:t xml:space="preserve"> </w:t>
      </w:r>
      <w:r>
        <w:rPr>
          <w:rStyle w:val="TekstpodstawowyZnak"/>
        </w:rPr>
        <w:t>§§ 119-150.</w:t>
      </w:r>
      <w:bookmarkStart w:id="7" w:name="bookmark14"/>
    </w:p>
    <w:p w14:paraId="23C52295" w14:textId="641D53B7" w:rsidR="00B65736" w:rsidRDefault="00381181" w:rsidP="00FA1C63">
      <w:pPr>
        <w:pStyle w:val="Heading30"/>
        <w:keepNext/>
        <w:keepLines/>
        <w:pBdr>
          <w:bottom w:val="single" w:sz="4" w:space="1" w:color="auto"/>
        </w:pBdr>
        <w:spacing w:after="280"/>
        <w:jc w:val="both"/>
      </w:pPr>
      <w:r>
        <w:rPr>
          <w:rStyle w:val="Heading3"/>
          <w:b/>
          <w:bCs/>
        </w:rPr>
        <w:t>Powiązane (ale różne) tematy</w:t>
      </w:r>
      <w:bookmarkEnd w:id="7"/>
    </w:p>
    <w:p w14:paraId="5CCC748F" w14:textId="77777777" w:rsidR="00B65736" w:rsidRDefault="00381181">
      <w:pPr>
        <w:pStyle w:val="Heading20"/>
        <w:keepNext/>
        <w:keepLines/>
        <w:jc w:val="both"/>
      </w:pPr>
      <w:bookmarkStart w:id="8" w:name="bookmark16"/>
      <w:r>
        <w:rPr>
          <w:rStyle w:val="Heading2"/>
          <w:b/>
          <w:bCs/>
          <w:i/>
          <w:iCs/>
        </w:rPr>
        <w:t>Zrzeczenie się gwarancji na mocy art. 6 Konwencji</w:t>
      </w:r>
      <w:r>
        <w:rPr>
          <w:rStyle w:val="Heading2"/>
          <w:b/>
          <w:bCs/>
          <w:i/>
          <w:iCs/>
          <w:vertAlign w:val="superscript"/>
        </w:rPr>
        <w:footnoteReference w:id="2"/>
      </w:r>
      <w:r>
        <w:rPr>
          <w:rStyle w:val="Heading2"/>
          <w:b/>
          <w:bCs/>
          <w:i/>
          <w:iCs/>
        </w:rPr>
        <w:t>:</w:t>
      </w:r>
      <w:bookmarkEnd w:id="8"/>
    </w:p>
    <w:p w14:paraId="2AA08843" w14:textId="661040C2" w:rsidR="00B65736" w:rsidRDefault="00381181">
      <w:pPr>
        <w:pStyle w:val="Tekstpodstawowy"/>
        <w:numPr>
          <w:ilvl w:val="0"/>
          <w:numId w:val="4"/>
        </w:numPr>
        <w:tabs>
          <w:tab w:val="left" w:pos="844"/>
        </w:tabs>
        <w:spacing w:after="200"/>
        <w:ind w:left="860" w:hanging="280"/>
        <w:jc w:val="both"/>
      </w:pPr>
      <w:r>
        <w:rPr>
          <w:rStyle w:val="TekstpodstawowyZnak"/>
        </w:rPr>
        <w:t xml:space="preserve">Kwestią często pojawiającą się w kontekście prawa dostępu do adwokata jest kwestia zrzeczenia się gwarancji obrony prawnej na mocy art. 6. Co do zasady, gdy zrzeczenie się prawa dostępu do adwokata spełnia standard </w:t>
      </w:r>
      <w:r w:rsidR="001D7780">
        <w:rPr>
          <w:rStyle w:val="TekstpodstawowyZnak"/>
        </w:rPr>
        <w:t>„</w:t>
      </w:r>
      <w:r>
        <w:rPr>
          <w:rStyle w:val="TekstpodstawowyZnak"/>
        </w:rPr>
        <w:t>świadomego i inteligentnego zrzeczenia się" w orzecznictwie Trybunału, nie będzie podstaw do kwestionowania ogólnej rzetelności postępowania karnego przeciwko skarżącemu (</w:t>
      </w:r>
      <w:hyperlink r:id="rId72" w:history="1">
        <w:r>
          <w:rPr>
            <w:rStyle w:val="TekstpodstawowyZnak"/>
            <w:i/>
            <w:iCs/>
            <w:color w:val="0072BC"/>
          </w:rPr>
          <w:t>Šarkienė przeciwko Litwie</w:t>
        </w:r>
        <w:r>
          <w:rPr>
            <w:rStyle w:val="TekstpodstawowyZnak"/>
            <w:color w:val="0072BC"/>
          </w:rPr>
          <w:t xml:space="preserve"> </w:t>
        </w:r>
      </w:hyperlink>
      <w:r>
        <w:rPr>
          <w:rStyle w:val="TekstpodstawowyZnak"/>
        </w:rPr>
        <w:t>(dec.), 2017</w:t>
      </w:r>
      <w:r w:rsidR="001D7780">
        <w:rPr>
          <w:rStyle w:val="TekstpodstawowyZnak"/>
        </w:rPr>
        <w:t xml:space="preserve"> r.</w:t>
      </w:r>
      <w:r>
        <w:rPr>
          <w:rStyle w:val="TekstpodstawowyZnak"/>
        </w:rPr>
        <w:t xml:space="preserve">, § 38; </w:t>
      </w:r>
      <w:hyperlink r:id="rId73" w:history="1">
        <w:r>
          <w:rPr>
            <w:rStyle w:val="TekstpodstawowyZnak"/>
            <w:i/>
            <w:iCs/>
            <w:color w:val="0072BC"/>
          </w:rPr>
          <w:t>Sklyar przeciwko Rosji</w:t>
        </w:r>
      </w:hyperlink>
      <w:r>
        <w:rPr>
          <w:rStyle w:val="TekstpodstawowyZnak"/>
        </w:rPr>
        <w:t>, 2017</w:t>
      </w:r>
      <w:r w:rsidR="001D7780">
        <w:rPr>
          <w:rStyle w:val="TekstpodstawowyZnak"/>
        </w:rPr>
        <w:t xml:space="preserve"> r.</w:t>
      </w:r>
      <w:r>
        <w:rPr>
          <w:rStyle w:val="TekstpodstawowyZnak"/>
        </w:rPr>
        <w:t>, § 26).</w:t>
      </w:r>
    </w:p>
    <w:p w14:paraId="6B9844E9" w14:textId="77777777" w:rsidR="00B65736" w:rsidRDefault="00381181">
      <w:pPr>
        <w:pStyle w:val="Heading20"/>
        <w:keepNext/>
        <w:keepLines/>
        <w:jc w:val="both"/>
      </w:pPr>
      <w:bookmarkStart w:id="9" w:name="bookmark18"/>
      <w:r>
        <w:rPr>
          <w:rStyle w:val="Heading2"/>
          <w:b/>
          <w:bCs/>
          <w:i/>
          <w:iCs/>
        </w:rPr>
        <w:t>Prawnik z własnego wyboru:</w:t>
      </w:r>
      <w:bookmarkEnd w:id="9"/>
    </w:p>
    <w:p w14:paraId="4B987EED" w14:textId="508BC83D" w:rsidR="00B65736" w:rsidRDefault="00381181">
      <w:pPr>
        <w:pStyle w:val="Tekstpodstawowy"/>
        <w:numPr>
          <w:ilvl w:val="0"/>
          <w:numId w:val="4"/>
        </w:numPr>
        <w:tabs>
          <w:tab w:val="left" w:pos="844"/>
        </w:tabs>
        <w:ind w:left="860" w:hanging="280"/>
        <w:jc w:val="both"/>
      </w:pPr>
      <w:hyperlink r:id="rId74" w:history="1">
        <w:r>
          <w:rPr>
            <w:rStyle w:val="TekstpodstawowyZnak"/>
            <w:i/>
            <w:iCs/>
            <w:color w:val="0072BC"/>
          </w:rPr>
          <w:t>W sprawie Dvorski przeciwko Chorwacji</w:t>
        </w:r>
        <w:r>
          <w:rPr>
            <w:rStyle w:val="TekstpodstawowyZnak"/>
            <w:color w:val="0072BC"/>
          </w:rPr>
          <w:t xml:space="preserve"> </w:t>
        </w:r>
      </w:hyperlink>
      <w:r>
        <w:rPr>
          <w:rStyle w:val="TekstpodstawowyZnak"/>
        </w:rPr>
        <w:t>[</w:t>
      </w:r>
      <w:r w:rsidR="001D7780">
        <w:rPr>
          <w:rStyle w:val="TekstpodstawowyZnak"/>
        </w:rPr>
        <w:t>WI</w:t>
      </w:r>
      <w:r>
        <w:rPr>
          <w:rStyle w:val="TekstpodstawowyZnak"/>
        </w:rPr>
        <w:t>], 2015</w:t>
      </w:r>
      <w:r w:rsidR="001D7780">
        <w:rPr>
          <w:rStyle w:val="TekstpodstawowyZnak"/>
        </w:rPr>
        <w:t xml:space="preserve"> r.</w:t>
      </w:r>
      <w:r>
        <w:rPr>
          <w:rStyle w:val="TekstpodstawowyZnak"/>
        </w:rPr>
        <w:t xml:space="preserve">, § 78, Trybunał orzekł, że osoba oskarżona o popełnienie przestępstwa, która nie chce bronić się osobiście, musi mieć możliwość skorzystania z pomocy prawnej według własnego wyboru od początkowych etapów postępowania. Gdy prawo dostępu do adwokata z wyboru zostało ograniczone, Trybunał musi najpierw zbadać, czy takie ograniczenie było oparte na </w:t>
      </w:r>
      <w:r w:rsidR="001D7780">
        <w:rPr>
          <w:rStyle w:val="TekstpodstawowyZnak"/>
        </w:rPr>
        <w:t>„</w:t>
      </w:r>
      <w:r>
        <w:rPr>
          <w:rStyle w:val="TekstpodstawowyZnak"/>
        </w:rPr>
        <w:t>istotnych i wystarczających" powodach. W przypadku braku takich powodów, Trybunał przystępuje do oceny ogólnej rzetelności postępowania karnego (</w:t>
      </w:r>
      <w:hyperlink r:id="rId75" w:history="1">
        <w:r>
          <w:rPr>
            <w:rStyle w:val="TekstpodstawowyZnak"/>
            <w:i/>
            <w:iCs/>
            <w:color w:val="0072BC"/>
          </w:rPr>
          <w:t>ibid.</w:t>
        </w:r>
      </w:hyperlink>
      <w:r>
        <w:rPr>
          <w:rStyle w:val="TekstpodstawowyZnak"/>
        </w:rPr>
        <w:t>, §§ 81-82).</w:t>
      </w:r>
    </w:p>
    <w:p w14:paraId="344A33AC" w14:textId="2A8269D2" w:rsidR="00B65736" w:rsidRDefault="00381181">
      <w:pPr>
        <w:pStyle w:val="Tekstpodstawowy"/>
        <w:numPr>
          <w:ilvl w:val="0"/>
          <w:numId w:val="4"/>
        </w:numPr>
        <w:tabs>
          <w:tab w:val="left" w:pos="844"/>
        </w:tabs>
        <w:spacing w:after="200"/>
        <w:ind w:left="860" w:hanging="280"/>
        <w:jc w:val="both"/>
      </w:pPr>
      <w:r>
        <w:rPr>
          <w:rStyle w:val="TekstpodstawowyZnak"/>
        </w:rPr>
        <w:t>Prawo dostępu do adwokata z wyboru ma również zastosowanie na etapie postępowania sądowego (</w:t>
      </w:r>
      <w:hyperlink r:id="rId76" w:history="1">
        <w:r>
          <w:rPr>
            <w:rStyle w:val="TekstpodstawowyZnak"/>
            <w:i/>
            <w:iCs/>
            <w:color w:val="0072BC"/>
          </w:rPr>
          <w:t>Elif Nazan Şeker przeciwko Turcji</w:t>
        </w:r>
      </w:hyperlink>
      <w:r>
        <w:rPr>
          <w:rStyle w:val="TekstpodstawowyZnak"/>
        </w:rPr>
        <w:t>, 2020</w:t>
      </w:r>
      <w:r w:rsidR="001D7780">
        <w:rPr>
          <w:rStyle w:val="TekstpodstawowyZnak"/>
        </w:rPr>
        <w:t xml:space="preserve"> r.</w:t>
      </w:r>
      <w:r>
        <w:rPr>
          <w:rStyle w:val="TekstpodstawowyZnak"/>
        </w:rPr>
        <w:t>, § 50).</w:t>
      </w:r>
    </w:p>
    <w:p w14:paraId="1DAD24B4" w14:textId="39E23EE6" w:rsidR="00B65736" w:rsidRDefault="00381181">
      <w:pPr>
        <w:pStyle w:val="Heading20"/>
        <w:keepNext/>
        <w:keepLines/>
      </w:pPr>
      <w:bookmarkStart w:id="10" w:name="bookmark20"/>
      <w:r>
        <w:rPr>
          <w:rStyle w:val="Heading2"/>
          <w:b/>
          <w:bCs/>
          <w:i/>
          <w:iCs/>
        </w:rPr>
        <w:t>Komunikacja z prawnikiem:</w:t>
      </w:r>
      <w:bookmarkEnd w:id="10"/>
      <w:r w:rsidR="001D7780">
        <w:rPr>
          <w:rStyle w:val="Heading2"/>
          <w:b/>
          <w:bCs/>
          <w:i/>
          <w:iCs/>
        </w:rPr>
        <w:t xml:space="preserve"> </w:t>
      </w:r>
    </w:p>
    <w:p w14:paraId="1665D15A" w14:textId="1CB40F8F" w:rsidR="00B65736" w:rsidRDefault="00381181">
      <w:pPr>
        <w:pStyle w:val="Tekstpodstawowy"/>
        <w:numPr>
          <w:ilvl w:val="0"/>
          <w:numId w:val="4"/>
        </w:numPr>
        <w:tabs>
          <w:tab w:val="left" w:pos="844"/>
        </w:tabs>
        <w:spacing w:after="120"/>
        <w:ind w:left="860" w:hanging="280"/>
        <w:jc w:val="both"/>
      </w:pPr>
      <w:r>
        <w:rPr>
          <w:rStyle w:val="TekstpodstawowyZnak"/>
        </w:rPr>
        <w:t xml:space="preserve">Prawo do skutecznej pomocy prawnej obejmuje, </w:t>
      </w:r>
      <w:r>
        <w:rPr>
          <w:rStyle w:val="TekstpodstawowyZnak"/>
          <w:i/>
          <w:iCs/>
        </w:rPr>
        <w:t>między innymi</w:t>
      </w:r>
      <w:r>
        <w:rPr>
          <w:rStyle w:val="TekstpodstawowyZnak"/>
        </w:rPr>
        <w:t>, prawo oskarżonego do porozumiewania się ze swoim adwokatem na osobności. Ograniczenia tego prawa mogą zostać nałożone, jeżeli istnieje uzasadniony powód, ale takie ograniczenie nie powinno pozbawiać oskarżonego rzetelnego procesu (</w:t>
      </w:r>
      <w:hyperlink r:id="rId77" w:history="1">
        <w:r>
          <w:rPr>
            <w:rStyle w:val="TekstpodstawowyZnak"/>
            <w:i/>
            <w:iCs/>
            <w:color w:val="0072BC"/>
          </w:rPr>
          <w:t>Öcalan przeciwko Turcji</w:t>
        </w:r>
        <w:r>
          <w:rPr>
            <w:rStyle w:val="TekstpodstawowyZnak"/>
            <w:color w:val="0072BC"/>
          </w:rPr>
          <w:t xml:space="preserve"> </w:t>
        </w:r>
      </w:hyperlink>
      <w:r>
        <w:rPr>
          <w:rStyle w:val="TekstpodstawowyZnak"/>
        </w:rPr>
        <w:t>[</w:t>
      </w:r>
      <w:r w:rsidR="001D7780">
        <w:rPr>
          <w:rStyle w:val="TekstpodstawowyZnak"/>
        </w:rPr>
        <w:t>WI</w:t>
      </w:r>
      <w:r>
        <w:rPr>
          <w:rStyle w:val="TekstpodstawowyZnak"/>
        </w:rPr>
        <w:t>], 2005</w:t>
      </w:r>
      <w:r w:rsidR="001D7780">
        <w:rPr>
          <w:rStyle w:val="TekstpodstawowyZnak"/>
        </w:rPr>
        <w:t xml:space="preserve"> r.</w:t>
      </w:r>
      <w:r>
        <w:rPr>
          <w:rStyle w:val="TekstpodstawowyZnak"/>
        </w:rPr>
        <w:t xml:space="preserve">, § 133). </w:t>
      </w:r>
      <w:r w:rsidR="001D7780">
        <w:rPr>
          <w:rStyle w:val="TekstpodstawowyZnak"/>
        </w:rPr>
        <w:t>„</w:t>
      </w:r>
      <w:r>
        <w:rPr>
          <w:rStyle w:val="TekstpodstawowyZnak"/>
        </w:rPr>
        <w:t>Ważny powód" w tym kontekście byłby równoznaczny z istotnym powodem uzasadniającym takie ograniczenie (</w:t>
      </w:r>
      <w:hyperlink r:id="rId78" w:history="1">
        <w:r>
          <w:rPr>
            <w:rStyle w:val="TekstpodstawowyZnak"/>
            <w:i/>
            <w:iCs/>
            <w:color w:val="0072BC"/>
          </w:rPr>
          <w:t>Moroz przeciwko Ukrainie</w:t>
        </w:r>
      </w:hyperlink>
      <w:r>
        <w:rPr>
          <w:rStyle w:val="TekstpodstawowyZnak"/>
        </w:rPr>
        <w:t>, 2017</w:t>
      </w:r>
      <w:r w:rsidR="001D7780">
        <w:rPr>
          <w:rStyle w:val="TekstpodstawowyZnak"/>
        </w:rPr>
        <w:t xml:space="preserve"> r.</w:t>
      </w:r>
      <w:r>
        <w:rPr>
          <w:rStyle w:val="TekstpodstawowyZnak"/>
        </w:rPr>
        <w:t>, §§ 67-70). W każdej sprawie Trybunał musi zbadać, czy postępowanie jako całość było rzetelne (</w:t>
      </w:r>
      <w:hyperlink r:id="rId79" w:history="1">
        <w:r>
          <w:rPr>
            <w:rStyle w:val="TekstpodstawowyZnak"/>
            <w:i/>
            <w:iCs/>
            <w:color w:val="0072BC"/>
          </w:rPr>
          <w:t>ibid.</w:t>
        </w:r>
      </w:hyperlink>
      <w:r>
        <w:rPr>
          <w:rStyle w:val="TekstpodstawowyZnak"/>
        </w:rPr>
        <w:t>, § 74).</w:t>
      </w:r>
    </w:p>
    <w:p w14:paraId="39B917AE" w14:textId="77777777" w:rsidR="00911CCA" w:rsidRDefault="00911CCA">
      <w:pPr>
        <w:pStyle w:val="Heading10"/>
        <w:keepNext/>
        <w:keepLines/>
        <w:jc w:val="left"/>
        <w:rPr>
          <w:rStyle w:val="Heading1"/>
          <w:b/>
          <w:bCs/>
        </w:rPr>
      </w:pPr>
      <w:bookmarkStart w:id="11" w:name="bookmark22"/>
    </w:p>
    <w:p w14:paraId="0B41E121" w14:textId="12C8BAF6" w:rsidR="00B65736" w:rsidRDefault="00381181">
      <w:pPr>
        <w:pStyle w:val="Heading10"/>
        <w:keepNext/>
        <w:keepLines/>
        <w:jc w:val="left"/>
      </w:pPr>
      <w:r>
        <w:rPr>
          <w:rStyle w:val="Heading1"/>
          <w:b/>
          <w:bCs/>
        </w:rPr>
        <w:t>KLUCZOWE ODNIESIENIA DO ORZECZNICTWA</w:t>
      </w:r>
      <w:bookmarkEnd w:id="11"/>
    </w:p>
    <w:p w14:paraId="79665C8B" w14:textId="77777777" w:rsidR="00B65736" w:rsidRDefault="00381181" w:rsidP="00FA1C63">
      <w:pPr>
        <w:pStyle w:val="Heading30"/>
        <w:keepNext/>
        <w:keepLines/>
        <w:pBdr>
          <w:bottom w:val="single" w:sz="4" w:space="1" w:color="auto"/>
        </w:pBdr>
      </w:pPr>
      <w:bookmarkStart w:id="12" w:name="bookmark24"/>
      <w:r>
        <w:rPr>
          <w:rStyle w:val="Heading3"/>
          <w:b/>
          <w:bCs/>
        </w:rPr>
        <w:t>Najważniejsze przypadki:</w:t>
      </w:r>
      <w:bookmarkEnd w:id="12"/>
    </w:p>
    <w:p w14:paraId="103FB053" w14:textId="6FB2062D" w:rsidR="00FD2F2D" w:rsidRDefault="00381181" w:rsidP="00FD2F2D">
      <w:pPr>
        <w:pStyle w:val="Tekstpodstawowy"/>
        <w:numPr>
          <w:ilvl w:val="0"/>
          <w:numId w:val="4"/>
        </w:numPr>
        <w:tabs>
          <w:tab w:val="left" w:pos="827"/>
        </w:tabs>
        <w:ind w:left="840" w:hanging="280"/>
        <w:jc w:val="both"/>
      </w:pPr>
      <w:hyperlink r:id="rId80" w:history="1">
        <w:r>
          <w:rPr>
            <w:rStyle w:val="TekstpodstawowyZnak"/>
            <w:i/>
            <w:iCs/>
            <w:color w:val="0072BC"/>
          </w:rPr>
          <w:t>Salduz przeciwko Turcji</w:t>
        </w:r>
        <w:r>
          <w:rPr>
            <w:rStyle w:val="TekstpodstawowyZnak"/>
            <w:color w:val="0072BC"/>
          </w:rPr>
          <w:t xml:space="preserve"> </w:t>
        </w:r>
      </w:hyperlink>
      <w:r>
        <w:rPr>
          <w:rStyle w:val="TekstpodstawowyZnak"/>
        </w:rPr>
        <w:t>[</w:t>
      </w:r>
      <w:r w:rsidR="001D7780">
        <w:rPr>
          <w:rStyle w:val="TekstpodstawowyZnak"/>
        </w:rPr>
        <w:t>WI</w:t>
      </w:r>
      <w:r>
        <w:rPr>
          <w:rStyle w:val="TekstpodstawowyZnak"/>
        </w:rPr>
        <w:t>], nr. 36391/02, E</w:t>
      </w:r>
      <w:r w:rsidR="001D7780">
        <w:rPr>
          <w:rStyle w:val="TekstpodstawowyZnak"/>
        </w:rPr>
        <w:t>TPC</w:t>
      </w:r>
      <w:r>
        <w:rPr>
          <w:rStyle w:val="TekstpodstawowyZnak"/>
        </w:rPr>
        <w:t xml:space="preserve"> 2008</w:t>
      </w:r>
      <w:r w:rsidR="001D7780">
        <w:rPr>
          <w:rStyle w:val="TekstpodstawowyZnak"/>
        </w:rPr>
        <w:t xml:space="preserve"> r.</w:t>
      </w:r>
      <w:r>
        <w:rPr>
          <w:rStyle w:val="TekstpodstawowyZnak"/>
        </w:rPr>
        <w:t xml:space="preserve"> (naruszenie Artykułu 6 § 3 (c) w związku z Artykułem 6 § 1, z powodu braku pomocy prawnej dla skarżącego, gdy przebywał w areszcie policyjnym);</w:t>
      </w:r>
    </w:p>
    <w:p w14:paraId="2BB9F9C0" w14:textId="77777777" w:rsidR="00FD2F2D" w:rsidRDefault="00FD2F2D" w:rsidP="00FD2F2D"/>
    <w:p w14:paraId="7FF80A04" w14:textId="071C952D" w:rsidR="00B65736" w:rsidRDefault="00381181" w:rsidP="00FA1C63">
      <w:pPr>
        <w:pStyle w:val="Tekstpodstawowy"/>
        <w:numPr>
          <w:ilvl w:val="0"/>
          <w:numId w:val="4"/>
        </w:numPr>
        <w:tabs>
          <w:tab w:val="left" w:pos="827"/>
        </w:tabs>
        <w:spacing w:after="220"/>
        <w:ind w:left="840" w:hanging="280"/>
        <w:jc w:val="both"/>
      </w:pPr>
      <w:hyperlink r:id="rId81" w:history="1">
        <w:r>
          <w:rPr>
            <w:rStyle w:val="TekstpodstawowyZnak"/>
            <w:i/>
            <w:iCs/>
            <w:color w:val="0072BC"/>
          </w:rPr>
          <w:t xml:space="preserve">Ibrahim i </w:t>
        </w:r>
        <w:r w:rsidR="0016420C">
          <w:rPr>
            <w:rStyle w:val="TekstpodstawowyZnak"/>
            <w:i/>
            <w:iCs/>
            <w:color w:val="0072BC"/>
          </w:rPr>
          <w:t>I</w:t>
        </w:r>
        <w:r>
          <w:rPr>
            <w:rStyle w:val="TekstpodstawowyZnak"/>
            <w:i/>
            <w:iCs/>
            <w:color w:val="0072BC"/>
          </w:rPr>
          <w:t>nni przeciwko Zjednoczonemu Królestwu</w:t>
        </w:r>
        <w:r>
          <w:rPr>
            <w:rStyle w:val="TekstpodstawowyZnak"/>
            <w:color w:val="0072BC"/>
          </w:rPr>
          <w:t xml:space="preserve"> </w:t>
        </w:r>
      </w:hyperlink>
      <w:r>
        <w:rPr>
          <w:rStyle w:val="TekstpodstawowyZnak"/>
        </w:rPr>
        <w:t>[</w:t>
      </w:r>
      <w:r w:rsidR="001D7780">
        <w:rPr>
          <w:rStyle w:val="TekstpodstawowyZnak"/>
        </w:rPr>
        <w:t>WI</w:t>
      </w:r>
      <w:r>
        <w:rPr>
          <w:rStyle w:val="TekstpodstawowyZnak"/>
        </w:rPr>
        <w:t xml:space="preserve">], nr 50541/08 i 3 inne, 13 września 2016 r. (brak </w:t>
      </w:r>
      <w:r w:rsidR="00FD2F2D">
        <w:rPr>
          <w:rStyle w:val="TekstpodstawowyZnak"/>
        </w:rPr>
        <w:t>naruszenia art. 6 §§ 1 i 3 (c) w odniesieniu do pierwszych trzech skarżących; naruszenie art. 6 §§ 1 i 3 (c) w odniesieniu do czwartego skarżącego).</w:t>
      </w:r>
    </w:p>
    <w:p w14:paraId="45F36894" w14:textId="77777777" w:rsidR="00FA1C63" w:rsidRDefault="00FA1C63">
      <w:pPr>
        <w:pStyle w:val="Heading30"/>
        <w:keepNext/>
        <w:keepLines/>
        <w:rPr>
          <w:rStyle w:val="Heading3"/>
          <w:b/>
          <w:bCs/>
        </w:rPr>
      </w:pPr>
      <w:bookmarkStart w:id="13" w:name="bookmark26"/>
    </w:p>
    <w:p w14:paraId="69A53FC6" w14:textId="680C966B" w:rsidR="00B65736" w:rsidRDefault="00381181" w:rsidP="00FA1C63">
      <w:pPr>
        <w:pStyle w:val="Heading30"/>
        <w:keepNext/>
        <w:keepLines/>
        <w:pBdr>
          <w:bottom w:val="single" w:sz="4" w:space="1" w:color="auto"/>
        </w:pBdr>
      </w:pPr>
      <w:r>
        <w:rPr>
          <w:rStyle w:val="Heading3"/>
          <w:b/>
          <w:bCs/>
        </w:rPr>
        <w:t>Inne przypadki na mocy art. 6 §§ 1 i 3 (c):</w:t>
      </w:r>
      <w:bookmarkEnd w:id="13"/>
    </w:p>
    <w:p w14:paraId="038C86BE" w14:textId="77777777" w:rsidR="00B65736" w:rsidRDefault="00381181">
      <w:pPr>
        <w:pStyle w:val="Tekstpodstawowy"/>
        <w:numPr>
          <w:ilvl w:val="0"/>
          <w:numId w:val="4"/>
        </w:numPr>
        <w:tabs>
          <w:tab w:val="left" w:pos="827"/>
        </w:tabs>
        <w:ind w:left="840" w:hanging="280"/>
        <w:jc w:val="both"/>
      </w:pPr>
      <w:hyperlink r:id="rId82" w:history="1">
        <w:r>
          <w:rPr>
            <w:rStyle w:val="TekstpodstawowyZnak"/>
            <w:i/>
            <w:iCs/>
            <w:color w:val="0072BC"/>
          </w:rPr>
          <w:t>Sitnevskiy i Chaykovskiy przeciwko Ukrainie</w:t>
        </w:r>
      </w:hyperlink>
      <w:r>
        <w:rPr>
          <w:rStyle w:val="TekstpodstawowyZnak"/>
        </w:rPr>
        <w:t>, nr 48016/06 i 7817/07, 10 listopada 2016 r. (naruszenie art. 6 §§ 1 i 3 (c) w odniesieniu do pierwszego skarżącego);</w:t>
      </w:r>
    </w:p>
    <w:p w14:paraId="30DA6CEB" w14:textId="228F6A5B" w:rsidR="001D7780" w:rsidRDefault="00381181" w:rsidP="00E71EA3">
      <w:pPr>
        <w:pStyle w:val="Tekstpodstawowy"/>
        <w:numPr>
          <w:ilvl w:val="0"/>
          <w:numId w:val="4"/>
        </w:numPr>
        <w:tabs>
          <w:tab w:val="left" w:pos="827"/>
        </w:tabs>
        <w:ind w:left="840" w:hanging="280"/>
        <w:jc w:val="both"/>
      </w:pPr>
      <w:hyperlink r:id="rId83" w:history="1">
        <w:r>
          <w:rPr>
            <w:rStyle w:val="TekstpodstawowyZnak"/>
            <w:i/>
            <w:iCs/>
            <w:color w:val="0072BC"/>
          </w:rPr>
          <w:t>Artur Parkhomenko przeciwko Ukrainie</w:t>
        </w:r>
      </w:hyperlink>
      <w:r>
        <w:rPr>
          <w:rStyle w:val="TekstpodstawowyZnak"/>
        </w:rPr>
        <w:t>, nr. 40464/05, 16 lutego 2017 r. (brak n</w:t>
      </w:r>
      <w:r w:rsidR="001D7780">
        <w:rPr>
          <w:rStyle w:val="TekstpodstawowyZnak"/>
        </w:rPr>
        <w:t>aruszenia</w:t>
      </w:r>
      <w:r>
        <w:rPr>
          <w:rStyle w:val="TekstpodstawowyZnak"/>
        </w:rPr>
        <w:t xml:space="preserve"> art. 6 §§ 1 i 3 (c));</w:t>
      </w:r>
    </w:p>
    <w:p w14:paraId="1A6CB4D1" w14:textId="7A1B9C28" w:rsidR="00B65736" w:rsidRDefault="00381181">
      <w:pPr>
        <w:pStyle w:val="Tekstpodstawowy"/>
        <w:numPr>
          <w:ilvl w:val="0"/>
          <w:numId w:val="4"/>
        </w:numPr>
        <w:tabs>
          <w:tab w:val="left" w:pos="827"/>
        </w:tabs>
        <w:ind w:left="840" w:hanging="280"/>
        <w:jc w:val="both"/>
      </w:pPr>
      <w:hyperlink r:id="rId84" w:history="1">
        <w:r>
          <w:rPr>
            <w:rStyle w:val="TekstpodstawowyZnak"/>
            <w:i/>
            <w:iCs/>
            <w:color w:val="0072BC"/>
          </w:rPr>
          <w:t>Simeonovi przeciwko Bułgarii</w:t>
        </w:r>
        <w:r>
          <w:rPr>
            <w:rStyle w:val="TekstpodstawowyZnak"/>
            <w:color w:val="0072BC"/>
          </w:rPr>
          <w:t xml:space="preserve"> </w:t>
        </w:r>
      </w:hyperlink>
      <w:r>
        <w:rPr>
          <w:rStyle w:val="TekstpodstawowyZnak"/>
        </w:rPr>
        <w:t>[</w:t>
      </w:r>
      <w:r w:rsidR="001D7780">
        <w:rPr>
          <w:rStyle w:val="TekstpodstawowyZnak"/>
        </w:rPr>
        <w:t>WI</w:t>
      </w:r>
      <w:r>
        <w:rPr>
          <w:rStyle w:val="TekstpodstawowyZnak"/>
        </w:rPr>
        <w:t>], nr 21980/04, 12 maja 2017 r. (brak naruszenia art. 6 §§ 1 i 3 (c));</w:t>
      </w:r>
    </w:p>
    <w:p w14:paraId="5761808E" w14:textId="258048B0" w:rsidR="00B65736" w:rsidRDefault="00381181">
      <w:pPr>
        <w:pStyle w:val="Tekstpodstawowy"/>
        <w:numPr>
          <w:ilvl w:val="0"/>
          <w:numId w:val="4"/>
        </w:numPr>
        <w:tabs>
          <w:tab w:val="left" w:pos="827"/>
        </w:tabs>
        <w:ind w:firstLine="560"/>
        <w:jc w:val="both"/>
      </w:pPr>
      <w:hyperlink r:id="rId85" w:history="1">
        <w:r w:rsidRPr="006752EE">
          <w:rPr>
            <w:rStyle w:val="Hipercze"/>
            <w:i/>
            <w:iCs/>
            <w:color w:val="0070C0"/>
            <w:u w:val="none"/>
          </w:rPr>
          <w:t>Bayram K</w:t>
        </w:r>
        <w:r w:rsidR="006752EE" w:rsidRPr="006752EE">
          <w:rPr>
            <w:rStyle w:val="Hipercze"/>
            <w:i/>
            <w:iCs/>
            <w:color w:val="0070C0"/>
            <w:u w:val="none"/>
          </w:rPr>
          <w:t>oç</w:t>
        </w:r>
        <w:r w:rsidRPr="006752EE">
          <w:rPr>
            <w:rStyle w:val="Hipercze"/>
            <w:i/>
            <w:iCs/>
            <w:color w:val="0070C0"/>
            <w:u w:val="none"/>
          </w:rPr>
          <w:t xml:space="preserve"> przeciwko Turcji</w:t>
        </w:r>
      </w:hyperlink>
      <w:r>
        <w:rPr>
          <w:rStyle w:val="TekstpodstawowyZnak"/>
        </w:rPr>
        <w:t>, nr. 38907/09, 5 września 2017 r. (naruszenie art. 6 §§ 1 i 3 (c));</w:t>
      </w:r>
    </w:p>
    <w:p w14:paraId="528D9E21" w14:textId="3751D20E" w:rsidR="00B65736" w:rsidRDefault="006752EE">
      <w:pPr>
        <w:pStyle w:val="Tekstpodstawowy"/>
        <w:numPr>
          <w:ilvl w:val="0"/>
          <w:numId w:val="4"/>
        </w:numPr>
        <w:tabs>
          <w:tab w:val="left" w:pos="827"/>
        </w:tabs>
        <w:ind w:left="840" w:hanging="280"/>
        <w:jc w:val="both"/>
      </w:pPr>
      <w:hyperlink r:id="rId86" w:history="1">
        <w:r w:rsidRPr="006752EE">
          <w:rPr>
            <w:rStyle w:val="Hipercze"/>
            <w:i/>
            <w:iCs/>
            <w:color w:val="0070C0"/>
            <w:u w:val="none"/>
          </w:rPr>
          <w:t>İ</w:t>
        </w:r>
        <w:r w:rsidR="00381181" w:rsidRPr="006752EE">
          <w:rPr>
            <w:rStyle w:val="Hipercze"/>
            <w:i/>
            <w:iCs/>
            <w:color w:val="0070C0"/>
            <w:u w:val="none"/>
          </w:rPr>
          <w:t xml:space="preserve">zzet </w:t>
        </w:r>
        <w:r w:rsidRPr="006752EE">
          <w:rPr>
            <w:rStyle w:val="Hipercze"/>
            <w:i/>
            <w:iCs/>
            <w:color w:val="0070C0"/>
            <w:u w:val="none"/>
          </w:rPr>
          <w:t>Ç</w:t>
        </w:r>
        <w:r w:rsidR="00381181" w:rsidRPr="006752EE">
          <w:rPr>
            <w:rStyle w:val="Hipercze"/>
            <w:i/>
            <w:iCs/>
            <w:color w:val="0070C0"/>
            <w:u w:val="none"/>
          </w:rPr>
          <w:t>elik przeciwko Turcji,</w:t>
        </w:r>
        <w:r w:rsidR="00381181" w:rsidRPr="006752EE">
          <w:rPr>
            <w:rStyle w:val="Hipercze"/>
            <w:color w:val="0070C0"/>
            <w:u w:val="none"/>
          </w:rPr>
          <w:t xml:space="preserve"> </w:t>
        </w:r>
      </w:hyperlink>
      <w:r w:rsidR="00381181">
        <w:rPr>
          <w:rStyle w:val="TekstpodstawowyZnak"/>
        </w:rPr>
        <w:t>nr 15185/05, 23 stycznia 2018 r. (naruszenie art. 6 § 3 (c) w związku z art. 6 § 1 z powodu braku pomocy prawnej dostępnej dla skarżącego podczas wstępnego dochodzenia);</w:t>
      </w:r>
    </w:p>
    <w:p w14:paraId="1DF829F6" w14:textId="77777777" w:rsidR="00B65736" w:rsidRDefault="00381181">
      <w:pPr>
        <w:pStyle w:val="Tekstpodstawowy"/>
        <w:numPr>
          <w:ilvl w:val="0"/>
          <w:numId w:val="4"/>
        </w:numPr>
        <w:tabs>
          <w:tab w:val="left" w:pos="827"/>
        </w:tabs>
        <w:ind w:firstLine="560"/>
        <w:jc w:val="both"/>
      </w:pPr>
      <w:hyperlink r:id="rId87" w:history="1">
        <w:r>
          <w:rPr>
            <w:rStyle w:val="TekstpodstawowyZnak"/>
            <w:i/>
            <w:iCs/>
            <w:color w:val="0072BC"/>
          </w:rPr>
          <w:t>Dimitar Mitev przeciwko Bułgarii</w:t>
        </w:r>
      </w:hyperlink>
      <w:r>
        <w:rPr>
          <w:rStyle w:val="TekstpodstawowyZnak"/>
        </w:rPr>
        <w:t>, nr. 34779/09, 8 marca 2018 r. (naruszenie art. 6 §§ 1 i 3 (c));</w:t>
      </w:r>
    </w:p>
    <w:p w14:paraId="546E9144" w14:textId="7D47908B" w:rsidR="00B65736" w:rsidRDefault="00381181">
      <w:pPr>
        <w:pStyle w:val="Tekstpodstawowy"/>
        <w:numPr>
          <w:ilvl w:val="0"/>
          <w:numId w:val="4"/>
        </w:numPr>
        <w:tabs>
          <w:tab w:val="left" w:pos="827"/>
        </w:tabs>
        <w:ind w:firstLine="560"/>
        <w:jc w:val="both"/>
      </w:pPr>
      <w:hyperlink r:id="rId88" w:history="1">
        <w:r>
          <w:rPr>
            <w:rStyle w:val="TekstpodstawowyZnak"/>
            <w:i/>
            <w:iCs/>
            <w:color w:val="0072BC"/>
          </w:rPr>
          <w:t>Beuze przeciwko Belgii</w:t>
        </w:r>
        <w:r>
          <w:rPr>
            <w:rStyle w:val="TekstpodstawowyZnak"/>
            <w:color w:val="0072BC"/>
          </w:rPr>
          <w:t xml:space="preserve"> </w:t>
        </w:r>
      </w:hyperlink>
      <w:r>
        <w:rPr>
          <w:rStyle w:val="TekstpodstawowyZnak"/>
        </w:rPr>
        <w:t>[</w:t>
      </w:r>
      <w:r w:rsidR="00815015">
        <w:rPr>
          <w:rStyle w:val="TekstpodstawowyZnak"/>
        </w:rPr>
        <w:t>WI</w:t>
      </w:r>
      <w:r>
        <w:rPr>
          <w:rStyle w:val="TekstpodstawowyZnak"/>
        </w:rPr>
        <w:t>], nr 71409/10, 9 listopada 2018 r. (naruszenie art. 6 §§ 1 i 3 (c));</w:t>
      </w:r>
    </w:p>
    <w:p w14:paraId="30C7C1CF" w14:textId="77777777" w:rsidR="00B65736" w:rsidRDefault="00381181">
      <w:pPr>
        <w:pStyle w:val="Tekstpodstawowy"/>
        <w:numPr>
          <w:ilvl w:val="0"/>
          <w:numId w:val="4"/>
        </w:numPr>
        <w:tabs>
          <w:tab w:val="left" w:pos="827"/>
        </w:tabs>
        <w:ind w:firstLine="560"/>
        <w:jc w:val="both"/>
      </w:pPr>
      <w:hyperlink r:id="rId89" w:history="1">
        <w:r>
          <w:rPr>
            <w:rStyle w:val="TekstpodstawowyZnak"/>
            <w:i/>
            <w:iCs/>
            <w:color w:val="0072BC"/>
          </w:rPr>
          <w:t>Soytemiz przeciwko Turcji</w:t>
        </w:r>
      </w:hyperlink>
      <w:r>
        <w:rPr>
          <w:rStyle w:val="TekstpodstawowyZnak"/>
        </w:rPr>
        <w:t>, nr. 57837/09, 27 listopada 2018 r. (naruszenie art. 6 §§ 1 i 3 (c));</w:t>
      </w:r>
    </w:p>
    <w:p w14:paraId="7A62EF72" w14:textId="77777777" w:rsidR="00B65736" w:rsidRDefault="00381181">
      <w:pPr>
        <w:pStyle w:val="Tekstpodstawowy"/>
        <w:numPr>
          <w:ilvl w:val="0"/>
          <w:numId w:val="4"/>
        </w:numPr>
        <w:tabs>
          <w:tab w:val="left" w:pos="827"/>
        </w:tabs>
        <w:ind w:firstLine="560"/>
        <w:jc w:val="both"/>
      </w:pPr>
      <w:hyperlink r:id="rId90" w:history="1">
        <w:r>
          <w:rPr>
            <w:rStyle w:val="TekstpodstawowyZnak"/>
            <w:i/>
            <w:iCs/>
            <w:color w:val="0072BC"/>
          </w:rPr>
          <w:t>Doyle przeciwko Irlandii</w:t>
        </w:r>
      </w:hyperlink>
      <w:r>
        <w:rPr>
          <w:rStyle w:val="TekstpodstawowyZnak"/>
        </w:rPr>
        <w:t>, nr 51979/17, 23 maja 2019 r. (brak naruszenia art. 6 ust. 1 i 3 lit. c));</w:t>
      </w:r>
    </w:p>
    <w:p w14:paraId="4088F308" w14:textId="77777777" w:rsidR="00B65736" w:rsidRDefault="00381181">
      <w:pPr>
        <w:pStyle w:val="Tekstpodstawowy"/>
        <w:numPr>
          <w:ilvl w:val="0"/>
          <w:numId w:val="4"/>
        </w:numPr>
        <w:tabs>
          <w:tab w:val="left" w:pos="827"/>
        </w:tabs>
        <w:spacing w:after="0"/>
        <w:ind w:firstLine="560"/>
        <w:jc w:val="both"/>
      </w:pPr>
      <w:hyperlink r:id="rId91" w:history="1">
        <w:r>
          <w:rPr>
            <w:rStyle w:val="TekstpodstawowyZnak"/>
            <w:i/>
            <w:iCs/>
            <w:color w:val="0072BC"/>
          </w:rPr>
          <w:t>Ayetullah Ay przeciwko Turcji</w:t>
        </w:r>
      </w:hyperlink>
      <w:r>
        <w:rPr>
          <w:rStyle w:val="TekstpodstawowyZnak"/>
        </w:rPr>
        <w:t>, nr 29084/07 i 1191/08, 27 października 2020 r.</w:t>
      </w:r>
    </w:p>
    <w:p w14:paraId="60E0553E" w14:textId="7D0A6CA3" w:rsidR="00B65736" w:rsidRDefault="00381181">
      <w:pPr>
        <w:pStyle w:val="Tekstpodstawowy"/>
        <w:ind w:firstLine="840"/>
        <w:jc w:val="both"/>
      </w:pPr>
      <w:r>
        <w:rPr>
          <w:rStyle w:val="TekstpodstawowyZnak"/>
        </w:rPr>
        <w:t>(n</w:t>
      </w:r>
      <w:r w:rsidR="00815015">
        <w:rPr>
          <w:rStyle w:val="TekstpodstawowyZnak"/>
        </w:rPr>
        <w:t>aruszenie</w:t>
      </w:r>
      <w:r>
        <w:rPr>
          <w:rStyle w:val="TekstpodstawowyZnak"/>
        </w:rPr>
        <w:t xml:space="preserve"> art. 6 </w:t>
      </w:r>
      <w:r w:rsidR="00815015">
        <w:rPr>
          <w:rStyle w:val="TekstpodstawowyZnak"/>
        </w:rPr>
        <w:t xml:space="preserve">§§ </w:t>
      </w:r>
      <w:r>
        <w:rPr>
          <w:rStyle w:val="TekstpodstawowyZnak"/>
        </w:rPr>
        <w:t>1 i 3);</w:t>
      </w:r>
    </w:p>
    <w:p w14:paraId="1933157A" w14:textId="77777777" w:rsidR="00B65736" w:rsidRDefault="00381181">
      <w:pPr>
        <w:pStyle w:val="Tekstpodstawowy"/>
        <w:numPr>
          <w:ilvl w:val="0"/>
          <w:numId w:val="4"/>
        </w:numPr>
        <w:tabs>
          <w:tab w:val="left" w:pos="827"/>
        </w:tabs>
        <w:ind w:left="840" w:hanging="280"/>
        <w:jc w:val="both"/>
      </w:pPr>
      <w:hyperlink r:id="rId92" w:history="1">
        <w:r>
          <w:rPr>
            <w:rStyle w:val="TekstpodstawowyZnak"/>
            <w:i/>
            <w:iCs/>
            <w:color w:val="0072BC"/>
          </w:rPr>
          <w:t>Brus przeciwko Belgii</w:t>
        </w:r>
      </w:hyperlink>
      <w:r>
        <w:rPr>
          <w:rStyle w:val="TekstpodstawowyZnak"/>
        </w:rPr>
        <w:t>, nr 18779/15, 14 września 2021 r. (naruszenie art. 6 §§ 1 i 3 (c) w odniesieniu do rzetelności postępowania);</w:t>
      </w:r>
    </w:p>
    <w:p w14:paraId="57CB96A7" w14:textId="77777777" w:rsidR="00B65736" w:rsidRDefault="00381181">
      <w:pPr>
        <w:pStyle w:val="Tekstpodstawowy"/>
        <w:numPr>
          <w:ilvl w:val="0"/>
          <w:numId w:val="4"/>
        </w:numPr>
        <w:tabs>
          <w:tab w:val="left" w:pos="827"/>
        </w:tabs>
        <w:ind w:left="840" w:hanging="280"/>
        <w:jc w:val="both"/>
      </w:pPr>
      <w:hyperlink r:id="rId93" w:history="1">
        <w:r>
          <w:rPr>
            <w:rStyle w:val="TekstpodstawowyZnak"/>
            <w:i/>
            <w:iCs/>
            <w:color w:val="0072BC"/>
          </w:rPr>
          <w:t>Bjarki H. Diego przeciwko Islandii</w:t>
        </w:r>
      </w:hyperlink>
      <w:r>
        <w:rPr>
          <w:rStyle w:val="TekstpodstawowyZnak"/>
        </w:rPr>
        <w:t>, nr. 30965/17, 15 marca 2022 r. (naruszenie art. 6 §§ 1 i 3 (a) i (c));</w:t>
      </w:r>
    </w:p>
    <w:p w14:paraId="385F5A63" w14:textId="77777777" w:rsidR="00B65736" w:rsidRDefault="00381181">
      <w:pPr>
        <w:pStyle w:val="Tekstpodstawowy"/>
        <w:numPr>
          <w:ilvl w:val="0"/>
          <w:numId w:val="4"/>
        </w:numPr>
        <w:tabs>
          <w:tab w:val="left" w:pos="827"/>
        </w:tabs>
        <w:ind w:firstLine="560"/>
        <w:jc w:val="both"/>
      </w:pPr>
      <w:hyperlink r:id="rId94" w:history="1">
        <w:r>
          <w:rPr>
            <w:rStyle w:val="TekstpodstawowyZnak"/>
            <w:i/>
            <w:iCs/>
            <w:color w:val="0072BC"/>
          </w:rPr>
          <w:t>Dubois przeciwko Francji</w:t>
        </w:r>
      </w:hyperlink>
      <w:r>
        <w:rPr>
          <w:rStyle w:val="TekstpodstawowyZnak"/>
        </w:rPr>
        <w:t>, nr. 52833/19, 28 kwietnia 2022 r. (brak naruszenia art. 6 §§ 1 i 3 (c));</w:t>
      </w:r>
    </w:p>
    <w:p w14:paraId="3D1B5A03" w14:textId="5A5DCE62" w:rsidR="00B65736" w:rsidRDefault="00381181">
      <w:pPr>
        <w:pStyle w:val="Tekstpodstawowy"/>
        <w:numPr>
          <w:ilvl w:val="0"/>
          <w:numId w:val="4"/>
        </w:numPr>
        <w:tabs>
          <w:tab w:val="left" w:pos="827"/>
        </w:tabs>
        <w:ind w:left="840" w:hanging="280"/>
        <w:jc w:val="both"/>
      </w:pPr>
      <w:hyperlink r:id="rId95" w:history="1">
        <w:r>
          <w:rPr>
            <w:rStyle w:val="TekstpodstawowyZnak"/>
            <w:i/>
            <w:iCs/>
            <w:color w:val="0072BC"/>
          </w:rPr>
          <w:t xml:space="preserve">Kohen i </w:t>
        </w:r>
        <w:r w:rsidR="0016420C">
          <w:rPr>
            <w:rStyle w:val="TekstpodstawowyZnak"/>
            <w:i/>
            <w:iCs/>
            <w:color w:val="0072BC"/>
          </w:rPr>
          <w:t>I</w:t>
        </w:r>
        <w:r>
          <w:rPr>
            <w:rStyle w:val="TekstpodstawowyZnak"/>
            <w:i/>
            <w:iCs/>
            <w:color w:val="0072BC"/>
          </w:rPr>
          <w:t>nni przeciwko Turcji</w:t>
        </w:r>
      </w:hyperlink>
      <w:r>
        <w:rPr>
          <w:rStyle w:val="TekstpodstawowyZnak"/>
        </w:rPr>
        <w:t>, nr 66616/10, 7 czerwca 2022 r. (brak naruszenia art. 6 §§ 1 i 3 (c) ze względu na skargi dotyczące (i) ograniczeń nałożonych na prawo pierwszych trzech skarżących do dostępu do adwokata i wykorzystania oświadczeń, które złożyli bez obecności adwokata, (ii) wykorzystania oświadczeń złożonych przez niektórych innych współoskarżonych pod nieobecność adwokata w odniesieniu do wszystkich skarżących; oraz (iii) wykorzystania oświadczeń złożonych przez jednego ze skarżących w odniesieniu do pozostałych trzech skarżących);</w:t>
      </w:r>
    </w:p>
    <w:p w14:paraId="5D58FAF5" w14:textId="77777777" w:rsidR="00B65736" w:rsidRDefault="00381181">
      <w:pPr>
        <w:pStyle w:val="Tekstpodstawowy"/>
        <w:numPr>
          <w:ilvl w:val="0"/>
          <w:numId w:val="4"/>
        </w:numPr>
        <w:tabs>
          <w:tab w:val="left" w:pos="827"/>
        </w:tabs>
        <w:ind w:firstLine="560"/>
        <w:jc w:val="both"/>
      </w:pPr>
      <w:hyperlink r:id="rId96" w:history="1">
        <w:r>
          <w:rPr>
            <w:rStyle w:val="TekstpodstawowyZnak"/>
            <w:i/>
            <w:iCs/>
            <w:color w:val="0072BC"/>
          </w:rPr>
          <w:t>Lalik przeciwko Polsce</w:t>
        </w:r>
      </w:hyperlink>
      <w:r>
        <w:rPr>
          <w:rStyle w:val="TekstpodstawowyZnak"/>
        </w:rPr>
        <w:t>, nr. 47834/19, 11 maja 2023 r. (naruszenie art. 6 § 3 (c)).</w:t>
      </w:r>
    </w:p>
    <w:sectPr w:rsidR="00B65736">
      <w:headerReference w:type="default" r:id="rId97"/>
      <w:footerReference w:type="default" r:id="rId98"/>
      <w:headerReference w:type="first" r:id="rId99"/>
      <w:footerReference w:type="first" r:id="rId100"/>
      <w:pgSz w:w="11900" w:h="16840"/>
      <w:pgMar w:top="1055" w:right="948" w:bottom="1121" w:left="1136"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FF0A" w14:textId="77777777" w:rsidR="00561CA6" w:rsidRDefault="00561CA6">
      <w:r>
        <w:separator/>
      </w:r>
    </w:p>
  </w:endnote>
  <w:endnote w:type="continuationSeparator" w:id="0">
    <w:p w14:paraId="7DE0DC23" w14:textId="77777777" w:rsidR="00561CA6" w:rsidRDefault="0056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FA20" w14:textId="77777777" w:rsidR="00B65736" w:rsidRDefault="00381181">
    <w:pPr>
      <w:spacing w:line="1" w:lineRule="exact"/>
    </w:pPr>
    <w:r>
      <w:rPr>
        <w:noProof/>
      </w:rPr>
      <mc:AlternateContent>
        <mc:Choice Requires="wps">
          <w:drawing>
            <wp:anchor distT="0" distB="0" distL="0" distR="0" simplePos="0" relativeHeight="251659264" behindDoc="1" locked="0" layoutInCell="1" allowOverlap="1" wp14:anchorId="00F6FE41" wp14:editId="1E84A45C">
              <wp:simplePos x="0" y="0"/>
              <wp:positionH relativeFrom="page">
                <wp:posOffset>3757295</wp:posOffset>
              </wp:positionH>
              <wp:positionV relativeFrom="page">
                <wp:posOffset>10261600</wp:posOffset>
              </wp:positionV>
              <wp:extent cx="167640" cy="113030"/>
              <wp:effectExtent l="0" t="0" r="0" b="0"/>
              <wp:wrapNone/>
              <wp:docPr id="8" name="Shape 8"/>
              <wp:cNvGraphicFramePr/>
              <a:graphic xmlns:a="http://schemas.openxmlformats.org/drawingml/2006/main">
                <a:graphicData uri="http://schemas.microsoft.com/office/word/2010/wordprocessingShape">
                  <wps:wsp>
                    <wps:cNvSpPr txBox="1"/>
                    <wps:spPr>
                      <a:xfrm>
                        <a:off x="0" y="0"/>
                        <a:ext cx="167640" cy="113030"/>
                      </a:xfrm>
                      <a:prstGeom prst="rect">
                        <a:avLst/>
                      </a:prstGeom>
                      <a:noFill/>
                    </wps:spPr>
                    <wps:txbx>
                      <w:txbxContent>
                        <w:p w14:paraId="306841BF" w14:textId="23243441" w:rsidR="00B65736" w:rsidRDefault="00381181">
                          <w:pPr>
                            <w:pStyle w:val="Headerorfooter20"/>
                            <w:rPr>
                              <w:rStyle w:val="Headerorfooter2"/>
                              <w:rFonts w:ascii="Calibri" w:eastAsia="Calibri" w:hAnsi="Calibri" w:cs="Calibri"/>
                            </w:rPr>
                          </w:pPr>
                          <w:r>
                            <w:fldChar w:fldCharType="begin"/>
                          </w:r>
                          <w:r>
                            <w:instrText xml:space="preserve"> PAGE \* MERGEFORMAT </w:instrText>
                          </w:r>
                          <w:r>
                            <w:fldChar w:fldCharType="separate"/>
                          </w:r>
                          <w:r>
                            <w:rPr>
                              <w:rStyle w:val="Headerorfooter2"/>
                              <w:rFonts w:ascii="Calibri" w:eastAsia="Calibri" w:hAnsi="Calibri" w:cs="Calibri"/>
                            </w:rPr>
                            <w:t>#</w:t>
                          </w:r>
                          <w:r>
                            <w:rPr>
                              <w:rStyle w:val="Headerorfooter2"/>
                              <w:rFonts w:ascii="Calibri" w:eastAsia="Calibri" w:hAnsi="Calibri" w:cs="Calibri"/>
                            </w:rPr>
                            <w:fldChar w:fldCharType="end"/>
                          </w:r>
                          <w:r>
                            <w:rPr>
                              <w:rStyle w:val="Headerorfooter2"/>
                              <w:rFonts w:ascii="Calibri" w:eastAsia="Calibri" w:hAnsi="Calibri" w:cs="Calibri"/>
                            </w:rPr>
                            <w:t>/</w:t>
                          </w:r>
                          <w:r w:rsidR="0016420C">
                            <w:rPr>
                              <w:rStyle w:val="Headerorfooter2"/>
                              <w:rFonts w:ascii="Calibri" w:eastAsia="Calibri" w:hAnsi="Calibri" w:cs="Calibri"/>
                            </w:rPr>
                            <w:t>5</w:t>
                          </w:r>
                        </w:p>
                        <w:p w14:paraId="68F8950C" w14:textId="77777777" w:rsidR="0016420C" w:rsidRDefault="0016420C">
                          <w:pPr>
                            <w:pStyle w:val="Headerorfooter20"/>
                          </w:pPr>
                        </w:p>
                      </w:txbxContent>
                    </wps:txbx>
                    <wps:bodyPr wrap="none" lIns="0" tIns="0" rIns="0" bIns="0">
                      <a:spAutoFit/>
                    </wps:bodyPr>
                  </wps:wsp>
                </a:graphicData>
              </a:graphic>
            </wp:anchor>
          </w:drawing>
        </mc:Choice>
        <mc:Fallback>
          <w:pict>
            <v:shapetype w14:anchorId="00F6FE41" id="_x0000_t202" coordsize="21600,21600" o:spt="202" path="m,l,21600r21600,l21600,xe">
              <v:stroke joinstyle="miter"/>
              <v:path gradientshapeok="t" o:connecttype="rect"/>
            </v:shapetype>
            <v:shape id="Shape 8" o:spid="_x0000_s1027" type="#_x0000_t202" style="position:absolute;margin-left:295.85pt;margin-top:808pt;width:13.2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" filled="f" stroked="f">
              <v:textbox style="mso-fit-shape-to-text:t" inset="0,0,0,0">
                <w:txbxContent>
                  <w:p w14:paraId="306841BF" w14:textId="23243441" w:rsidR="00B65736" w:rsidRDefault="00381181">
                    <w:pPr>
                      <w:pStyle w:val="Headerorfooter20"/>
                      <w:rPr>
                        <w:rStyle w:val="Headerorfooter2"/>
                        <w:rFonts w:ascii="Calibri" w:eastAsia="Calibri" w:hAnsi="Calibri" w:cs="Calibri"/>
                      </w:rPr>
                    </w:pPr>
                    <w:r>
                      <w:fldChar w:fldCharType="begin"/>
                    </w:r>
                    <w:r>
                      <w:instrText xml:space="preserve"> PAGE \* MERGEFORMAT </w:instrText>
                    </w:r>
                    <w:r>
                      <w:fldChar w:fldCharType="separate"/>
                    </w:r>
                    <w:r>
                      <w:rPr>
                        <w:rStyle w:val="Headerorfooter2"/>
                        <w:rFonts w:ascii="Calibri" w:eastAsia="Calibri" w:hAnsi="Calibri" w:cs="Calibri"/>
                      </w:rPr>
                      <w:t>#</w:t>
                    </w:r>
                    <w:r>
                      <w:rPr>
                        <w:rStyle w:val="Headerorfooter2"/>
                        <w:rFonts w:ascii="Calibri" w:eastAsia="Calibri" w:hAnsi="Calibri" w:cs="Calibri"/>
                      </w:rPr>
                      <w:fldChar w:fldCharType="end"/>
                    </w:r>
                    <w:r>
                      <w:rPr>
                        <w:rStyle w:val="Headerorfooter2"/>
                        <w:rFonts w:ascii="Calibri" w:eastAsia="Calibri" w:hAnsi="Calibri" w:cs="Calibri"/>
                      </w:rPr>
                      <w:t>/</w:t>
                    </w:r>
                    <w:r w:rsidR="0016420C">
                      <w:rPr>
                        <w:rStyle w:val="Headerorfooter2"/>
                        <w:rFonts w:ascii="Calibri" w:eastAsia="Calibri" w:hAnsi="Calibri" w:cs="Calibri"/>
                      </w:rPr>
                      <w:t>5</w:t>
                    </w:r>
                  </w:p>
                  <w:p w14:paraId="68F8950C" w14:textId="77777777" w:rsidR="0016420C" w:rsidRDefault="0016420C">
                    <w:pPr>
                      <w:pStyle w:val="Headerorfooter20"/>
                    </w:pP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61A21F5C" wp14:editId="2399EBC5">
              <wp:simplePos x="0" y="0"/>
              <wp:positionH relativeFrom="page">
                <wp:posOffset>516890</wp:posOffset>
              </wp:positionH>
              <wp:positionV relativeFrom="page">
                <wp:posOffset>10197465</wp:posOffset>
              </wp:positionV>
              <wp:extent cx="6632575" cy="0"/>
              <wp:effectExtent l="0" t="0" r="0" b="0"/>
              <wp:wrapNone/>
              <wp:docPr id="10" name="Shape 10"/>
              <wp:cNvGraphicFramePr/>
              <a:graphic xmlns:a="http://schemas.openxmlformats.org/drawingml/2006/main">
                <a:graphicData uri="http://schemas.microsoft.com/office/word/2010/wordprocessingShape">
                  <wps:wsp>
                    <wps:cNvCnPr/>
                    <wps:spPr>
                      <a:xfrm>
                        <a:off x="0" y="0"/>
                        <a:ext cx="6632575" cy="0"/>
                      </a:xfrm>
                      <a:prstGeom prst="straightConnector1">
                        <a:avLst/>
                      </a:prstGeom>
                      <a:ln w="12700">
                        <a:solidFill/>
                      </a:ln>
                    </wps:spPr>
                    <wps:bodyPr/>
                  </wps:wsp>
                </a:graphicData>
              </a:graphic>
            </wp:anchor>
          </w:drawing>
        </mc:Choice>
        <mc:Fallback>
          <w:pict>
            <v:shape o:spt="32" o:oned="true" path="m,l21600,21600e" style="position:absolute;margin-left:40.700000000000003pt;margin-top:802.95000000000005pt;width:522.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4DD9" w14:textId="2D05C6BF" w:rsidR="00B65736" w:rsidRDefault="00B6573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DDEC" w14:textId="77777777" w:rsidR="00561CA6" w:rsidRDefault="00561CA6"/>
  </w:footnote>
  <w:footnote w:type="continuationSeparator" w:id="0">
    <w:p w14:paraId="46A854FE" w14:textId="77777777" w:rsidR="00561CA6" w:rsidRDefault="00561CA6"/>
  </w:footnote>
  <w:footnote w:id="1">
    <w:p w14:paraId="75A2B2AB" w14:textId="77777777" w:rsidR="00911CCA" w:rsidRDefault="00911CCA" w:rsidP="00911CCA">
      <w:pPr>
        <w:pBdr>
          <w:top w:val="single" w:sz="4" w:space="1" w:color="auto"/>
        </w:pBdr>
        <w:rPr>
          <w:rStyle w:val="Footnote"/>
        </w:rPr>
      </w:pPr>
    </w:p>
    <w:p w14:paraId="51A64AC1" w14:textId="0B772A69" w:rsidR="008F3D20" w:rsidRDefault="008F3D20" w:rsidP="00911CCA">
      <w:pPr>
        <w:pBdr>
          <w:top w:val="single" w:sz="4" w:space="1" w:color="auto"/>
        </w:pBdr>
      </w:pPr>
      <w:r>
        <w:rPr>
          <w:rStyle w:val="Footnote"/>
          <w:vertAlign w:val="superscript"/>
        </w:rPr>
        <w:footnoteRef/>
      </w:r>
      <w:r>
        <w:rPr>
          <w:rStyle w:val="Footnote"/>
        </w:rPr>
        <w:t>Przygotowane przez sekretariat. Nie jest wiążący dla Trybunału.</w:t>
      </w:r>
    </w:p>
    <w:p w14:paraId="62F6B08B" w14:textId="70E96F47" w:rsidR="00B65736" w:rsidRDefault="00B65736">
      <w:pPr>
        <w:pStyle w:val="Footnote0"/>
      </w:pPr>
    </w:p>
  </w:footnote>
  <w:footnote w:id="2">
    <w:tbl>
      <w:tblPr>
        <w:tblW w:w="0" w:type="auto"/>
        <w:tblInd w:w="39" w:type="dxa"/>
        <w:tblBorders>
          <w:top w:val="single" w:sz="4" w:space="0" w:color="auto"/>
        </w:tblBorders>
        <w:tblCellMar>
          <w:left w:w="70" w:type="dxa"/>
          <w:right w:w="70" w:type="dxa"/>
        </w:tblCellMar>
        <w:tblLook w:val="0000" w:firstRow="0" w:lastRow="0" w:firstColumn="0" w:lastColumn="0" w:noHBand="0" w:noVBand="0"/>
      </w:tblPr>
      <w:tblGrid>
        <w:gridCol w:w="2961"/>
      </w:tblGrid>
      <w:tr w:rsidR="00911CCA" w14:paraId="4F68AA5C" w14:textId="77777777" w:rsidTr="00911CCA">
        <w:trPr>
          <w:trHeight w:val="100"/>
        </w:trPr>
        <w:tc>
          <w:tcPr>
            <w:tcW w:w="2961" w:type="dxa"/>
          </w:tcPr>
          <w:p w14:paraId="0761D658" w14:textId="77777777" w:rsidR="00911CCA" w:rsidRDefault="00911CCA">
            <w:pPr>
              <w:pStyle w:val="Footnote0"/>
              <w:rPr>
                <w:rStyle w:val="Footnote"/>
              </w:rPr>
            </w:pPr>
          </w:p>
        </w:tc>
      </w:tr>
    </w:tbl>
    <w:p w14:paraId="2CDFA561" w14:textId="39469406" w:rsidR="00B65736" w:rsidRDefault="00381181">
      <w:pPr>
        <w:pStyle w:val="Footnote0"/>
      </w:pPr>
      <w:r>
        <w:rPr>
          <w:rStyle w:val="Footnote"/>
          <w:vertAlign w:val="superscript"/>
        </w:rPr>
        <w:footnoteRef/>
      </w:r>
      <w:r>
        <w:rPr>
          <w:rStyle w:val="Footnote"/>
        </w:rPr>
        <w:t xml:space="preserve">Zob. odpowiedni temat kluczowy </w:t>
      </w:r>
      <w:r w:rsidR="001D7780">
        <w:rPr>
          <w:rStyle w:val="Footnote"/>
        </w:rPr>
        <w:t>„</w:t>
      </w:r>
      <w:r>
        <w:rPr>
          <w:rStyle w:val="Footnote"/>
        </w:rPr>
        <w:t>Rezygnacja z gwarancji rzetelnego procesu sądowego".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F0A0" w14:textId="77777777" w:rsidR="00A76B52" w:rsidRDefault="00A76B52" w:rsidP="00A76B52">
    <w:pPr>
      <w:pStyle w:val="Bodytext20"/>
      <w:spacing w:after="180"/>
      <w:ind w:left="-820"/>
      <w:rPr>
        <w:rStyle w:val="Bodytext2"/>
        <w:u w:val="none"/>
      </w:rPr>
    </w:pPr>
  </w:p>
  <w:p w14:paraId="4401B268" w14:textId="77777777" w:rsidR="00A76B52" w:rsidRDefault="00A76B52" w:rsidP="00A76B52">
    <w:pPr>
      <w:pStyle w:val="Bodytext20"/>
      <w:spacing w:after="180"/>
      <w:ind w:left="-820"/>
      <w:rPr>
        <w:rStyle w:val="Bodytext2"/>
        <w:u w:val="none"/>
      </w:rPr>
    </w:pPr>
  </w:p>
  <w:p w14:paraId="039FDE2D" w14:textId="34BF32CF" w:rsidR="00A76B52" w:rsidRPr="00A76B52" w:rsidRDefault="00A76B52" w:rsidP="003355CC">
    <w:pPr>
      <w:pStyle w:val="Bodytext20"/>
      <w:spacing w:after="180"/>
      <w:ind w:left="-820"/>
      <w:rPr>
        <w:u w:val="none"/>
      </w:rPr>
    </w:pPr>
    <w:r>
      <w:rPr>
        <w:rStyle w:val="Bodytext2"/>
        <w:u w:val="none"/>
      </w:rPr>
      <w:t xml:space="preserve">              </w:t>
    </w:r>
    <w:r w:rsidRPr="00A76B52">
      <w:rPr>
        <w:rStyle w:val="Bodytext2"/>
        <w:u w:val="none"/>
      </w:rPr>
      <w:t>Kluczowy temat - Artykuł 6 Dostęp do adwokata</w:t>
    </w:r>
  </w:p>
  <w:p w14:paraId="66FB8362" w14:textId="77777777" w:rsidR="00B65736" w:rsidRDefault="00381181">
    <w:pPr>
      <w:spacing w:line="1" w:lineRule="exact"/>
    </w:pPr>
    <w:r>
      <w:rPr>
        <w:noProof/>
      </w:rPr>
      <mc:AlternateContent>
        <mc:Choice Requires="wps">
          <w:drawing>
            <wp:anchor distT="0" distB="0" distL="0" distR="0" simplePos="0" relativeHeight="251658240" behindDoc="1" locked="0" layoutInCell="1" allowOverlap="1" wp14:anchorId="07B54B2F" wp14:editId="51120019">
              <wp:simplePos x="0" y="0"/>
              <wp:positionH relativeFrom="page">
                <wp:posOffset>6454775</wp:posOffset>
              </wp:positionH>
              <wp:positionV relativeFrom="page">
                <wp:posOffset>493395</wp:posOffset>
              </wp:positionV>
              <wp:extent cx="658495"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658495" cy="113030"/>
                      </a:xfrm>
                      <a:prstGeom prst="rect">
                        <a:avLst/>
                      </a:prstGeom>
                      <a:noFill/>
                    </wps:spPr>
                    <wps:txbx>
                      <w:txbxContent>
                        <w:p w14:paraId="77523E1E" w14:textId="77777777" w:rsidR="00B65736" w:rsidRDefault="00381181">
                          <w:pPr>
                            <w:pStyle w:val="Headerorfooter20"/>
                            <w:rPr>
                              <w:sz w:val="26"/>
                              <w:szCs w:val="26"/>
                            </w:rPr>
                          </w:pPr>
                          <w:r>
                            <w:rPr>
                              <w:rStyle w:val="Headerorfooter2"/>
                              <w:rFonts w:ascii="Calibri" w:eastAsia="Calibri" w:hAnsi="Calibri" w:cs="Calibri"/>
                              <w:b/>
                              <w:bCs/>
                              <w:color w:val="002856"/>
                              <w:sz w:val="26"/>
                              <w:szCs w:val="26"/>
                            </w:rPr>
                            <w:t>ECHR-KS</w:t>
                          </w:r>
                        </w:p>
                      </w:txbxContent>
                    </wps:txbx>
                    <wps:bodyPr wrap="none" lIns="0" tIns="0" rIns="0" bIns="0">
                      <a:spAutoFit/>
                    </wps:bodyPr>
                  </wps:wsp>
                </a:graphicData>
              </a:graphic>
            </wp:anchor>
          </w:drawing>
        </mc:Choice>
        <mc:Fallback>
          <w:pict>
            <v:shapetype w14:anchorId="07B54B2F" id="_x0000_t202" coordsize="21600,21600" o:spt="202" path="m,l,21600r21600,l21600,xe">
              <v:stroke joinstyle="miter"/>
              <v:path gradientshapeok="t" o:connecttype="rect"/>
            </v:shapetype>
            <v:shape id="Shape 5" o:spid="_x0000_s1026" type="#_x0000_t202" style="position:absolute;margin-left:508.25pt;margin-top:38.85pt;width:51.85pt;height:8.9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" filled="f" stroked="f">
              <v:textbox style="mso-fit-shape-to-text:t" inset="0,0,0,0">
                <w:txbxContent>
                  <w:p w14:paraId="77523E1E" w14:textId="77777777" w:rsidR="00B65736" w:rsidRDefault="00381181">
                    <w:pPr>
                      <w:pStyle w:val="Headerorfooter20"/>
                      <w:rPr>
                        <w:sz w:val="26"/>
                        <w:szCs w:val="26"/>
                      </w:rPr>
                    </w:pPr>
                    <w:r>
                      <w:rPr>
                        <w:rStyle w:val="Headerorfooter2"/>
                        <w:rFonts w:ascii="Calibri" w:eastAsia="Calibri" w:hAnsi="Calibri" w:cs="Calibri"/>
                        <w:b/>
                        <w:bCs/>
                        <w:color w:val="002856"/>
                        <w:sz w:val="26"/>
                        <w:szCs w:val="26"/>
                      </w:rPr>
                      <w:t>ECHR-KS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3A9A9780" wp14:editId="57B2C9DD">
              <wp:simplePos x="0" y="0"/>
              <wp:positionH relativeFrom="page">
                <wp:posOffset>535305</wp:posOffset>
              </wp:positionH>
              <wp:positionV relativeFrom="page">
                <wp:posOffset>811530</wp:posOffset>
              </wp:positionV>
              <wp:extent cx="6626225" cy="0"/>
              <wp:effectExtent l="0" t="0" r="0" b="0"/>
              <wp:wrapNone/>
              <wp:docPr id="7" name="Shape 7"/>
              <wp:cNvGraphicFramePr/>
              <a:graphic xmlns:a="http://schemas.openxmlformats.org/drawingml/2006/main">
                <a:graphicData uri="http://schemas.microsoft.com/office/word/2010/wordprocessingShape">
                  <wps:wsp>
                    <wps:cNvCnPr/>
                    <wps:spPr>
                      <a:xfrm>
                        <a:off x="0" y="0"/>
                        <a:ext cx="6626225" cy="0"/>
                      </a:xfrm>
                      <a:prstGeom prst="straightConnector1">
                        <a:avLst/>
                      </a:prstGeom>
                      <a:ln w="12700">
                        <a:solidFill/>
                      </a:ln>
                    </wps:spPr>
                    <wps:bodyPr/>
                  </wps:wsp>
                </a:graphicData>
              </a:graphic>
            </wp:anchor>
          </w:drawing>
        </mc:Choice>
        <mc:Fallback>
          <w:pict>
            <v:shape o:spt="32" o:oned="true" path="m,l21600,21600e" style="position:absolute;margin-left:42.149999999999999pt;margin-top:63.899999999999999pt;width:521.75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2026" w14:textId="77777777" w:rsidR="00B65736" w:rsidRDefault="00B6573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11D8"/>
    <w:multiLevelType w:val="multilevel"/>
    <w:tmpl w:val="8F5E7DB0"/>
    <w:lvl w:ilvl="0">
      <w:start w:val="1"/>
      <w:numFmt w:val="bullet"/>
      <w:lvlText w:val="■"/>
      <w:lvlJc w:val="left"/>
      <w:rPr>
        <w:rFonts w:ascii="Arial" w:eastAsia="Arial" w:hAnsi="Arial" w:cs="Arial"/>
        <w:b w:val="0"/>
        <w:bCs w:val="0"/>
        <w:i w:val="0"/>
        <w:iCs w:val="0"/>
        <w:smallCaps w:val="0"/>
        <w:strike w:val="0"/>
        <w:color w:val="0072BC"/>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63250E"/>
    <w:multiLevelType w:val="multilevel"/>
    <w:tmpl w:val="65D6199E"/>
    <w:lvl w:ilvl="0">
      <w:start w:val="1"/>
      <w:numFmt w:val="bullet"/>
      <w:lvlText w:val="■"/>
      <w:lvlJc w:val="left"/>
      <w:rPr>
        <w:rFonts w:ascii="Arial" w:eastAsia="Arial" w:hAnsi="Arial" w:cs="Arial"/>
        <w:b w:val="0"/>
        <w:bCs w:val="0"/>
        <w:i w:val="0"/>
        <w:iCs w:val="0"/>
        <w:smallCaps w:val="0"/>
        <w:strike w:val="0"/>
        <w:color w:val="0072BC"/>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930A7B"/>
    <w:multiLevelType w:val="multilevel"/>
    <w:tmpl w:val="7A546E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065982"/>
    <w:multiLevelType w:val="multilevel"/>
    <w:tmpl w:val="4A7C0700"/>
    <w:lvl w:ilvl="0">
      <w:start w:val="1"/>
      <w:numFmt w:val="bullet"/>
      <w:lvlText w:val="■"/>
      <w:lvlJc w:val="left"/>
      <w:rPr>
        <w:rFonts w:ascii="Arial" w:eastAsia="Arial" w:hAnsi="Arial" w:cs="Arial"/>
        <w:b w:val="0"/>
        <w:bCs w:val="0"/>
        <w:i w:val="0"/>
        <w:iCs w:val="0"/>
        <w:smallCaps w:val="0"/>
        <w:strike w:val="0"/>
        <w:color w:val="7F7F7F"/>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3861541">
    <w:abstractNumId w:val="1"/>
  </w:num>
  <w:num w:numId="2" w16cid:durableId="1962689464">
    <w:abstractNumId w:val="2"/>
  </w:num>
  <w:num w:numId="3" w16cid:durableId="1984121679">
    <w:abstractNumId w:val="3"/>
  </w:num>
  <w:num w:numId="4" w16cid:durableId="98161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36"/>
    <w:rsid w:val="000C7882"/>
    <w:rsid w:val="0016420C"/>
    <w:rsid w:val="001D7780"/>
    <w:rsid w:val="001E0E0F"/>
    <w:rsid w:val="001E33A7"/>
    <w:rsid w:val="00214F51"/>
    <w:rsid w:val="002E629E"/>
    <w:rsid w:val="003355CC"/>
    <w:rsid w:val="00381181"/>
    <w:rsid w:val="00444486"/>
    <w:rsid w:val="004777F2"/>
    <w:rsid w:val="0048659E"/>
    <w:rsid w:val="00507397"/>
    <w:rsid w:val="00561CA6"/>
    <w:rsid w:val="005F3621"/>
    <w:rsid w:val="00665069"/>
    <w:rsid w:val="006708BB"/>
    <w:rsid w:val="006752EE"/>
    <w:rsid w:val="007E5745"/>
    <w:rsid w:val="00815015"/>
    <w:rsid w:val="008C7BAA"/>
    <w:rsid w:val="008F3D20"/>
    <w:rsid w:val="00911CCA"/>
    <w:rsid w:val="00911F3B"/>
    <w:rsid w:val="00961981"/>
    <w:rsid w:val="009C2A56"/>
    <w:rsid w:val="009C2C8B"/>
    <w:rsid w:val="009D3CD1"/>
    <w:rsid w:val="00A44D36"/>
    <w:rsid w:val="00A76B52"/>
    <w:rsid w:val="00A77F1F"/>
    <w:rsid w:val="00A86932"/>
    <w:rsid w:val="00A9170F"/>
    <w:rsid w:val="00B65736"/>
    <w:rsid w:val="00C4081A"/>
    <w:rsid w:val="00C42B70"/>
    <w:rsid w:val="00CF7210"/>
    <w:rsid w:val="00DB4AAE"/>
    <w:rsid w:val="00E33C8C"/>
    <w:rsid w:val="00E5689E"/>
    <w:rsid w:val="00E71EA3"/>
    <w:rsid w:val="00EB2BBB"/>
    <w:rsid w:val="00ED473E"/>
    <w:rsid w:val="00FA1C63"/>
    <w:rsid w:val="00FB5C50"/>
    <w:rsid w:val="00FC564C"/>
    <w:rsid w:val="00FD08DE"/>
    <w:rsid w:val="00FD2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F83E"/>
  <w15:docId w15:val="{C574DFB4-34E2-4562-9630-E431C053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Pr>
      <w:rFonts w:ascii="Calibri" w:eastAsia="Calibri" w:hAnsi="Calibri" w:cs="Calibri"/>
      <w:b w:val="0"/>
      <w:bCs w:val="0"/>
      <w:i w:val="0"/>
      <w:iCs w:val="0"/>
      <w:smallCaps w:val="0"/>
      <w:strike w:val="0"/>
      <w:sz w:val="19"/>
      <w:szCs w:val="19"/>
      <w:u w:val="none"/>
    </w:rPr>
  </w:style>
  <w:style w:type="character" w:customStyle="1" w:styleId="Heading3">
    <w:name w:val="Heading #3_"/>
    <w:basedOn w:val="Domylnaczcionkaakapitu"/>
    <w:link w:val="Heading30"/>
    <w:rPr>
      <w:rFonts w:ascii="Calibri" w:eastAsia="Calibri" w:hAnsi="Calibri" w:cs="Calibri"/>
      <w:b/>
      <w:bCs/>
      <w:i w:val="0"/>
      <w:iCs w:val="0"/>
      <w:smallCaps w:val="0"/>
      <w:strike w:val="0"/>
      <w:color w:val="2F2F2F"/>
      <w:sz w:val="26"/>
      <w:szCs w:val="26"/>
      <w:u w:val="none"/>
    </w:rPr>
  </w:style>
  <w:style w:type="character" w:customStyle="1" w:styleId="Bodytext3">
    <w:name w:val="Body text (3)_"/>
    <w:basedOn w:val="Domylnaczcionkaakapitu"/>
    <w:link w:val="Bodytext30"/>
    <w:rPr>
      <w:rFonts w:ascii="Calibri" w:eastAsia="Calibri" w:hAnsi="Calibri" w:cs="Calibri"/>
      <w:b w:val="0"/>
      <w:bCs w:val="0"/>
      <w:i/>
      <w:iCs/>
      <w:smallCaps w:val="0"/>
      <w:strike w:val="0"/>
      <w:sz w:val="19"/>
      <w:szCs w:val="19"/>
      <w:u w:val="none"/>
    </w:rPr>
  </w:style>
  <w:style w:type="character" w:customStyle="1" w:styleId="Heading1">
    <w:name w:val="Heading #1_"/>
    <w:basedOn w:val="Domylnaczcionkaakapitu"/>
    <w:link w:val="Heading10"/>
    <w:rPr>
      <w:rFonts w:ascii="Calibri" w:eastAsia="Calibri" w:hAnsi="Calibri" w:cs="Calibri"/>
      <w:b/>
      <w:bCs/>
      <w:i w:val="0"/>
      <w:iCs w:val="0"/>
      <w:smallCaps w:val="0"/>
      <w:strike w:val="0"/>
      <w:color w:val="2F2F2F"/>
      <w:sz w:val="30"/>
      <w:szCs w:val="30"/>
      <w:u w:val="none"/>
    </w:rPr>
  </w:style>
  <w:style w:type="character" w:customStyle="1" w:styleId="TekstpodstawowyZnak">
    <w:name w:val="Tekst podstawowy Znak"/>
    <w:basedOn w:val="Domylnaczcionkaakapitu"/>
    <w:link w:val="Tekstpodstawowy"/>
    <w:rPr>
      <w:rFonts w:ascii="Calibri" w:eastAsia="Calibri" w:hAnsi="Calibri" w:cs="Calibri"/>
      <w:b w:val="0"/>
      <w:bCs w:val="0"/>
      <w:i w:val="0"/>
      <w:iCs w:val="0"/>
      <w:smallCaps w:val="0"/>
      <w:strike w:val="0"/>
      <w:sz w:val="20"/>
      <w:szCs w:val="20"/>
      <w:u w:val="none"/>
    </w:rPr>
  </w:style>
  <w:style w:type="character" w:customStyle="1" w:styleId="Bodytext2">
    <w:name w:val="Body text (2)_"/>
    <w:basedOn w:val="Domylnaczcionkaakapitu"/>
    <w:link w:val="Bodytext20"/>
    <w:rPr>
      <w:rFonts w:ascii="Calibri" w:eastAsia="Calibri" w:hAnsi="Calibri" w:cs="Calibri"/>
      <w:b w:val="0"/>
      <w:bCs w:val="0"/>
      <w:i w:val="0"/>
      <w:iCs w:val="0"/>
      <w:smallCaps w:val="0"/>
      <w:strike w:val="0"/>
      <w:sz w:val="17"/>
      <w:szCs w:val="17"/>
      <w:u w:val="singl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omylnaczcionkaakapitu"/>
    <w:link w:val="Heading20"/>
    <w:rPr>
      <w:rFonts w:ascii="Arial" w:eastAsia="Arial" w:hAnsi="Arial" w:cs="Arial"/>
      <w:b/>
      <w:bCs/>
      <w:i/>
      <w:iCs/>
      <w:smallCaps w:val="0"/>
      <w:strike w:val="0"/>
      <w:color w:val="2F2F2F"/>
      <w:sz w:val="26"/>
      <w:szCs w:val="26"/>
      <w:u w:val="none"/>
    </w:rPr>
  </w:style>
  <w:style w:type="paragraph" w:customStyle="1" w:styleId="Footnote0">
    <w:name w:val="Footnote"/>
    <w:basedOn w:val="Normalny"/>
    <w:link w:val="Footnote"/>
    <w:rPr>
      <w:rFonts w:ascii="Calibri" w:eastAsia="Calibri" w:hAnsi="Calibri" w:cs="Calibri"/>
      <w:sz w:val="19"/>
      <w:szCs w:val="19"/>
    </w:rPr>
  </w:style>
  <w:style w:type="paragraph" w:customStyle="1" w:styleId="Heading30">
    <w:name w:val="Heading #3"/>
    <w:basedOn w:val="Normalny"/>
    <w:link w:val="Heading3"/>
    <w:pPr>
      <w:spacing w:after="100"/>
      <w:outlineLvl w:val="2"/>
    </w:pPr>
    <w:rPr>
      <w:rFonts w:ascii="Calibri" w:eastAsia="Calibri" w:hAnsi="Calibri" w:cs="Calibri"/>
      <w:b/>
      <w:bCs/>
      <w:color w:val="2F2F2F"/>
      <w:sz w:val="26"/>
      <w:szCs w:val="26"/>
    </w:rPr>
  </w:style>
  <w:style w:type="paragraph" w:customStyle="1" w:styleId="Bodytext30">
    <w:name w:val="Body text (3)"/>
    <w:basedOn w:val="Normalny"/>
    <w:link w:val="Bodytext3"/>
    <w:pPr>
      <w:spacing w:after="300"/>
      <w:jc w:val="right"/>
    </w:pPr>
    <w:rPr>
      <w:rFonts w:ascii="Calibri" w:eastAsia="Calibri" w:hAnsi="Calibri" w:cs="Calibri"/>
      <w:i/>
      <w:iCs/>
      <w:sz w:val="19"/>
      <w:szCs w:val="19"/>
    </w:rPr>
  </w:style>
  <w:style w:type="paragraph" w:customStyle="1" w:styleId="Heading10">
    <w:name w:val="Heading #1"/>
    <w:basedOn w:val="Normalny"/>
    <w:link w:val="Heading1"/>
    <w:pPr>
      <w:spacing w:after="220"/>
      <w:jc w:val="center"/>
      <w:outlineLvl w:val="0"/>
    </w:pPr>
    <w:rPr>
      <w:rFonts w:ascii="Calibri" w:eastAsia="Calibri" w:hAnsi="Calibri" w:cs="Calibri"/>
      <w:b/>
      <w:bCs/>
      <w:color w:val="2F2F2F"/>
      <w:sz w:val="30"/>
      <w:szCs w:val="30"/>
    </w:rPr>
  </w:style>
  <w:style w:type="paragraph" w:styleId="Tekstpodstawowy">
    <w:name w:val="Body Text"/>
    <w:basedOn w:val="Normalny"/>
    <w:link w:val="TekstpodstawowyZnak"/>
    <w:qFormat/>
    <w:pPr>
      <w:spacing w:after="40"/>
    </w:pPr>
    <w:rPr>
      <w:rFonts w:ascii="Calibri" w:eastAsia="Calibri" w:hAnsi="Calibri" w:cs="Calibri"/>
      <w:sz w:val="20"/>
      <w:szCs w:val="20"/>
    </w:rPr>
  </w:style>
  <w:style w:type="paragraph" w:customStyle="1" w:styleId="Bodytext20">
    <w:name w:val="Body text (2)"/>
    <w:basedOn w:val="Normalny"/>
    <w:link w:val="Bodytext2"/>
    <w:pPr>
      <w:spacing w:after="200" w:line="230" w:lineRule="auto"/>
      <w:ind w:left="-680"/>
    </w:pPr>
    <w:rPr>
      <w:rFonts w:ascii="Calibri" w:eastAsia="Calibri" w:hAnsi="Calibri" w:cs="Calibri"/>
      <w:sz w:val="17"/>
      <w:szCs w:val="17"/>
      <w:u w:val="single"/>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 w:type="paragraph" w:customStyle="1" w:styleId="Heading20">
    <w:name w:val="Heading #2"/>
    <w:basedOn w:val="Normalny"/>
    <w:link w:val="Heading2"/>
    <w:pPr>
      <w:spacing w:after="40"/>
      <w:outlineLvl w:val="1"/>
    </w:pPr>
    <w:rPr>
      <w:rFonts w:ascii="Arial" w:eastAsia="Arial" w:hAnsi="Arial" w:cs="Arial"/>
      <w:b/>
      <w:bCs/>
      <w:i/>
      <w:iCs/>
      <w:color w:val="2F2F2F"/>
      <w:sz w:val="26"/>
      <w:szCs w:val="26"/>
    </w:rPr>
  </w:style>
  <w:style w:type="paragraph" w:styleId="Nagwek">
    <w:name w:val="header"/>
    <w:basedOn w:val="Normalny"/>
    <w:link w:val="NagwekZnak"/>
    <w:uiPriority w:val="99"/>
    <w:unhideWhenUsed/>
    <w:rsid w:val="00E33C8C"/>
    <w:pPr>
      <w:tabs>
        <w:tab w:val="center" w:pos="4536"/>
        <w:tab w:val="right" w:pos="9072"/>
      </w:tabs>
    </w:pPr>
  </w:style>
  <w:style w:type="character" w:customStyle="1" w:styleId="NagwekZnak">
    <w:name w:val="Nagłówek Znak"/>
    <w:basedOn w:val="Domylnaczcionkaakapitu"/>
    <w:link w:val="Nagwek"/>
    <w:uiPriority w:val="99"/>
    <w:rsid w:val="00E33C8C"/>
    <w:rPr>
      <w:color w:val="000000"/>
    </w:rPr>
  </w:style>
  <w:style w:type="paragraph" w:styleId="Stopka">
    <w:name w:val="footer"/>
    <w:basedOn w:val="Normalny"/>
    <w:link w:val="StopkaZnak"/>
    <w:uiPriority w:val="99"/>
    <w:unhideWhenUsed/>
    <w:rsid w:val="00E33C8C"/>
    <w:pPr>
      <w:tabs>
        <w:tab w:val="center" w:pos="4536"/>
        <w:tab w:val="right" w:pos="9072"/>
      </w:tabs>
    </w:pPr>
  </w:style>
  <w:style w:type="character" w:customStyle="1" w:styleId="StopkaZnak">
    <w:name w:val="Stopka Znak"/>
    <w:basedOn w:val="Domylnaczcionkaakapitu"/>
    <w:link w:val="Stopka"/>
    <w:uiPriority w:val="99"/>
    <w:rsid w:val="00E33C8C"/>
    <w:rPr>
      <w:color w:val="000000"/>
    </w:rPr>
  </w:style>
  <w:style w:type="paragraph" w:styleId="Akapitzlist">
    <w:name w:val="List Paragraph"/>
    <w:basedOn w:val="Normalny"/>
    <w:uiPriority w:val="34"/>
    <w:qFormat/>
    <w:rsid w:val="00FD2F2D"/>
    <w:pPr>
      <w:ind w:left="720"/>
      <w:contextualSpacing/>
    </w:pPr>
  </w:style>
  <w:style w:type="character" w:styleId="Hipercze">
    <w:name w:val="Hyperlink"/>
    <w:basedOn w:val="Domylnaczcionkaakapitu"/>
    <w:uiPriority w:val="99"/>
    <w:unhideWhenUsed/>
    <w:rsid w:val="009C2A56"/>
    <w:rPr>
      <w:color w:val="467886" w:themeColor="hyperlink"/>
      <w:u w:val="single"/>
    </w:rPr>
  </w:style>
  <w:style w:type="character" w:styleId="Nierozpoznanawzmianka">
    <w:name w:val="Unresolved Mention"/>
    <w:basedOn w:val="Domylnaczcionkaakapitu"/>
    <w:uiPriority w:val="99"/>
    <w:semiHidden/>
    <w:unhideWhenUsed/>
    <w:rsid w:val="009C2A56"/>
    <w:rPr>
      <w:color w:val="605E5C"/>
      <w:shd w:val="clear" w:color="auto" w:fill="E1DFDD"/>
    </w:rPr>
  </w:style>
  <w:style w:type="character" w:styleId="UyteHipercze">
    <w:name w:val="FollowedHyperlink"/>
    <w:basedOn w:val="Domylnaczcionkaakapitu"/>
    <w:uiPriority w:val="99"/>
    <w:semiHidden/>
    <w:unhideWhenUsed/>
    <w:rsid w:val="009C2A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chr.coe.int/eng?i=001-187802" TargetMode="External"/><Relationship Id="rId21" Type="http://schemas.openxmlformats.org/officeDocument/2006/relationships/hyperlink" Target="http://hudoc.echr.coe.int/eng?i=001-187802" TargetMode="External"/><Relationship Id="rId42" Type="http://schemas.openxmlformats.org/officeDocument/2006/relationships/hyperlink" Target="http://hudoc.echr.coe.int/eng?i=001-172963" TargetMode="External"/><Relationship Id="rId47" Type="http://schemas.openxmlformats.org/officeDocument/2006/relationships/hyperlink" Target="http://hudoc.echr.coe.int/eng?i=001-187802" TargetMode="External"/><Relationship Id="rId63" Type="http://schemas.openxmlformats.org/officeDocument/2006/relationships/hyperlink" Target="http://hudoc.echr.coe.int/eng?i=001-166680" TargetMode="External"/><Relationship Id="rId68" Type="http://schemas.openxmlformats.org/officeDocument/2006/relationships/hyperlink" Target="https://hudoc.echr.coe.int/eng?i=001-217240" TargetMode="External"/><Relationship Id="rId84" Type="http://schemas.openxmlformats.org/officeDocument/2006/relationships/hyperlink" Target="http://hudoc.echr.coe.int/eng?i=001-172963" TargetMode="External"/><Relationship Id="rId89" Type="http://schemas.openxmlformats.org/officeDocument/2006/relationships/hyperlink" Target="http://hudoc.echr.coe.int/eng?i=001-187905" TargetMode="External"/><Relationship Id="rId16" Type="http://schemas.openxmlformats.org/officeDocument/2006/relationships/hyperlink" Target="http://hudoc.echr.coe.int/eng?i=001-89893" TargetMode="External"/><Relationship Id="rId11" Type="http://schemas.openxmlformats.org/officeDocument/2006/relationships/hyperlink" Target="http://hudoc.echr.coe.int/eng?i=001-166680" TargetMode="External"/><Relationship Id="rId32" Type="http://schemas.openxmlformats.org/officeDocument/2006/relationships/hyperlink" Target="http://hudoc.echr.coe.int/eng?i=001-166680" TargetMode="External"/><Relationship Id="rId37" Type="http://schemas.openxmlformats.org/officeDocument/2006/relationships/hyperlink" Target="http://hudoc.echr.coe.int/eng?i=001-181387" TargetMode="External"/><Relationship Id="rId53" Type="http://schemas.openxmlformats.org/officeDocument/2006/relationships/hyperlink" Target="https://hudoc.echr.coe.int/eng?i=001-216184" TargetMode="External"/><Relationship Id="rId58" Type="http://schemas.openxmlformats.org/officeDocument/2006/relationships/hyperlink" Target="http://hudoc.echr.coe.int/eng?i=001-176762" TargetMode="External"/><Relationship Id="rId74" Type="http://schemas.openxmlformats.org/officeDocument/2006/relationships/hyperlink" Target="http://hudoc.echr.coe.int/eng?i=001-158266" TargetMode="External"/><Relationship Id="rId79" Type="http://schemas.openxmlformats.org/officeDocument/2006/relationships/hyperlink" Target="http://hudoc.echr.coe.int/eng?i=001-171501"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hudoc.echr.coe.int/eng?i=001-193083" TargetMode="External"/><Relationship Id="rId95" Type="http://schemas.openxmlformats.org/officeDocument/2006/relationships/hyperlink" Target="https://hudoc.echr.coe.int/eng?i=001-217536" TargetMode="External"/><Relationship Id="rId22" Type="http://schemas.openxmlformats.org/officeDocument/2006/relationships/image" Target="media/image2.jpeg"/><Relationship Id="rId27" Type="http://schemas.openxmlformats.org/officeDocument/2006/relationships/hyperlink" Target="http://hudoc.echr.coe.int/eng?i=001-205373" TargetMode="External"/><Relationship Id="rId43" Type="http://schemas.openxmlformats.org/officeDocument/2006/relationships/hyperlink" Target="http://hudoc.echr.coe.int/eng?i=001-172963" TargetMode="External"/><Relationship Id="rId48" Type="http://schemas.openxmlformats.org/officeDocument/2006/relationships/hyperlink" Target="http://hudoc.echr.coe.int/eng?i=001-187802" TargetMode="External"/><Relationship Id="rId64" Type="http://schemas.openxmlformats.org/officeDocument/2006/relationships/hyperlink" Target="http://hudoc.echr.coe.int/eng?i=001-172963" TargetMode="External"/><Relationship Id="rId69" Type="http://schemas.openxmlformats.org/officeDocument/2006/relationships/hyperlink" Target="http://hudoc.echr.coe.int/eng?i=001-172963" TargetMode="External"/><Relationship Id="rId80" Type="http://schemas.openxmlformats.org/officeDocument/2006/relationships/hyperlink" Target="http://hudoc.echr.coe.int/eng?i=001-89893" TargetMode="External"/><Relationship Id="rId85" Type="http://schemas.openxmlformats.org/officeDocument/2006/relationships/hyperlink" Target="http://hudoc.echr.coe.int/eng?i=001-176762" TargetMode="External"/><Relationship Id="rId12" Type="http://schemas.openxmlformats.org/officeDocument/2006/relationships/hyperlink" Target="http://hudoc.echr.coe.int/eng?i=001-172963" TargetMode="External"/><Relationship Id="rId17" Type="http://schemas.openxmlformats.org/officeDocument/2006/relationships/hyperlink" Target="http://hudoc.echr.coe.int/eng?i=001-89893" TargetMode="External"/><Relationship Id="rId25" Type="http://schemas.openxmlformats.org/officeDocument/2006/relationships/hyperlink" Target="http://hudoc.echr.coe.int/eng?i=001-193083" TargetMode="External"/><Relationship Id="rId33" Type="http://schemas.openxmlformats.org/officeDocument/2006/relationships/hyperlink" Target="http://hudoc.echr.coe.int/eng?i=001-187802" TargetMode="External"/><Relationship Id="rId38" Type="http://schemas.openxmlformats.org/officeDocument/2006/relationships/hyperlink" Target="http://hudoc.echr.coe.int/eng?i=001-166680" TargetMode="External"/><Relationship Id="rId46" Type="http://schemas.openxmlformats.org/officeDocument/2006/relationships/hyperlink" Target="http://hudoc.echr.coe.int/eng?i=001-166680" TargetMode="External"/><Relationship Id="rId59" Type="http://schemas.openxmlformats.org/officeDocument/2006/relationships/hyperlink" Target="http://hudoc.echr.coe.int/eng?i=001-180302" TargetMode="External"/><Relationship Id="rId67" Type="http://schemas.openxmlformats.org/officeDocument/2006/relationships/hyperlink" Target="http://hudoc.echr.coe.int/eng?i=001-181387" TargetMode="External"/><Relationship Id="rId20" Type="http://schemas.openxmlformats.org/officeDocument/2006/relationships/hyperlink" Target="https://hudoc.echr.coe.int/eng?i=001-224575" TargetMode="External"/><Relationship Id="rId41" Type="http://schemas.openxmlformats.org/officeDocument/2006/relationships/hyperlink" Target="http://hudoc.echr.coe.int/eng?i=001-166680" TargetMode="External"/><Relationship Id="rId54" Type="http://schemas.openxmlformats.org/officeDocument/2006/relationships/hyperlink" Target="https://hudoc.echr.coe.int/eng?i=001-216184" TargetMode="External"/><Relationship Id="rId62" Type="http://schemas.openxmlformats.org/officeDocument/2006/relationships/hyperlink" Target="http://hudoc.echr.coe.int/eng?i=001-166680" TargetMode="External"/><Relationship Id="rId70" Type="http://schemas.openxmlformats.org/officeDocument/2006/relationships/hyperlink" Target="http://hudoc.echr.coe.int/eng?i=001-168385" TargetMode="External"/><Relationship Id="rId75" Type="http://schemas.openxmlformats.org/officeDocument/2006/relationships/hyperlink" Target="http://hudoc.echr.coe.int/eng?i=001-158266" TargetMode="External"/><Relationship Id="rId83" Type="http://schemas.openxmlformats.org/officeDocument/2006/relationships/hyperlink" Target="http://hudoc.echr.coe.int/eng?i=001-171473" TargetMode="External"/><Relationship Id="rId88" Type="http://schemas.openxmlformats.org/officeDocument/2006/relationships/hyperlink" Target="http://hudoc.echr.coe.int/eng?i=001-187802" TargetMode="External"/><Relationship Id="rId91" Type="http://schemas.openxmlformats.org/officeDocument/2006/relationships/hyperlink" Target="http://hudoc.echr.coe.int/eng?i=001-205373" TargetMode="External"/><Relationship Id="rId96" Type="http://schemas.openxmlformats.org/officeDocument/2006/relationships/hyperlink" Target="https://hudoc.echr.coe.int/eng?i=001-2245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eng?i=001-187802" TargetMode="External"/><Relationship Id="rId23" Type="http://schemas.openxmlformats.org/officeDocument/2006/relationships/hyperlink" Target="http://hudoc.echr.coe.int/eng?i=001-187905" TargetMode="External"/><Relationship Id="rId28" Type="http://schemas.openxmlformats.org/officeDocument/2006/relationships/hyperlink" Target="http://hudoc.echr.coe.int/eng?i=001-205373" TargetMode="External"/><Relationship Id="rId36" Type="http://schemas.openxmlformats.org/officeDocument/2006/relationships/hyperlink" Target="http://hudoc.echr.coe.int/eng?i=001-166680" TargetMode="External"/><Relationship Id="rId49" Type="http://schemas.openxmlformats.org/officeDocument/2006/relationships/hyperlink" Target="https://hudoc.echr.coe.int/eng?i=001-168385" TargetMode="External"/><Relationship Id="rId57" Type="http://schemas.openxmlformats.org/officeDocument/2006/relationships/hyperlink" Target="http://hudoc.echr.coe.int/eng?i=001-166680" TargetMode="External"/><Relationship Id="rId10" Type="http://schemas.openxmlformats.org/officeDocument/2006/relationships/hyperlink" Target="http://hudoc.echr.coe.int/eng?i=001-89893" TargetMode="External"/><Relationship Id="rId31" Type="http://schemas.openxmlformats.org/officeDocument/2006/relationships/hyperlink" Target="http://hudoc.echr.coe.int/eng?i=001-166680" TargetMode="External"/><Relationship Id="rId44" Type="http://schemas.openxmlformats.org/officeDocument/2006/relationships/hyperlink" Target="http://hudoc.echr.coe.int/eng?i=001-187802" TargetMode="External"/><Relationship Id="rId52" Type="http://schemas.openxmlformats.org/officeDocument/2006/relationships/hyperlink" Target="https://hudoc.echr.coe.int/eng?i=001-211909" TargetMode="External"/><Relationship Id="rId60" Type="http://schemas.openxmlformats.org/officeDocument/2006/relationships/hyperlink" Target="http://hudoc.echr.coe.int/eng?i=001-180302" TargetMode="External"/><Relationship Id="rId65" Type="http://schemas.openxmlformats.org/officeDocument/2006/relationships/hyperlink" Target="http://hudoc.echr.coe.int/eng?i=001-187802" TargetMode="External"/><Relationship Id="rId73" Type="http://schemas.openxmlformats.org/officeDocument/2006/relationships/hyperlink" Target="http://hudoc.echr.coe.int/eng?i=001-175680" TargetMode="External"/><Relationship Id="rId78" Type="http://schemas.openxmlformats.org/officeDocument/2006/relationships/hyperlink" Target="http://hudoc.echr.coe.int/eng?i=001-171501" TargetMode="External"/><Relationship Id="rId81" Type="http://schemas.openxmlformats.org/officeDocument/2006/relationships/hyperlink" Target="http://hudoc.echr.coe.int/eng?i=001-166680" TargetMode="External"/><Relationship Id="rId86" Type="http://schemas.openxmlformats.org/officeDocument/2006/relationships/hyperlink" Target="http://hudoc.echr.coe.int/eng?i=001-180302" TargetMode="External"/><Relationship Id="rId94" Type="http://schemas.openxmlformats.org/officeDocument/2006/relationships/hyperlink" Target="https://hudoc.echr.coe.int/eng?i=001-217240"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udoc.echr.coe.int/eng?i=001-89893" TargetMode="External"/><Relationship Id="rId13" Type="http://schemas.openxmlformats.org/officeDocument/2006/relationships/hyperlink" Target="http://hudoc.echr.coe.int/eng?i=001-187802" TargetMode="External"/><Relationship Id="rId18" Type="http://schemas.openxmlformats.org/officeDocument/2006/relationships/hyperlink" Target="http://hudoc.echr.coe.int/eng?i=001-166680" TargetMode="External"/><Relationship Id="rId39" Type="http://schemas.openxmlformats.org/officeDocument/2006/relationships/hyperlink" Target="http://hudoc.echr.coe.int/eng?i=001-166680" TargetMode="External"/><Relationship Id="rId34" Type="http://schemas.openxmlformats.org/officeDocument/2006/relationships/hyperlink" Target="http://hudoc.echr.coe.int/eng?i=001-166680" TargetMode="External"/><Relationship Id="rId50" Type="http://schemas.openxmlformats.org/officeDocument/2006/relationships/hyperlink" Target="https://hudoc.echr.coe.int/eng?i=001-187802" TargetMode="External"/><Relationship Id="rId55" Type="http://schemas.openxmlformats.org/officeDocument/2006/relationships/hyperlink" Target="https://hudoc.echr.coe.int/eng?i=001-217536" TargetMode="External"/><Relationship Id="rId76" Type="http://schemas.openxmlformats.org/officeDocument/2006/relationships/hyperlink" Target="https://hudoc.echr.coe.int/eng?i=001-216158"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hudoc.echr.coe.int/eng?i=001-187802" TargetMode="External"/><Relationship Id="rId92" Type="http://schemas.openxmlformats.org/officeDocument/2006/relationships/hyperlink" Target="https://hudoc.echr.coe.int/eng?i=001-211909" TargetMode="External"/><Relationship Id="rId2" Type="http://schemas.openxmlformats.org/officeDocument/2006/relationships/numbering" Target="numbering.xml"/><Relationship Id="rId29" Type="http://schemas.openxmlformats.org/officeDocument/2006/relationships/hyperlink" Target="http://hudoc.echr.coe.int/eng?i=001-187802" TargetMode="External"/><Relationship Id="rId24" Type="http://schemas.openxmlformats.org/officeDocument/2006/relationships/hyperlink" Target="http://hudoc.echr.coe.int/eng?i=001-187905" TargetMode="External"/><Relationship Id="rId40" Type="http://schemas.openxmlformats.org/officeDocument/2006/relationships/hyperlink" Target="https://hudoc.echr.coe.int/eng?i=001-187802" TargetMode="External"/><Relationship Id="rId45" Type="http://schemas.openxmlformats.org/officeDocument/2006/relationships/hyperlink" Target="http://hudoc.echr.coe.int/eng?i=001-166680" TargetMode="External"/><Relationship Id="rId66" Type="http://schemas.openxmlformats.org/officeDocument/2006/relationships/hyperlink" Target="http://hudoc.echr.coe.int/eng?i=001-171473" TargetMode="External"/><Relationship Id="rId87" Type="http://schemas.openxmlformats.org/officeDocument/2006/relationships/hyperlink" Target="http://hudoc.echr.coe.int/eng?i=001-181387" TargetMode="External"/><Relationship Id="rId61" Type="http://schemas.openxmlformats.org/officeDocument/2006/relationships/hyperlink" Target="http://hudoc.echr.coe.int/eng?i=001-187802" TargetMode="External"/><Relationship Id="rId82" Type="http://schemas.openxmlformats.org/officeDocument/2006/relationships/hyperlink" Target="http://hudoc.echr.coe.int/eng?i=001-168385" TargetMode="External"/><Relationship Id="rId19" Type="http://schemas.openxmlformats.org/officeDocument/2006/relationships/hyperlink" Target="http://hudoc.echr.coe.int/eng?i=001-172963" TargetMode="External"/><Relationship Id="rId14" Type="http://schemas.openxmlformats.org/officeDocument/2006/relationships/hyperlink" Target="https://hudoc.echr.coe.int/eng?i=001-217240" TargetMode="External"/><Relationship Id="rId30" Type="http://schemas.openxmlformats.org/officeDocument/2006/relationships/hyperlink" Target="http://hudoc.echr.coe.int/eng?i=001-158266" TargetMode="External"/><Relationship Id="rId35" Type="http://schemas.openxmlformats.org/officeDocument/2006/relationships/hyperlink" Target="http://hudoc.echr.coe.int/eng?i=001-166680" TargetMode="External"/><Relationship Id="rId56" Type="http://schemas.openxmlformats.org/officeDocument/2006/relationships/hyperlink" Target="https://hudoc.echr.coe.int/eng?i=001-217536" TargetMode="External"/><Relationship Id="rId77" Type="http://schemas.openxmlformats.org/officeDocument/2006/relationships/hyperlink" Target="http://hudoc.echr.coe.int/eng?i=001-69022" TargetMode="External"/><Relationship Id="rId100"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hudoc.echr.coe.int/eng?i=001-168385" TargetMode="External"/><Relationship Id="rId72" Type="http://schemas.openxmlformats.org/officeDocument/2006/relationships/hyperlink" Target="http://hudoc.echr.coe.int/eng?i=001-175943" TargetMode="External"/><Relationship Id="rId93" Type="http://schemas.openxmlformats.org/officeDocument/2006/relationships/hyperlink" Target="https://hudoc.echr.coe.int/eng?i=001-216184"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3E38-3214-4B62-82EC-E13E47C2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3394</Words>
  <Characters>20365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Access to a lawyer</vt:lpstr>
    </vt:vector>
  </TitlesOfParts>
  <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a lawyer</dc:title>
  <dc:subject>Access to a lawyer</dc:subject>
  <dc:creator>ECHR - CEDH</dc:creator>
  <cp:keywords>Access to a lawyer, docId:A3C7F75A5F57BD01E292C14A9054B5EF</cp:keywords>
  <cp:lastModifiedBy>Szponar Paweł  (DWMPC)</cp:lastModifiedBy>
  <cp:revision>16</cp:revision>
  <dcterms:created xsi:type="dcterms:W3CDTF">2025-05-21T12:43:00Z</dcterms:created>
  <dcterms:modified xsi:type="dcterms:W3CDTF">2025-05-29T12:34:00Z</dcterms:modified>
</cp:coreProperties>
</file>