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2.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charts/chart3.xml" ContentType="application/vnd.openxmlformats-officedocument.drawingml.chart+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056EE" w14:textId="77777777" w:rsidR="00B03DBA" w:rsidRDefault="00B03DBA" w:rsidP="00983C18">
      <w:pPr>
        <w:spacing w:line="276" w:lineRule="auto"/>
        <w:rPr>
          <w:rFonts w:ascii="Lato" w:hAnsi="Lato"/>
          <w:sz w:val="22"/>
        </w:rPr>
      </w:pPr>
    </w:p>
    <w:p w14:paraId="4469C352" w14:textId="77777777" w:rsidR="00782DD6" w:rsidRDefault="00782DD6" w:rsidP="00983C18">
      <w:pPr>
        <w:spacing w:line="276" w:lineRule="auto"/>
        <w:rPr>
          <w:rFonts w:ascii="Lato" w:hAnsi="Lato"/>
          <w:sz w:val="22"/>
        </w:rPr>
      </w:pPr>
    </w:p>
    <w:p w14:paraId="76B36D15" w14:textId="77777777" w:rsidR="00782DD6" w:rsidRPr="00C758B1" w:rsidRDefault="00782DD6" w:rsidP="00983C18">
      <w:pPr>
        <w:spacing w:line="276" w:lineRule="auto"/>
        <w:rPr>
          <w:rFonts w:ascii="Lato" w:hAnsi="Lato"/>
          <w:sz w:val="22"/>
        </w:rPr>
      </w:pPr>
    </w:p>
    <w:p w14:paraId="2F03CAD8" w14:textId="77777777" w:rsidR="00B03DBA" w:rsidRPr="00C758B1" w:rsidRDefault="00B03DBA" w:rsidP="00983C18">
      <w:pPr>
        <w:spacing w:line="276" w:lineRule="auto"/>
        <w:rPr>
          <w:rFonts w:ascii="Lato" w:hAnsi="Lato"/>
          <w:sz w:val="22"/>
        </w:rPr>
      </w:pPr>
    </w:p>
    <w:p w14:paraId="3F8986E7" w14:textId="29BD599B" w:rsidR="00B03DBA" w:rsidRPr="00C758B1" w:rsidRDefault="00C7771E" w:rsidP="00983C18">
      <w:pPr>
        <w:spacing w:line="276" w:lineRule="auto"/>
        <w:jc w:val="center"/>
        <w:rPr>
          <w:rFonts w:ascii="Lato" w:hAnsi="Lato"/>
          <w:sz w:val="40"/>
        </w:rPr>
      </w:pPr>
      <w:r w:rsidRPr="00C758B1">
        <w:rPr>
          <w:rFonts w:ascii="Lato" w:hAnsi="Lato"/>
          <w:noProof/>
          <w:sz w:val="22"/>
        </w:rPr>
        <w:t xml:space="preserve"> </w:t>
      </w:r>
    </w:p>
    <w:p w14:paraId="1A091BDE" w14:textId="77777777" w:rsidR="00B03DBA" w:rsidRPr="00C758B1" w:rsidRDefault="00B03DBA" w:rsidP="00983C18">
      <w:pPr>
        <w:spacing w:line="276" w:lineRule="auto"/>
        <w:jc w:val="center"/>
        <w:rPr>
          <w:rFonts w:ascii="Lato" w:hAnsi="Lato"/>
          <w:sz w:val="20"/>
          <w:szCs w:val="20"/>
        </w:rPr>
      </w:pPr>
    </w:p>
    <w:p w14:paraId="2152D2A1" w14:textId="145D4EC4" w:rsidR="00B03DBA" w:rsidRPr="00C758B1" w:rsidRDefault="00B03DBA" w:rsidP="00983C18">
      <w:pPr>
        <w:spacing w:line="276" w:lineRule="auto"/>
        <w:jc w:val="center"/>
        <w:rPr>
          <w:rFonts w:ascii="Lato" w:hAnsi="Lato"/>
          <w:sz w:val="22"/>
        </w:rPr>
      </w:pPr>
    </w:p>
    <w:p w14:paraId="01672DA1" w14:textId="77777777" w:rsidR="00B03DBA" w:rsidRPr="00C758B1" w:rsidRDefault="00B03DBA" w:rsidP="00983C18">
      <w:pPr>
        <w:pStyle w:val="StandardowyTekst"/>
        <w:spacing w:line="276" w:lineRule="auto"/>
        <w:jc w:val="center"/>
        <w:rPr>
          <w:rFonts w:ascii="Lato" w:hAnsi="Lato"/>
          <w:szCs w:val="22"/>
        </w:rPr>
      </w:pPr>
    </w:p>
    <w:p w14:paraId="6E4E235F" w14:textId="77777777" w:rsidR="00B03DBA" w:rsidRPr="00C758B1" w:rsidRDefault="00B03DBA" w:rsidP="00983C18">
      <w:pPr>
        <w:pStyle w:val="StandardowyTekst"/>
        <w:spacing w:line="276" w:lineRule="auto"/>
        <w:rPr>
          <w:rFonts w:ascii="Lato" w:hAnsi="Lato"/>
          <w:szCs w:val="22"/>
        </w:rPr>
      </w:pPr>
    </w:p>
    <w:p w14:paraId="46AFE1F5" w14:textId="6F8CD7F1" w:rsidR="00B03DBA" w:rsidRPr="00782DD6" w:rsidRDefault="00C7771E" w:rsidP="00782DD6">
      <w:pPr>
        <w:pStyle w:val="StandardowyTekst"/>
        <w:spacing w:after="240" w:line="276" w:lineRule="auto"/>
        <w:jc w:val="center"/>
        <w:rPr>
          <w:rFonts w:ascii="Lato" w:hAnsi="Lato"/>
          <w:b/>
          <w:sz w:val="44"/>
          <w:szCs w:val="44"/>
        </w:rPr>
      </w:pPr>
      <w:r w:rsidRPr="00782DD6">
        <w:rPr>
          <w:rFonts w:ascii="Lato" w:hAnsi="Lato"/>
          <w:b/>
          <w:sz w:val="44"/>
          <w:szCs w:val="44"/>
        </w:rPr>
        <w:t>Plan Działań Zapobiegawczych</w:t>
      </w:r>
    </w:p>
    <w:p w14:paraId="647C4F57" w14:textId="77777777" w:rsidR="00B03DBA" w:rsidRPr="00C758B1" w:rsidRDefault="00B03DBA" w:rsidP="00983C18">
      <w:pPr>
        <w:pStyle w:val="StandardowyTekst"/>
        <w:spacing w:line="276" w:lineRule="auto"/>
        <w:jc w:val="center"/>
        <w:rPr>
          <w:rFonts w:ascii="Lato" w:hAnsi="Lato"/>
          <w:sz w:val="24"/>
          <w:szCs w:val="24"/>
        </w:rPr>
      </w:pPr>
    </w:p>
    <w:p w14:paraId="0FFCA68F" w14:textId="5A8D1188" w:rsidR="00B03DBA" w:rsidRPr="00782DD6" w:rsidRDefault="00C7771E" w:rsidP="00983C18">
      <w:pPr>
        <w:pStyle w:val="StandardowyTekst"/>
        <w:spacing w:line="276" w:lineRule="auto"/>
        <w:jc w:val="center"/>
        <w:rPr>
          <w:rFonts w:ascii="Lato" w:hAnsi="Lato"/>
          <w:sz w:val="28"/>
          <w:szCs w:val="28"/>
        </w:rPr>
      </w:pPr>
      <w:r w:rsidRPr="00782DD6">
        <w:rPr>
          <w:rFonts w:ascii="Lato" w:hAnsi="Lato"/>
          <w:sz w:val="28"/>
          <w:szCs w:val="28"/>
        </w:rPr>
        <w:t xml:space="preserve">opracowany na podstawie art. 8 ust 2 lit. a rozporządzenia </w:t>
      </w:r>
      <w:r w:rsidRPr="00782DD6">
        <w:rPr>
          <w:rFonts w:ascii="Lato" w:hAnsi="Lato"/>
          <w:i/>
          <w:sz w:val="28"/>
          <w:szCs w:val="28"/>
        </w:rPr>
        <w:t>Parlamentu Europejskiego</w:t>
      </w:r>
      <w:r w:rsidR="00EE3AAE" w:rsidRPr="00782DD6">
        <w:rPr>
          <w:rFonts w:ascii="Lato" w:hAnsi="Lato"/>
          <w:i/>
          <w:sz w:val="28"/>
          <w:szCs w:val="28"/>
        </w:rPr>
        <w:t xml:space="preserve"> i </w:t>
      </w:r>
      <w:r w:rsidRPr="00782DD6">
        <w:rPr>
          <w:rFonts w:ascii="Lato" w:hAnsi="Lato"/>
          <w:i/>
          <w:sz w:val="28"/>
          <w:szCs w:val="28"/>
        </w:rPr>
        <w:t xml:space="preserve"> Rady UE Nr 2017/1938 z 25 października 2017 r. w sprawie środków zapewniających bezpieczeństwo dostaw gazu ziemnego i uchylające rozporządzenie (UE) 994/2010</w:t>
      </w:r>
    </w:p>
    <w:p w14:paraId="6A8E6947" w14:textId="77777777" w:rsidR="00B03DBA" w:rsidRPr="00C758B1" w:rsidRDefault="00B03DBA" w:rsidP="00983C18">
      <w:pPr>
        <w:spacing w:line="276" w:lineRule="auto"/>
        <w:jc w:val="center"/>
        <w:rPr>
          <w:rFonts w:ascii="Lato" w:hAnsi="Lato"/>
        </w:rPr>
      </w:pPr>
    </w:p>
    <w:p w14:paraId="7469C4DF" w14:textId="77777777" w:rsidR="00B03DBA" w:rsidRPr="00C758B1" w:rsidRDefault="00B03DBA" w:rsidP="00983C18">
      <w:pPr>
        <w:spacing w:line="276" w:lineRule="auto"/>
        <w:rPr>
          <w:rFonts w:ascii="Lato" w:hAnsi="Lato"/>
        </w:rPr>
      </w:pPr>
    </w:p>
    <w:p w14:paraId="18B2976D" w14:textId="77777777" w:rsidR="00B03DBA" w:rsidRPr="00C758B1" w:rsidRDefault="00B03DBA" w:rsidP="00983C18">
      <w:pPr>
        <w:spacing w:line="276" w:lineRule="auto"/>
        <w:jc w:val="center"/>
        <w:rPr>
          <w:rFonts w:ascii="Lato" w:hAnsi="Lato"/>
        </w:rPr>
      </w:pPr>
    </w:p>
    <w:p w14:paraId="1667E02E" w14:textId="77777777" w:rsidR="00B03DBA" w:rsidRPr="00C758B1" w:rsidRDefault="00B03DBA" w:rsidP="00983C18">
      <w:pPr>
        <w:spacing w:line="276" w:lineRule="auto"/>
        <w:rPr>
          <w:rFonts w:ascii="Lato" w:hAnsi="Lato"/>
        </w:rPr>
      </w:pPr>
    </w:p>
    <w:p w14:paraId="2A10054D" w14:textId="77777777" w:rsidR="00B03DBA" w:rsidRPr="00C758B1" w:rsidRDefault="00B03DBA" w:rsidP="00983C18">
      <w:pPr>
        <w:spacing w:line="276" w:lineRule="auto"/>
        <w:rPr>
          <w:rFonts w:ascii="Lato" w:hAnsi="Lato"/>
        </w:rPr>
      </w:pPr>
    </w:p>
    <w:p w14:paraId="43A8247A" w14:textId="77777777" w:rsidR="00B03DBA" w:rsidRDefault="00B03DBA" w:rsidP="00983C18">
      <w:pPr>
        <w:spacing w:line="276" w:lineRule="auto"/>
        <w:rPr>
          <w:rFonts w:ascii="Lato" w:hAnsi="Lato"/>
        </w:rPr>
      </w:pPr>
    </w:p>
    <w:p w14:paraId="4F6F4AC1" w14:textId="77777777" w:rsidR="00782DD6" w:rsidRDefault="00782DD6" w:rsidP="00983C18">
      <w:pPr>
        <w:spacing w:line="276" w:lineRule="auto"/>
        <w:rPr>
          <w:rFonts w:ascii="Lato" w:hAnsi="Lato"/>
        </w:rPr>
      </w:pPr>
    </w:p>
    <w:p w14:paraId="6A6E2F82" w14:textId="77777777" w:rsidR="00782DD6" w:rsidRDefault="00782DD6" w:rsidP="00983C18">
      <w:pPr>
        <w:spacing w:line="276" w:lineRule="auto"/>
        <w:rPr>
          <w:rFonts w:ascii="Lato" w:hAnsi="Lato"/>
        </w:rPr>
      </w:pPr>
    </w:p>
    <w:p w14:paraId="4153AFCA" w14:textId="77777777" w:rsidR="00782DD6" w:rsidRDefault="00782DD6" w:rsidP="00983C18">
      <w:pPr>
        <w:spacing w:line="276" w:lineRule="auto"/>
        <w:rPr>
          <w:rFonts w:ascii="Lato" w:hAnsi="Lato"/>
        </w:rPr>
      </w:pPr>
    </w:p>
    <w:p w14:paraId="04BF80B1" w14:textId="77777777" w:rsidR="00782DD6" w:rsidRDefault="00782DD6" w:rsidP="00983C18">
      <w:pPr>
        <w:spacing w:line="276" w:lineRule="auto"/>
        <w:rPr>
          <w:rFonts w:ascii="Lato" w:hAnsi="Lato"/>
        </w:rPr>
      </w:pPr>
    </w:p>
    <w:p w14:paraId="327D7815" w14:textId="77777777" w:rsidR="0067393E" w:rsidRDefault="0067393E" w:rsidP="0067393E">
      <w:pPr>
        <w:spacing w:line="276" w:lineRule="auto"/>
        <w:rPr>
          <w:rFonts w:ascii="Lato" w:hAnsi="Lato"/>
        </w:rPr>
      </w:pPr>
    </w:p>
    <w:p w14:paraId="22B070E7" w14:textId="77777777" w:rsidR="00B85038" w:rsidRDefault="00B85038" w:rsidP="0067393E">
      <w:pPr>
        <w:spacing w:line="276" w:lineRule="auto"/>
        <w:rPr>
          <w:rFonts w:ascii="Lato" w:hAnsi="Lato"/>
        </w:rPr>
      </w:pPr>
    </w:p>
    <w:p w14:paraId="12F45590" w14:textId="77777777" w:rsidR="00B85038" w:rsidRDefault="00B85038" w:rsidP="0067393E">
      <w:pPr>
        <w:spacing w:line="276" w:lineRule="auto"/>
        <w:rPr>
          <w:rFonts w:ascii="Lato" w:hAnsi="Lato"/>
        </w:rPr>
      </w:pPr>
    </w:p>
    <w:p w14:paraId="3C22862B" w14:textId="77777777" w:rsidR="00B85038" w:rsidRDefault="00B85038" w:rsidP="0067393E">
      <w:pPr>
        <w:spacing w:line="276" w:lineRule="auto"/>
        <w:rPr>
          <w:rFonts w:ascii="Lato" w:hAnsi="Lato"/>
        </w:rPr>
      </w:pPr>
    </w:p>
    <w:p w14:paraId="2A07ED38" w14:textId="77777777" w:rsidR="00B85038" w:rsidRDefault="00C7771E" w:rsidP="00B85038">
      <w:pPr>
        <w:pStyle w:val="Nagwekspisutreci"/>
        <w:spacing w:before="0"/>
        <w:ind w:right="-142"/>
        <w:jc w:val="center"/>
        <w:rPr>
          <w:rFonts w:ascii="Lato" w:hAnsi="Lato"/>
        </w:rPr>
      </w:pPr>
      <w:r w:rsidRPr="00C758B1">
        <w:rPr>
          <w:rFonts w:ascii="Lato" w:hAnsi="Lato"/>
        </w:rPr>
        <w:t xml:space="preserve">Warszawa, </w:t>
      </w:r>
      <w:r w:rsidR="006976B2" w:rsidRPr="00C758B1">
        <w:rPr>
          <w:rFonts w:ascii="Lato" w:hAnsi="Lato"/>
        </w:rPr>
        <w:t>2023</w:t>
      </w:r>
      <w:r w:rsidR="00664AE6" w:rsidRPr="00C758B1">
        <w:rPr>
          <w:rFonts w:ascii="Lato" w:hAnsi="Lato"/>
        </w:rPr>
        <w:t xml:space="preserve"> </w:t>
      </w:r>
      <w:r w:rsidRPr="00C758B1">
        <w:rPr>
          <w:rFonts w:ascii="Lato" w:hAnsi="Lato"/>
        </w:rPr>
        <w:t>r.</w:t>
      </w:r>
    </w:p>
    <w:p w14:paraId="1BAF713C" w14:textId="0D24352B" w:rsidR="00B03DBA" w:rsidRPr="00EE3AAE" w:rsidRDefault="00B85038" w:rsidP="00B85038">
      <w:pPr>
        <w:spacing w:line="276" w:lineRule="auto"/>
        <w:jc w:val="center"/>
        <w:rPr>
          <w:rFonts w:ascii="Lato" w:hAnsi="Lato"/>
          <w:sz w:val="32"/>
          <w:szCs w:val="32"/>
        </w:rPr>
      </w:pPr>
      <w:r>
        <w:rPr>
          <w:rFonts w:ascii="Lato" w:hAnsi="Lato"/>
          <w:b/>
          <w:bCs/>
        </w:rPr>
        <w:br w:type="column"/>
      </w:r>
    </w:p>
    <w:sdt>
      <w:sdtPr>
        <w:rPr>
          <w:rFonts w:ascii="Lato" w:hAnsi="Lato"/>
          <w:b/>
          <w:bCs/>
        </w:rPr>
        <w:id w:val="-277405305"/>
        <w:docPartObj>
          <w:docPartGallery w:val="Table of Contents"/>
          <w:docPartUnique/>
        </w:docPartObj>
      </w:sdtPr>
      <w:sdtEndPr>
        <w:rPr>
          <w:b w:val="0"/>
          <w:bCs w:val="0"/>
          <w:sz w:val="22"/>
          <w:szCs w:val="20"/>
        </w:rPr>
      </w:sdtEndPr>
      <w:sdtContent>
        <w:p w14:paraId="7B0280D0" w14:textId="77777777" w:rsidR="00B03DBA" w:rsidRPr="00EE3AAE" w:rsidRDefault="00C7771E" w:rsidP="00B85038">
          <w:pPr>
            <w:spacing w:line="276" w:lineRule="auto"/>
            <w:jc w:val="center"/>
            <w:rPr>
              <w:rFonts w:ascii="Lato" w:hAnsi="Lato"/>
              <w:sz w:val="32"/>
              <w:szCs w:val="32"/>
            </w:rPr>
          </w:pPr>
          <w:r w:rsidRPr="00EE3AAE">
            <w:rPr>
              <w:rFonts w:ascii="Lato" w:hAnsi="Lato"/>
              <w:sz w:val="32"/>
              <w:szCs w:val="32"/>
            </w:rPr>
            <w:t>Spis treści</w:t>
          </w:r>
        </w:p>
        <w:p w14:paraId="33FA7689" w14:textId="2E1CDDF3" w:rsidR="00004298" w:rsidRPr="0067393E" w:rsidRDefault="00C7771E" w:rsidP="00BB583E">
          <w:pPr>
            <w:pStyle w:val="Spistreci1"/>
            <w:rPr>
              <w:rFonts w:ascii="Lato" w:eastAsiaTheme="minorEastAsia" w:hAnsi="Lato" w:cstheme="minorBidi"/>
              <w:kern w:val="2"/>
              <w:sz w:val="19"/>
              <w:szCs w:val="19"/>
              <w14:ligatures w14:val="standardContextual"/>
            </w:rPr>
          </w:pPr>
          <w:r w:rsidRPr="00CE63C5">
            <w:rPr>
              <w:rFonts w:ascii="Lato" w:hAnsi="Lato"/>
            </w:rPr>
            <w:fldChar w:fldCharType="begin"/>
          </w:r>
          <w:r w:rsidRPr="00CE63C5">
            <w:rPr>
              <w:rFonts w:ascii="Lato" w:hAnsi="Lato"/>
            </w:rPr>
            <w:instrText xml:space="preserve"> TOC \o "1-3" \h \z \u </w:instrText>
          </w:r>
          <w:r w:rsidRPr="00CE63C5">
            <w:rPr>
              <w:rFonts w:ascii="Lato" w:hAnsi="Lato"/>
            </w:rPr>
            <w:fldChar w:fldCharType="separate"/>
          </w:r>
          <w:hyperlink w:anchor="_Toc142469547" w:history="1">
            <w:r w:rsidR="00004298" w:rsidRPr="0067393E">
              <w:rPr>
                <w:rStyle w:val="Hipercze"/>
                <w:rFonts w:ascii="Lato" w:hAnsi="Lato"/>
                <w:sz w:val="19"/>
                <w:szCs w:val="19"/>
              </w:rPr>
              <w:t>Podsumowanie i wnioski</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_Toc142469547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4</w:t>
            </w:r>
            <w:r w:rsidR="00004298" w:rsidRPr="0067393E">
              <w:rPr>
                <w:rFonts w:ascii="Lato" w:hAnsi="Lato"/>
                <w:webHidden/>
                <w:sz w:val="19"/>
                <w:szCs w:val="19"/>
              </w:rPr>
              <w:fldChar w:fldCharType="end"/>
            </w:r>
          </w:hyperlink>
        </w:p>
        <w:p w14:paraId="2AA22EE7" w14:textId="2E949B1A"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48" w:history="1">
            <w:r w:rsidR="00004298" w:rsidRPr="0067393E">
              <w:rPr>
                <w:rStyle w:val="Hipercze"/>
                <w:rFonts w:ascii="Lato" w:hAnsi="Lato"/>
                <w:sz w:val="19"/>
                <w:szCs w:val="19"/>
              </w:rPr>
              <w:t>Wstęp</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_Toc142469548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6</w:t>
            </w:r>
            <w:r w:rsidR="00004298" w:rsidRPr="0067393E">
              <w:rPr>
                <w:rFonts w:ascii="Lato" w:hAnsi="Lato"/>
                <w:webHidden/>
                <w:sz w:val="19"/>
                <w:szCs w:val="19"/>
              </w:rPr>
              <w:fldChar w:fldCharType="end"/>
            </w:r>
          </w:hyperlink>
        </w:p>
        <w:p w14:paraId="2AEE122F" w14:textId="5B646F86"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49" w:history="1">
            <w:r w:rsidR="00004298" w:rsidRPr="0067393E">
              <w:rPr>
                <w:rStyle w:val="Hipercze"/>
                <w:rFonts w:ascii="Lato" w:hAnsi="Lato"/>
                <w:sz w:val="19"/>
                <w:szCs w:val="19"/>
              </w:rPr>
              <w:t>1.</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Opis systemu</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_Toc142469549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7</w:t>
            </w:r>
            <w:r w:rsidR="00004298" w:rsidRPr="0067393E">
              <w:rPr>
                <w:rFonts w:ascii="Lato" w:hAnsi="Lato"/>
                <w:webHidden/>
                <w:sz w:val="19"/>
                <w:szCs w:val="19"/>
              </w:rPr>
              <w:fldChar w:fldCharType="end"/>
            </w:r>
          </w:hyperlink>
        </w:p>
        <w:p w14:paraId="0A3C6CBE" w14:textId="16C5889D" w:rsidR="00004298" w:rsidRPr="0067393E" w:rsidRDefault="00000000">
          <w:pPr>
            <w:pStyle w:val="Spistreci2"/>
            <w:rPr>
              <w:rFonts w:eastAsiaTheme="minorEastAsia" w:cstheme="minorBidi"/>
              <w:smallCaps w:val="0"/>
              <w:kern w:val="2"/>
              <w:sz w:val="19"/>
              <w:szCs w:val="19"/>
              <w14:ligatures w14:val="standardContextual"/>
            </w:rPr>
          </w:pPr>
          <w:hyperlink w:anchor="_Toc142469550" w:history="1">
            <w:r w:rsidR="00004298" w:rsidRPr="0067393E">
              <w:rPr>
                <w:rStyle w:val="Hipercze"/>
                <w:sz w:val="19"/>
                <w:szCs w:val="19"/>
              </w:rPr>
              <w:t>1.1.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Opis regionalnego systemu gazowego</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_Toc142469550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7</w:t>
            </w:r>
            <w:r w:rsidR="00004298" w:rsidRPr="0067393E">
              <w:rPr>
                <w:webHidden/>
                <w:sz w:val="19"/>
                <w:szCs w:val="19"/>
              </w:rPr>
              <w:fldChar w:fldCharType="end"/>
            </w:r>
          </w:hyperlink>
        </w:p>
        <w:p w14:paraId="4B247C6E" w14:textId="092B4D52"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1" w:history="1">
            <w:r w:rsidR="00004298" w:rsidRPr="0067393E">
              <w:rPr>
                <w:rStyle w:val="Hipercze"/>
                <w:rFonts w:ascii="Lato" w:hAnsi="Lato"/>
                <w:sz w:val="19"/>
                <w:szCs w:val="19"/>
              </w:rPr>
              <w:t>1.1.1.</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Regionalna grupa ryzyka – Białoruś</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_Toc142469551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7</w:t>
            </w:r>
            <w:r w:rsidR="00004298" w:rsidRPr="0067393E">
              <w:rPr>
                <w:rFonts w:ascii="Lato" w:hAnsi="Lato"/>
                <w:webHidden/>
                <w:sz w:val="19"/>
                <w:szCs w:val="19"/>
              </w:rPr>
              <w:fldChar w:fldCharType="end"/>
            </w:r>
          </w:hyperlink>
        </w:p>
        <w:p w14:paraId="51C665C5" w14:textId="492F223E"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2" w:history="1">
            <w:r w:rsidR="00004298" w:rsidRPr="0067393E">
              <w:rPr>
                <w:rStyle w:val="Hipercze"/>
                <w:rFonts w:ascii="Lato" w:hAnsi="Lato"/>
                <w:sz w:val="19"/>
                <w:szCs w:val="19"/>
              </w:rPr>
              <w:t>1.1.2.</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Regionalna grupa ryzyka – Ukraina</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_Toc142469552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10</w:t>
            </w:r>
            <w:r w:rsidR="00004298" w:rsidRPr="0067393E">
              <w:rPr>
                <w:rFonts w:ascii="Lato" w:hAnsi="Lato"/>
                <w:webHidden/>
                <w:sz w:val="19"/>
                <w:szCs w:val="19"/>
              </w:rPr>
              <w:fldChar w:fldCharType="end"/>
            </w:r>
          </w:hyperlink>
        </w:p>
        <w:p w14:paraId="433B204A" w14:textId="5B5D2A2C"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3" w:history="1">
            <w:r w:rsidR="00004298" w:rsidRPr="0067393E">
              <w:rPr>
                <w:rStyle w:val="Hipercze"/>
                <w:rFonts w:ascii="Lato" w:hAnsi="Lato"/>
                <w:sz w:val="19"/>
                <w:szCs w:val="19"/>
              </w:rPr>
              <w:t>1.1.3.</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Regionalna grupa ryzyka – północny wschód</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_Toc142469553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10</w:t>
            </w:r>
            <w:r w:rsidR="00004298" w:rsidRPr="0067393E">
              <w:rPr>
                <w:rFonts w:ascii="Lato" w:hAnsi="Lato"/>
                <w:webHidden/>
                <w:sz w:val="19"/>
                <w:szCs w:val="19"/>
              </w:rPr>
              <w:fldChar w:fldCharType="end"/>
            </w:r>
          </w:hyperlink>
        </w:p>
        <w:p w14:paraId="4E529C09" w14:textId="2F91C729"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4" w:history="1">
            <w:r w:rsidR="00004298" w:rsidRPr="0067393E">
              <w:rPr>
                <w:rStyle w:val="Hipercze"/>
                <w:rFonts w:ascii="Lato" w:hAnsi="Lato"/>
                <w:sz w:val="19"/>
                <w:szCs w:val="19"/>
              </w:rPr>
              <w:t>1.1.4.</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Regionalna grupa ryzyka – Norwegia</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_Toc142469554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11</w:t>
            </w:r>
            <w:r w:rsidR="00004298" w:rsidRPr="0067393E">
              <w:rPr>
                <w:rFonts w:ascii="Lato" w:hAnsi="Lato"/>
                <w:webHidden/>
                <w:sz w:val="19"/>
                <w:szCs w:val="19"/>
              </w:rPr>
              <w:fldChar w:fldCharType="end"/>
            </w:r>
          </w:hyperlink>
        </w:p>
        <w:p w14:paraId="5238E75A" w14:textId="329CC011"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5" w:history="1">
            <w:r w:rsidR="00004298" w:rsidRPr="0067393E">
              <w:rPr>
                <w:rStyle w:val="Hipercze"/>
                <w:rFonts w:ascii="Lato" w:hAnsi="Lato"/>
                <w:sz w:val="19"/>
                <w:szCs w:val="19"/>
              </w:rPr>
              <w:t>1.1.5.</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Regionalna grupa ryzyka – Dania</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_Toc142469555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11</w:t>
            </w:r>
            <w:r w:rsidR="00004298" w:rsidRPr="0067393E">
              <w:rPr>
                <w:rFonts w:ascii="Lato" w:hAnsi="Lato"/>
                <w:webHidden/>
                <w:sz w:val="19"/>
                <w:szCs w:val="19"/>
              </w:rPr>
              <w:fldChar w:fldCharType="end"/>
            </w:r>
          </w:hyperlink>
        </w:p>
        <w:p w14:paraId="6C10389E" w14:textId="70850EA6" w:rsidR="00004298" w:rsidRPr="0067393E" w:rsidRDefault="00000000">
          <w:pPr>
            <w:pStyle w:val="Spistreci2"/>
            <w:rPr>
              <w:rFonts w:eastAsiaTheme="minorEastAsia" w:cstheme="minorBidi"/>
              <w:smallCaps w:val="0"/>
              <w:kern w:val="2"/>
              <w:sz w:val="19"/>
              <w:szCs w:val="19"/>
              <w14:ligatures w14:val="standardContextual"/>
            </w:rPr>
          </w:pPr>
          <w:hyperlink w:anchor="_Toc142469556" w:history="1">
            <w:r w:rsidR="00004298" w:rsidRPr="0067393E">
              <w:rPr>
                <w:rStyle w:val="Hipercze"/>
                <w:sz w:val="19"/>
                <w:szCs w:val="19"/>
              </w:rPr>
              <w:t>1.2.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Opis krajowego systemu gazowego – Polska</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_Toc142469556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12</w:t>
            </w:r>
            <w:r w:rsidR="00004298" w:rsidRPr="0067393E">
              <w:rPr>
                <w:webHidden/>
                <w:sz w:val="19"/>
                <w:szCs w:val="19"/>
              </w:rPr>
              <w:fldChar w:fldCharType="end"/>
            </w:r>
          </w:hyperlink>
        </w:p>
        <w:p w14:paraId="4558E5D5" w14:textId="18D77A41"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7" w:history="1">
            <w:r w:rsidR="00004298" w:rsidRPr="0067393E">
              <w:rPr>
                <w:rStyle w:val="Hipercze"/>
                <w:rFonts w:ascii="Lato" w:hAnsi="Lato"/>
                <w:sz w:val="19"/>
                <w:szCs w:val="19"/>
              </w:rPr>
              <w:t>1.2.1.</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Krajowe zu</w:t>
            </w:r>
            <w:r w:rsidR="00004298" w:rsidRPr="0067393E">
              <w:rPr>
                <w:rStyle w:val="Hipercze"/>
                <w:rFonts w:ascii="Lato" w:hAnsi="Lato" w:cs="Calibri"/>
                <w:sz w:val="19"/>
                <w:szCs w:val="19"/>
              </w:rPr>
              <w:t>ż</w:t>
            </w:r>
            <w:r w:rsidR="00004298" w:rsidRPr="0067393E">
              <w:rPr>
                <w:rStyle w:val="Hipercze"/>
                <w:rFonts w:ascii="Lato" w:hAnsi="Lato"/>
                <w:sz w:val="19"/>
                <w:szCs w:val="19"/>
              </w:rPr>
              <w:t>ycie gazu ziemnego oraz struktura sprzeda</w:t>
            </w:r>
            <w:r w:rsidR="00004298" w:rsidRPr="0067393E">
              <w:rPr>
                <w:rStyle w:val="Hipercze"/>
                <w:rFonts w:ascii="Lato" w:hAnsi="Lato" w:cs="Calibri"/>
                <w:sz w:val="19"/>
                <w:szCs w:val="19"/>
              </w:rPr>
              <w:t>ż</w:t>
            </w:r>
            <w:r w:rsidR="00004298" w:rsidRPr="0067393E">
              <w:rPr>
                <w:rStyle w:val="Hipercze"/>
                <w:rFonts w:ascii="Lato" w:hAnsi="Lato"/>
                <w:sz w:val="19"/>
                <w:szCs w:val="19"/>
              </w:rPr>
              <w:t>y gazu ziemnego do odbiorc</w:t>
            </w:r>
            <w:r w:rsidR="00004298" w:rsidRPr="0067393E">
              <w:rPr>
                <w:rStyle w:val="Hipercze"/>
                <w:rFonts w:ascii="Lato" w:hAnsi="Lato" w:cs="Malgun Gothic"/>
                <w:sz w:val="19"/>
                <w:szCs w:val="19"/>
              </w:rPr>
              <w:t>ó</w:t>
            </w:r>
            <w:r w:rsidR="00004298" w:rsidRPr="0067393E">
              <w:rPr>
                <w:rStyle w:val="Hipercze"/>
                <w:rFonts w:ascii="Lato" w:hAnsi="Lato"/>
                <w:sz w:val="19"/>
                <w:szCs w:val="19"/>
              </w:rPr>
              <w:t>w ko</w:t>
            </w:r>
            <w:r w:rsidR="00004298" w:rsidRPr="0067393E">
              <w:rPr>
                <w:rStyle w:val="Hipercze"/>
                <w:rFonts w:ascii="Lato" w:hAnsi="Lato" w:cs="Calibri"/>
                <w:sz w:val="19"/>
                <w:szCs w:val="19"/>
              </w:rPr>
              <w:t>ń</w:t>
            </w:r>
            <w:r w:rsidR="00004298" w:rsidRPr="0067393E">
              <w:rPr>
                <w:rStyle w:val="Hipercze"/>
                <w:rFonts w:ascii="Lato" w:hAnsi="Lato"/>
                <w:sz w:val="19"/>
                <w:szCs w:val="19"/>
              </w:rPr>
              <w:t>cowych</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_Toc142469557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12</w:t>
            </w:r>
            <w:r w:rsidR="00004298" w:rsidRPr="0067393E">
              <w:rPr>
                <w:rFonts w:ascii="Lato" w:hAnsi="Lato"/>
                <w:webHidden/>
                <w:sz w:val="19"/>
                <w:szCs w:val="19"/>
              </w:rPr>
              <w:fldChar w:fldCharType="end"/>
            </w:r>
          </w:hyperlink>
        </w:p>
        <w:p w14:paraId="7E75ED86" w14:textId="667715E9"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8" w:history="1">
            <w:r w:rsidR="00004298" w:rsidRPr="0067393E">
              <w:rPr>
                <w:rStyle w:val="Hipercze"/>
                <w:rFonts w:ascii="Lato" w:hAnsi="Lato"/>
                <w:sz w:val="19"/>
                <w:szCs w:val="19"/>
              </w:rPr>
              <w:t>1.2.2.</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Charakterystyka krajowego systemu gazowego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_Toc142469558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13</w:t>
            </w:r>
            <w:r w:rsidR="00004298" w:rsidRPr="0067393E">
              <w:rPr>
                <w:rFonts w:ascii="Lato" w:hAnsi="Lato"/>
                <w:webHidden/>
                <w:sz w:val="19"/>
                <w:szCs w:val="19"/>
              </w:rPr>
              <w:fldChar w:fldCharType="end"/>
            </w:r>
          </w:hyperlink>
        </w:p>
        <w:p w14:paraId="0D262305" w14:textId="1C7AED3F"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59" w:history="1">
            <w:r w:rsidR="00004298" w:rsidRPr="0067393E">
              <w:rPr>
                <w:rStyle w:val="Hipercze"/>
                <w:rFonts w:ascii="Lato" w:hAnsi="Lato"/>
                <w:sz w:val="19"/>
                <w:szCs w:val="19"/>
              </w:rPr>
              <w:t>1.2.3.</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Infrastruktura gazowa kluczowa dla zapewnienia bezpiecze</w:t>
            </w:r>
            <w:r w:rsidR="00004298" w:rsidRPr="0067393E">
              <w:rPr>
                <w:rStyle w:val="Hipercze"/>
                <w:rFonts w:ascii="Lato" w:hAnsi="Lato" w:cs="Calibri"/>
                <w:sz w:val="19"/>
                <w:szCs w:val="19"/>
              </w:rPr>
              <w:t>ń</w:t>
            </w:r>
            <w:r w:rsidR="00004298" w:rsidRPr="0067393E">
              <w:rPr>
                <w:rStyle w:val="Hipercze"/>
                <w:rFonts w:ascii="Lato" w:hAnsi="Lato"/>
                <w:sz w:val="19"/>
                <w:szCs w:val="19"/>
              </w:rPr>
              <w:t>stwa dostaw gazu ziemnego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_Toc142469559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20</w:t>
            </w:r>
            <w:r w:rsidR="00004298" w:rsidRPr="0067393E">
              <w:rPr>
                <w:rFonts w:ascii="Lato" w:hAnsi="Lato"/>
                <w:webHidden/>
                <w:sz w:val="19"/>
                <w:szCs w:val="19"/>
              </w:rPr>
              <w:fldChar w:fldCharType="end"/>
            </w:r>
          </w:hyperlink>
        </w:p>
        <w:p w14:paraId="0B1A3BAE" w14:textId="2DA182F3"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60" w:history="1">
            <w:r w:rsidR="00004298" w:rsidRPr="0067393E">
              <w:rPr>
                <w:rStyle w:val="Hipercze"/>
                <w:rFonts w:ascii="Lato" w:hAnsi="Lato"/>
                <w:sz w:val="19"/>
                <w:szCs w:val="19"/>
              </w:rPr>
              <w:t>1.2.4.</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Struktura importu gazu ziemnego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_Toc142469560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20</w:t>
            </w:r>
            <w:r w:rsidR="00004298" w:rsidRPr="0067393E">
              <w:rPr>
                <w:rFonts w:ascii="Lato" w:hAnsi="Lato"/>
                <w:webHidden/>
                <w:sz w:val="19"/>
                <w:szCs w:val="19"/>
              </w:rPr>
              <w:fldChar w:fldCharType="end"/>
            </w:r>
          </w:hyperlink>
        </w:p>
        <w:p w14:paraId="087032EB" w14:textId="586CA270"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61" w:history="1">
            <w:r w:rsidR="00004298" w:rsidRPr="0067393E">
              <w:rPr>
                <w:rStyle w:val="Hipercze"/>
                <w:rFonts w:ascii="Lato" w:hAnsi="Lato"/>
                <w:sz w:val="19"/>
                <w:szCs w:val="19"/>
              </w:rPr>
              <w:t>1.2.5.</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System magazynowania gazu ziemnego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_Toc142469561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21</w:t>
            </w:r>
            <w:r w:rsidR="00004298" w:rsidRPr="0067393E">
              <w:rPr>
                <w:rFonts w:ascii="Lato" w:hAnsi="Lato"/>
                <w:webHidden/>
                <w:sz w:val="19"/>
                <w:szCs w:val="19"/>
              </w:rPr>
              <w:fldChar w:fldCharType="end"/>
            </w:r>
          </w:hyperlink>
        </w:p>
        <w:p w14:paraId="535E1765" w14:textId="5D809E73"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62" w:history="1">
            <w:r w:rsidR="00004298" w:rsidRPr="0067393E">
              <w:rPr>
                <w:rStyle w:val="Hipercze"/>
                <w:rFonts w:ascii="Lato" w:hAnsi="Lato"/>
                <w:sz w:val="19"/>
                <w:szCs w:val="19"/>
              </w:rPr>
              <w:t>1.2.6.</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Krajowe wydobycie gazu ziemnego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_Toc142469562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22</w:t>
            </w:r>
            <w:r w:rsidR="00004298" w:rsidRPr="0067393E">
              <w:rPr>
                <w:rFonts w:ascii="Lato" w:hAnsi="Lato"/>
                <w:webHidden/>
                <w:sz w:val="19"/>
                <w:szCs w:val="19"/>
              </w:rPr>
              <w:fldChar w:fldCharType="end"/>
            </w:r>
          </w:hyperlink>
        </w:p>
        <w:p w14:paraId="5BB4561B" w14:textId="4D73810F"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63" w:history="1">
            <w:r w:rsidR="00004298" w:rsidRPr="0067393E">
              <w:rPr>
                <w:rStyle w:val="Hipercze"/>
                <w:rFonts w:ascii="Lato" w:hAnsi="Lato"/>
                <w:sz w:val="19"/>
                <w:szCs w:val="19"/>
              </w:rPr>
              <w:t>1.2.7.</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Wykorzystanie gazu ziemnego przy produkcji energii elektrycznej</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_Toc142469563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24</w:t>
            </w:r>
            <w:r w:rsidR="00004298" w:rsidRPr="0067393E">
              <w:rPr>
                <w:rFonts w:ascii="Lato" w:hAnsi="Lato"/>
                <w:webHidden/>
                <w:sz w:val="19"/>
                <w:szCs w:val="19"/>
              </w:rPr>
              <w:fldChar w:fldCharType="end"/>
            </w:r>
          </w:hyperlink>
        </w:p>
        <w:p w14:paraId="30583089" w14:textId="5E50CFC9"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64" w:history="1">
            <w:r w:rsidR="00004298" w:rsidRPr="0067393E">
              <w:rPr>
                <w:rStyle w:val="Hipercze"/>
                <w:rFonts w:ascii="Lato" w:hAnsi="Lato"/>
                <w:sz w:val="19"/>
                <w:szCs w:val="19"/>
              </w:rPr>
              <w:t>1.2.8.</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Rola środków na rzecz efektywności energetycznej</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_Toc142469564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24</w:t>
            </w:r>
            <w:r w:rsidR="00004298" w:rsidRPr="0067393E">
              <w:rPr>
                <w:rFonts w:ascii="Lato" w:hAnsi="Lato"/>
                <w:webHidden/>
                <w:sz w:val="19"/>
                <w:szCs w:val="19"/>
              </w:rPr>
              <w:fldChar w:fldCharType="end"/>
            </w:r>
          </w:hyperlink>
        </w:p>
        <w:p w14:paraId="424AD2BC" w14:textId="0693D269"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65" w:history="1">
            <w:r w:rsidR="00004298" w:rsidRPr="0067393E">
              <w:rPr>
                <w:rStyle w:val="Hipercze"/>
                <w:rFonts w:ascii="Lato" w:hAnsi="Lato"/>
                <w:sz w:val="19"/>
                <w:szCs w:val="19"/>
              </w:rPr>
              <w:t>2.</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Streszczenie oceny ryzyka</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_Toc142469565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26</w:t>
            </w:r>
            <w:r w:rsidR="00004298" w:rsidRPr="0067393E">
              <w:rPr>
                <w:rFonts w:ascii="Lato" w:hAnsi="Lato"/>
                <w:webHidden/>
                <w:sz w:val="19"/>
                <w:szCs w:val="19"/>
              </w:rPr>
              <w:fldChar w:fldCharType="end"/>
            </w:r>
          </w:hyperlink>
        </w:p>
        <w:p w14:paraId="4B833D67" w14:textId="26ED3BDC" w:rsidR="00004298" w:rsidRPr="0067393E" w:rsidRDefault="00000000">
          <w:pPr>
            <w:pStyle w:val="Spistreci2"/>
            <w:rPr>
              <w:rFonts w:eastAsiaTheme="minorEastAsia" w:cstheme="minorBidi"/>
              <w:smallCaps w:val="0"/>
              <w:kern w:val="2"/>
              <w:sz w:val="19"/>
              <w:szCs w:val="19"/>
              <w14:ligatures w14:val="standardContextual"/>
            </w:rPr>
          </w:pPr>
          <w:hyperlink w:anchor="_Toc142469566" w:history="1">
            <w:r w:rsidR="00004298" w:rsidRPr="0067393E">
              <w:rPr>
                <w:rStyle w:val="Hipercze"/>
                <w:sz w:val="19"/>
                <w:szCs w:val="19"/>
              </w:rPr>
              <w:t>2.1.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Wspólna ocena ryzyka</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_Toc142469566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26</w:t>
            </w:r>
            <w:r w:rsidR="00004298" w:rsidRPr="0067393E">
              <w:rPr>
                <w:webHidden/>
                <w:sz w:val="19"/>
                <w:szCs w:val="19"/>
              </w:rPr>
              <w:fldChar w:fldCharType="end"/>
            </w:r>
          </w:hyperlink>
        </w:p>
        <w:p w14:paraId="04D780B9" w14:textId="7CE48158" w:rsidR="00004298" w:rsidRPr="0067393E" w:rsidRDefault="00000000">
          <w:pPr>
            <w:pStyle w:val="Spistreci2"/>
            <w:rPr>
              <w:rFonts w:eastAsiaTheme="minorEastAsia" w:cstheme="minorBidi"/>
              <w:smallCaps w:val="0"/>
              <w:kern w:val="2"/>
              <w:sz w:val="19"/>
              <w:szCs w:val="19"/>
              <w14:ligatures w14:val="standardContextual"/>
            </w:rPr>
          </w:pPr>
          <w:hyperlink w:anchor="_Toc142469567" w:history="1">
            <w:r w:rsidR="00004298" w:rsidRPr="0067393E">
              <w:rPr>
                <w:rStyle w:val="Hipercze"/>
                <w:sz w:val="19"/>
                <w:szCs w:val="19"/>
              </w:rPr>
              <w:t>2.2.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Krajowa ocena ryzyka</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_Toc142469567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27</w:t>
            </w:r>
            <w:r w:rsidR="00004298" w:rsidRPr="0067393E">
              <w:rPr>
                <w:webHidden/>
                <w:sz w:val="19"/>
                <w:szCs w:val="19"/>
              </w:rPr>
              <w:fldChar w:fldCharType="end"/>
            </w:r>
          </w:hyperlink>
        </w:p>
        <w:p w14:paraId="5A71E6B0" w14:textId="55B6C140"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68" w:history="1">
            <w:r w:rsidR="00004298" w:rsidRPr="0067393E">
              <w:rPr>
                <w:rStyle w:val="Hipercze"/>
                <w:rFonts w:ascii="Lato" w:hAnsi="Lato"/>
                <w:sz w:val="19"/>
                <w:szCs w:val="19"/>
              </w:rPr>
              <w:t>3.</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Standard w zakresie infrastruktury</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_Toc142469568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28</w:t>
            </w:r>
            <w:r w:rsidR="00004298" w:rsidRPr="0067393E">
              <w:rPr>
                <w:rFonts w:ascii="Lato" w:hAnsi="Lato"/>
                <w:webHidden/>
                <w:sz w:val="19"/>
                <w:szCs w:val="19"/>
              </w:rPr>
              <w:fldChar w:fldCharType="end"/>
            </w:r>
          </w:hyperlink>
        </w:p>
        <w:p w14:paraId="5EABD197" w14:textId="01F75780" w:rsidR="00004298" w:rsidRPr="0067393E" w:rsidRDefault="00000000">
          <w:pPr>
            <w:pStyle w:val="Spistreci2"/>
            <w:rPr>
              <w:rFonts w:eastAsiaTheme="minorEastAsia" w:cstheme="minorBidi"/>
              <w:smallCaps w:val="0"/>
              <w:kern w:val="2"/>
              <w:sz w:val="19"/>
              <w:szCs w:val="19"/>
              <w14:ligatures w14:val="standardContextual"/>
            </w:rPr>
          </w:pPr>
          <w:hyperlink w:anchor="_Toc142469569" w:history="1">
            <w:r w:rsidR="00004298" w:rsidRPr="0067393E">
              <w:rPr>
                <w:rStyle w:val="Hipercze"/>
                <w:sz w:val="19"/>
                <w:szCs w:val="19"/>
              </w:rPr>
              <w:t>3.1.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Wskaźnik N-1 na szczeblu krajowym</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_Toc142469569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29</w:t>
            </w:r>
            <w:r w:rsidR="00004298" w:rsidRPr="0067393E">
              <w:rPr>
                <w:webHidden/>
                <w:sz w:val="19"/>
                <w:szCs w:val="19"/>
              </w:rPr>
              <w:fldChar w:fldCharType="end"/>
            </w:r>
          </w:hyperlink>
        </w:p>
        <w:p w14:paraId="00947E07" w14:textId="425EA031"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70" w:history="1">
            <w:r w:rsidR="00004298" w:rsidRPr="0067393E">
              <w:rPr>
                <w:rStyle w:val="Hipercze"/>
                <w:rFonts w:ascii="Lato" w:hAnsi="Lato"/>
                <w:sz w:val="19"/>
                <w:szCs w:val="19"/>
              </w:rPr>
              <w:t>3.1.1.</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Wska</w:t>
            </w:r>
            <w:r w:rsidR="00004298" w:rsidRPr="0067393E">
              <w:rPr>
                <w:rStyle w:val="Hipercze"/>
                <w:rFonts w:ascii="Lato" w:hAnsi="Lato" w:cs="Calibri"/>
                <w:sz w:val="19"/>
                <w:szCs w:val="19"/>
              </w:rPr>
              <w:t>ź</w:t>
            </w:r>
            <w:r w:rsidR="00004298" w:rsidRPr="0067393E">
              <w:rPr>
                <w:rStyle w:val="Hipercze"/>
                <w:rFonts w:ascii="Lato" w:hAnsi="Lato"/>
                <w:sz w:val="19"/>
                <w:szCs w:val="19"/>
              </w:rPr>
              <w:t>nik N-1 dla systemu gazu ziemnego wysokometanowego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_Toc142469570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29</w:t>
            </w:r>
            <w:r w:rsidR="00004298" w:rsidRPr="0067393E">
              <w:rPr>
                <w:rFonts w:ascii="Lato" w:hAnsi="Lato"/>
                <w:webHidden/>
                <w:sz w:val="19"/>
                <w:szCs w:val="19"/>
              </w:rPr>
              <w:fldChar w:fldCharType="end"/>
            </w:r>
          </w:hyperlink>
        </w:p>
        <w:p w14:paraId="5BB382CC" w14:textId="4794489A"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71" w:history="1">
            <w:r w:rsidR="00004298" w:rsidRPr="0067393E">
              <w:rPr>
                <w:rStyle w:val="Hipercze"/>
                <w:rFonts w:ascii="Lato" w:hAnsi="Lato"/>
                <w:sz w:val="19"/>
                <w:szCs w:val="19"/>
              </w:rPr>
              <w:t>3.1.2.</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Wska</w:t>
            </w:r>
            <w:r w:rsidR="00004298" w:rsidRPr="0067393E">
              <w:rPr>
                <w:rStyle w:val="Hipercze"/>
                <w:rFonts w:ascii="Lato" w:hAnsi="Lato" w:cs="Calibri"/>
                <w:sz w:val="19"/>
                <w:szCs w:val="19"/>
              </w:rPr>
              <w:t>ź</w:t>
            </w:r>
            <w:r w:rsidR="00004298" w:rsidRPr="0067393E">
              <w:rPr>
                <w:rStyle w:val="Hipercze"/>
                <w:rFonts w:ascii="Lato" w:hAnsi="Lato"/>
                <w:sz w:val="19"/>
                <w:szCs w:val="19"/>
              </w:rPr>
              <w:t>nik N-1 dla systemu gazu zaazotowanego</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_Toc142469571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30</w:t>
            </w:r>
            <w:r w:rsidR="00004298" w:rsidRPr="0067393E">
              <w:rPr>
                <w:rFonts w:ascii="Lato" w:hAnsi="Lato"/>
                <w:webHidden/>
                <w:sz w:val="19"/>
                <w:szCs w:val="19"/>
              </w:rPr>
              <w:fldChar w:fldCharType="end"/>
            </w:r>
          </w:hyperlink>
        </w:p>
        <w:p w14:paraId="10ADA50E" w14:textId="320E8547"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72" w:history="1">
            <w:r w:rsidR="00004298" w:rsidRPr="0067393E">
              <w:rPr>
                <w:rStyle w:val="Hipercze"/>
                <w:rFonts w:ascii="Lato" w:hAnsi="Lato"/>
                <w:sz w:val="19"/>
                <w:szCs w:val="19"/>
              </w:rPr>
              <w:t>3.1.3.</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System gazu ziemnego Ls</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_Toc142469572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30</w:t>
            </w:r>
            <w:r w:rsidR="00004298" w:rsidRPr="0067393E">
              <w:rPr>
                <w:rFonts w:ascii="Lato" w:hAnsi="Lato"/>
                <w:webHidden/>
                <w:sz w:val="19"/>
                <w:szCs w:val="19"/>
              </w:rPr>
              <w:fldChar w:fldCharType="end"/>
            </w:r>
          </w:hyperlink>
        </w:p>
        <w:p w14:paraId="70A1B9F6" w14:textId="2DF5C3FE" w:rsidR="00004298" w:rsidRPr="0067393E" w:rsidRDefault="00000000">
          <w:pPr>
            <w:pStyle w:val="Spistreci2"/>
            <w:rPr>
              <w:rFonts w:eastAsiaTheme="minorEastAsia" w:cstheme="minorBidi"/>
              <w:smallCaps w:val="0"/>
              <w:kern w:val="2"/>
              <w:sz w:val="19"/>
              <w:szCs w:val="19"/>
              <w14:ligatures w14:val="standardContextual"/>
            </w:rPr>
          </w:pPr>
          <w:hyperlink w:anchor="_Toc142469573" w:history="1">
            <w:r w:rsidR="00004298" w:rsidRPr="0067393E">
              <w:rPr>
                <w:rStyle w:val="Hipercze"/>
                <w:sz w:val="19"/>
                <w:szCs w:val="19"/>
              </w:rPr>
              <w:t>3.2.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Zdolność przepływu w obu kierunkach</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_Toc142469573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31</w:t>
            </w:r>
            <w:r w:rsidR="00004298" w:rsidRPr="0067393E">
              <w:rPr>
                <w:webHidden/>
                <w:sz w:val="19"/>
                <w:szCs w:val="19"/>
              </w:rPr>
              <w:fldChar w:fldCharType="end"/>
            </w:r>
          </w:hyperlink>
        </w:p>
        <w:p w14:paraId="07681532" w14:textId="0E30D31C"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74" w:history="1">
            <w:r w:rsidR="00004298" w:rsidRPr="0067393E">
              <w:rPr>
                <w:rStyle w:val="Hipercze"/>
                <w:rFonts w:ascii="Lato" w:hAnsi="Lato"/>
                <w:sz w:val="19"/>
                <w:szCs w:val="19"/>
              </w:rPr>
              <w:t>4.</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Zgodność ze standardem w zakresie dostaw</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_Toc142469574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33</w:t>
            </w:r>
            <w:r w:rsidR="00004298" w:rsidRPr="0067393E">
              <w:rPr>
                <w:rFonts w:ascii="Lato" w:hAnsi="Lato"/>
                <w:webHidden/>
                <w:sz w:val="19"/>
                <w:szCs w:val="19"/>
              </w:rPr>
              <w:fldChar w:fldCharType="end"/>
            </w:r>
          </w:hyperlink>
        </w:p>
        <w:p w14:paraId="3F01D856" w14:textId="0EA5D684"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75" w:history="1">
            <w:r w:rsidR="00004298" w:rsidRPr="0067393E">
              <w:rPr>
                <w:rStyle w:val="Hipercze"/>
                <w:rFonts w:ascii="Lato" w:hAnsi="Lato"/>
                <w:sz w:val="19"/>
                <w:szCs w:val="19"/>
              </w:rPr>
              <w:t>5.</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Środki zapobiegawcze</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_Toc142469575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38</w:t>
            </w:r>
            <w:r w:rsidR="00004298" w:rsidRPr="0067393E">
              <w:rPr>
                <w:rFonts w:ascii="Lato" w:hAnsi="Lato"/>
                <w:webHidden/>
                <w:sz w:val="19"/>
                <w:szCs w:val="19"/>
              </w:rPr>
              <w:fldChar w:fldCharType="end"/>
            </w:r>
          </w:hyperlink>
        </w:p>
        <w:p w14:paraId="44D5256C" w14:textId="61D21476" w:rsidR="00004298" w:rsidRPr="0067393E" w:rsidRDefault="00000000">
          <w:pPr>
            <w:pStyle w:val="Spistreci2"/>
            <w:rPr>
              <w:rFonts w:eastAsiaTheme="minorEastAsia" w:cstheme="minorBidi"/>
              <w:smallCaps w:val="0"/>
              <w:kern w:val="2"/>
              <w:sz w:val="19"/>
              <w:szCs w:val="19"/>
              <w14:ligatures w14:val="standardContextual"/>
            </w:rPr>
          </w:pPr>
          <w:hyperlink w:anchor="_Toc142469576" w:history="1">
            <w:r w:rsidR="00004298" w:rsidRPr="0067393E">
              <w:rPr>
                <w:rStyle w:val="Hipercze"/>
                <w:sz w:val="19"/>
                <w:szCs w:val="19"/>
              </w:rPr>
              <w:t>5.1.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Środki rynkowe</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_Toc142469576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38</w:t>
            </w:r>
            <w:r w:rsidR="00004298" w:rsidRPr="0067393E">
              <w:rPr>
                <w:webHidden/>
                <w:sz w:val="19"/>
                <w:szCs w:val="19"/>
              </w:rPr>
              <w:fldChar w:fldCharType="end"/>
            </w:r>
          </w:hyperlink>
        </w:p>
        <w:p w14:paraId="40097355" w14:textId="52C2CF4B" w:rsidR="00004298" w:rsidRPr="0067393E" w:rsidRDefault="00000000">
          <w:pPr>
            <w:pStyle w:val="Spistreci2"/>
            <w:rPr>
              <w:rFonts w:eastAsiaTheme="minorEastAsia" w:cstheme="minorBidi"/>
              <w:smallCaps w:val="0"/>
              <w:kern w:val="2"/>
              <w:sz w:val="19"/>
              <w:szCs w:val="19"/>
              <w14:ligatures w14:val="standardContextual"/>
            </w:rPr>
          </w:pPr>
          <w:hyperlink w:anchor="_Toc142469577" w:history="1">
            <w:r w:rsidR="00004298" w:rsidRPr="0067393E">
              <w:rPr>
                <w:rStyle w:val="Hipercze"/>
                <w:sz w:val="19"/>
                <w:szCs w:val="19"/>
              </w:rPr>
              <w:t>5.2.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Środki nierynkowe</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_Toc142469577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39</w:t>
            </w:r>
            <w:r w:rsidR="00004298" w:rsidRPr="0067393E">
              <w:rPr>
                <w:webHidden/>
                <w:sz w:val="19"/>
                <w:szCs w:val="19"/>
              </w:rPr>
              <w:fldChar w:fldCharType="end"/>
            </w:r>
          </w:hyperlink>
        </w:p>
        <w:p w14:paraId="459A4837" w14:textId="44C5A261"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78" w:history="1">
            <w:r w:rsidR="00004298" w:rsidRPr="0067393E">
              <w:rPr>
                <w:rStyle w:val="Hipercze"/>
                <w:rFonts w:ascii="Lato" w:hAnsi="Lato"/>
                <w:sz w:val="19"/>
                <w:szCs w:val="19"/>
              </w:rPr>
              <w:t>6.</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Inne środki i obowiązki w zakresie bezpieczeństwa funkcjonowania systemu</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_Toc142469578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42</w:t>
            </w:r>
            <w:r w:rsidR="00004298" w:rsidRPr="0067393E">
              <w:rPr>
                <w:rFonts w:ascii="Lato" w:hAnsi="Lato"/>
                <w:webHidden/>
                <w:sz w:val="19"/>
                <w:szCs w:val="19"/>
              </w:rPr>
              <w:fldChar w:fldCharType="end"/>
            </w:r>
          </w:hyperlink>
        </w:p>
        <w:p w14:paraId="4AD132A2" w14:textId="4BE249C5" w:rsidR="00004298" w:rsidRPr="0067393E" w:rsidRDefault="00000000">
          <w:pPr>
            <w:pStyle w:val="Spistreci2"/>
            <w:rPr>
              <w:rFonts w:eastAsiaTheme="minorEastAsia" w:cstheme="minorBidi"/>
              <w:smallCaps w:val="0"/>
              <w:kern w:val="2"/>
              <w:sz w:val="19"/>
              <w:szCs w:val="19"/>
              <w14:ligatures w14:val="standardContextual"/>
            </w:rPr>
          </w:pPr>
          <w:hyperlink w:anchor="_Toc142469579" w:history="1">
            <w:r w:rsidR="00004298" w:rsidRPr="0067393E">
              <w:rPr>
                <w:rStyle w:val="Hipercze"/>
                <w:sz w:val="19"/>
                <w:szCs w:val="19"/>
              </w:rPr>
              <w:t>6.1.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Rola operatorów w zapewnieniu bezpieczeństwa dostaw gazu ziemnego</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_Toc142469579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42</w:t>
            </w:r>
            <w:r w:rsidR="00004298" w:rsidRPr="0067393E">
              <w:rPr>
                <w:webHidden/>
                <w:sz w:val="19"/>
                <w:szCs w:val="19"/>
              </w:rPr>
              <w:fldChar w:fldCharType="end"/>
            </w:r>
          </w:hyperlink>
        </w:p>
        <w:p w14:paraId="569043B9" w14:textId="62671635" w:rsidR="00004298" w:rsidRPr="0067393E" w:rsidRDefault="00000000">
          <w:pPr>
            <w:pStyle w:val="Spistreci2"/>
            <w:rPr>
              <w:rFonts w:eastAsiaTheme="minorEastAsia" w:cstheme="minorBidi"/>
              <w:smallCaps w:val="0"/>
              <w:kern w:val="2"/>
              <w:sz w:val="19"/>
              <w:szCs w:val="19"/>
              <w14:ligatures w14:val="standardContextual"/>
            </w:rPr>
          </w:pPr>
          <w:hyperlink w:anchor="_Toc142469580" w:history="1">
            <w:r w:rsidR="00004298" w:rsidRPr="0067393E">
              <w:rPr>
                <w:rStyle w:val="Hipercze"/>
                <w:sz w:val="19"/>
                <w:szCs w:val="19"/>
              </w:rPr>
              <w:t>6.2.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Zadania przedsiębiorstw energetycznych w zapewnianiu bezpieczeństwa dostaw gazu ziemnego</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_Toc142469580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43</w:t>
            </w:r>
            <w:r w:rsidR="00004298" w:rsidRPr="0067393E">
              <w:rPr>
                <w:webHidden/>
                <w:sz w:val="19"/>
                <w:szCs w:val="19"/>
              </w:rPr>
              <w:fldChar w:fldCharType="end"/>
            </w:r>
          </w:hyperlink>
        </w:p>
        <w:p w14:paraId="7782E5FF" w14:textId="50392C07"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81" w:history="1">
            <w:r w:rsidR="00004298" w:rsidRPr="0067393E">
              <w:rPr>
                <w:rStyle w:val="Hipercze"/>
                <w:rFonts w:ascii="Lato" w:hAnsi="Lato"/>
                <w:sz w:val="19"/>
                <w:szCs w:val="19"/>
              </w:rPr>
              <w:t>7.</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Projekty infrastrukturalne</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_Toc142469581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45</w:t>
            </w:r>
            <w:r w:rsidR="00004298" w:rsidRPr="0067393E">
              <w:rPr>
                <w:rFonts w:ascii="Lato" w:hAnsi="Lato"/>
                <w:webHidden/>
                <w:sz w:val="19"/>
                <w:szCs w:val="19"/>
              </w:rPr>
              <w:fldChar w:fldCharType="end"/>
            </w:r>
          </w:hyperlink>
        </w:p>
        <w:p w14:paraId="73BE6703" w14:textId="06CB0E58"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82" w:history="1">
            <w:r w:rsidR="00004298" w:rsidRPr="0067393E">
              <w:rPr>
                <w:rStyle w:val="Hipercze"/>
                <w:rFonts w:ascii="Lato" w:hAnsi="Lato"/>
                <w:sz w:val="19"/>
                <w:szCs w:val="19"/>
              </w:rPr>
              <w:t>8.</w:t>
            </w:r>
            <w:r w:rsidR="00004298" w:rsidRPr="0067393E">
              <w:rPr>
                <w:rFonts w:ascii="Lato" w:eastAsiaTheme="minorEastAsia" w:hAnsi="Lato" w:cstheme="minorBidi"/>
                <w:kern w:val="2"/>
                <w:sz w:val="19"/>
                <w:szCs w:val="19"/>
                <w14:ligatures w14:val="standardContextual"/>
              </w:rPr>
              <w:tab/>
            </w:r>
            <w:r w:rsidR="00004298" w:rsidRPr="0067393E">
              <w:rPr>
                <w:rStyle w:val="Hipercze"/>
                <w:rFonts w:ascii="Lato" w:hAnsi="Lato"/>
                <w:sz w:val="19"/>
                <w:szCs w:val="19"/>
              </w:rPr>
              <w:t>Obowiązki świadczenia usług użyteczności publicznej związane z bezpieczeństwem dostaw</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_Toc142469582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49</w:t>
            </w:r>
            <w:r w:rsidR="00004298" w:rsidRPr="0067393E">
              <w:rPr>
                <w:rFonts w:ascii="Lato" w:hAnsi="Lato"/>
                <w:webHidden/>
                <w:sz w:val="19"/>
                <w:szCs w:val="19"/>
              </w:rPr>
              <w:fldChar w:fldCharType="end"/>
            </w:r>
          </w:hyperlink>
        </w:p>
        <w:p w14:paraId="6A82D633" w14:textId="7D658BCA" w:rsidR="00004298" w:rsidRPr="0067393E" w:rsidRDefault="00000000">
          <w:pPr>
            <w:pStyle w:val="Spistreci2"/>
            <w:rPr>
              <w:rFonts w:eastAsiaTheme="minorEastAsia" w:cstheme="minorBidi"/>
              <w:smallCaps w:val="0"/>
              <w:kern w:val="2"/>
              <w:sz w:val="19"/>
              <w:szCs w:val="19"/>
              <w14:ligatures w14:val="standardContextual"/>
            </w:rPr>
          </w:pPr>
          <w:hyperlink w:anchor="_Toc142469583" w:history="1">
            <w:r w:rsidR="00004298" w:rsidRPr="0067393E">
              <w:rPr>
                <w:rStyle w:val="Hipercze"/>
                <w:sz w:val="19"/>
                <w:szCs w:val="19"/>
              </w:rPr>
              <w:t>8.1.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Ustawa – Prawo energetyczne</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_Toc142469583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49</w:t>
            </w:r>
            <w:r w:rsidR="00004298" w:rsidRPr="0067393E">
              <w:rPr>
                <w:webHidden/>
                <w:sz w:val="19"/>
                <w:szCs w:val="19"/>
              </w:rPr>
              <w:fldChar w:fldCharType="end"/>
            </w:r>
          </w:hyperlink>
        </w:p>
        <w:p w14:paraId="386042F6" w14:textId="044DA474" w:rsidR="00004298" w:rsidRPr="0067393E" w:rsidRDefault="00000000">
          <w:pPr>
            <w:pStyle w:val="Spistreci2"/>
            <w:rPr>
              <w:rFonts w:eastAsiaTheme="minorEastAsia" w:cstheme="minorBidi"/>
              <w:smallCaps w:val="0"/>
              <w:kern w:val="2"/>
              <w:sz w:val="19"/>
              <w:szCs w:val="19"/>
              <w14:ligatures w14:val="standardContextual"/>
            </w:rPr>
          </w:pPr>
          <w:hyperlink w:anchor="_Toc142469584" w:history="1">
            <w:r w:rsidR="00004298" w:rsidRPr="0067393E">
              <w:rPr>
                <w:rStyle w:val="Hipercze"/>
                <w:sz w:val="19"/>
                <w:szCs w:val="19"/>
              </w:rPr>
              <w:t>8.2.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Ustawa o zapasach</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_Toc142469584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50</w:t>
            </w:r>
            <w:r w:rsidR="00004298" w:rsidRPr="0067393E">
              <w:rPr>
                <w:webHidden/>
                <w:sz w:val="19"/>
                <w:szCs w:val="19"/>
              </w:rPr>
              <w:fldChar w:fldCharType="end"/>
            </w:r>
          </w:hyperlink>
        </w:p>
        <w:p w14:paraId="5FF5A870" w14:textId="776306B3"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85" w:history="1">
            <w:r w:rsidR="00004298" w:rsidRPr="0067393E">
              <w:rPr>
                <w:rStyle w:val="Hipercze"/>
                <w:rFonts w:ascii="Lato" w:hAnsi="Lato"/>
                <w:sz w:val="19"/>
                <w:szCs w:val="19"/>
              </w:rPr>
              <w:t>9.</w:t>
            </w:r>
            <w:r w:rsidR="00004298" w:rsidRPr="0067393E">
              <w:rPr>
                <w:rFonts w:ascii="Lato" w:eastAsiaTheme="minorEastAsia" w:hAnsi="Lato" w:cstheme="minorBidi"/>
                <w:kern w:val="2"/>
                <w:sz w:val="19"/>
                <w:szCs w:val="19"/>
                <w14:ligatures w14:val="standardContextual"/>
              </w:rPr>
              <w:tab/>
            </w:r>
            <w:r w:rsidR="0067393E" w:rsidRPr="0067393E">
              <w:rPr>
                <w:rFonts w:ascii="Lato" w:eastAsiaTheme="minorEastAsia" w:hAnsi="Lato" w:cstheme="minorBidi"/>
                <w:kern w:val="2"/>
                <w:sz w:val="19"/>
                <w:szCs w:val="19"/>
                <w14:ligatures w14:val="standardContextual"/>
              </w:rPr>
              <w:t xml:space="preserve"> </w:t>
            </w:r>
            <w:r w:rsidR="00004298" w:rsidRPr="0067393E">
              <w:rPr>
                <w:rStyle w:val="Hipercze"/>
                <w:rFonts w:ascii="Lato" w:hAnsi="Lato"/>
                <w:sz w:val="19"/>
                <w:szCs w:val="19"/>
              </w:rPr>
              <w:t>Konsultacje z zainteresowanymi stronami</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_Toc142469585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52</w:t>
            </w:r>
            <w:r w:rsidR="00004298" w:rsidRPr="0067393E">
              <w:rPr>
                <w:rFonts w:ascii="Lato" w:hAnsi="Lato"/>
                <w:webHidden/>
                <w:sz w:val="19"/>
                <w:szCs w:val="19"/>
              </w:rPr>
              <w:fldChar w:fldCharType="end"/>
            </w:r>
          </w:hyperlink>
        </w:p>
        <w:p w14:paraId="6E4BBF0E" w14:textId="39867C80"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86" w:history="1">
            <w:r w:rsidR="00004298" w:rsidRPr="0067393E">
              <w:rPr>
                <w:rStyle w:val="Hipercze"/>
                <w:rFonts w:ascii="Lato" w:hAnsi="Lato"/>
                <w:sz w:val="19"/>
                <w:szCs w:val="19"/>
              </w:rPr>
              <w:t>10.</w:t>
            </w:r>
            <w:r w:rsidR="0067393E" w:rsidRPr="0067393E">
              <w:rPr>
                <w:rStyle w:val="Hipercze"/>
                <w:rFonts w:ascii="Lato" w:hAnsi="Lato"/>
                <w:sz w:val="19"/>
                <w:szCs w:val="19"/>
              </w:rPr>
              <w:t xml:space="preserve"> </w:t>
            </w:r>
            <w:r w:rsidR="00004298" w:rsidRPr="0067393E">
              <w:rPr>
                <w:rStyle w:val="Hipercze"/>
                <w:rFonts w:ascii="Lato" w:hAnsi="Lato"/>
                <w:sz w:val="19"/>
                <w:szCs w:val="19"/>
              </w:rPr>
              <w:t>Wymiar regionalny – grupy ryzyka</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_Toc142469586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53</w:t>
            </w:r>
            <w:r w:rsidR="00004298" w:rsidRPr="0067393E">
              <w:rPr>
                <w:rFonts w:ascii="Lato" w:hAnsi="Lato"/>
                <w:webHidden/>
                <w:sz w:val="19"/>
                <w:szCs w:val="19"/>
              </w:rPr>
              <w:fldChar w:fldCharType="end"/>
            </w:r>
          </w:hyperlink>
        </w:p>
        <w:p w14:paraId="6AED6B47" w14:textId="7F0A358B" w:rsidR="00004298" w:rsidRPr="0067393E" w:rsidRDefault="00000000">
          <w:pPr>
            <w:pStyle w:val="Spistreci2"/>
            <w:rPr>
              <w:rFonts w:eastAsiaTheme="minorEastAsia" w:cstheme="minorBidi"/>
              <w:smallCaps w:val="0"/>
              <w:kern w:val="2"/>
              <w:sz w:val="19"/>
              <w:szCs w:val="19"/>
              <w14:ligatures w14:val="standardContextual"/>
            </w:rPr>
          </w:pPr>
          <w:hyperlink w:anchor="_Toc142469587" w:history="1">
            <w:r w:rsidR="00004298" w:rsidRPr="0067393E">
              <w:rPr>
                <w:rStyle w:val="Hipercze"/>
                <w:sz w:val="19"/>
                <w:szCs w:val="19"/>
              </w:rPr>
              <w:t>10.1.</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Środki przyjmowane w poszczególnych stanach kryzysowych</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_Toc142469587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53</w:t>
            </w:r>
            <w:r w:rsidR="00004298" w:rsidRPr="0067393E">
              <w:rPr>
                <w:webHidden/>
                <w:sz w:val="19"/>
                <w:szCs w:val="19"/>
              </w:rPr>
              <w:fldChar w:fldCharType="end"/>
            </w:r>
          </w:hyperlink>
        </w:p>
        <w:p w14:paraId="313971EA" w14:textId="4D9E5654" w:rsidR="00004298" w:rsidRPr="0067393E" w:rsidRDefault="00000000">
          <w:pPr>
            <w:pStyle w:val="Spistreci2"/>
            <w:rPr>
              <w:rFonts w:eastAsiaTheme="minorEastAsia" w:cstheme="minorBidi"/>
              <w:smallCaps w:val="0"/>
              <w:kern w:val="2"/>
              <w:sz w:val="19"/>
              <w:szCs w:val="19"/>
              <w14:ligatures w14:val="standardContextual"/>
            </w:rPr>
          </w:pPr>
          <w:hyperlink w:anchor="_Toc142469588" w:history="1">
            <w:r w:rsidR="00004298" w:rsidRPr="0067393E">
              <w:rPr>
                <w:rStyle w:val="Hipercze"/>
                <w:sz w:val="19"/>
                <w:szCs w:val="19"/>
              </w:rPr>
              <w:t>10.2.</w:t>
            </w:r>
            <w:r w:rsidR="00004298" w:rsidRPr="0067393E">
              <w:rPr>
                <w:rFonts w:eastAsiaTheme="minorEastAsia" w:cstheme="minorBidi"/>
                <w:smallCaps w:val="0"/>
                <w:kern w:val="2"/>
                <w:sz w:val="19"/>
                <w:szCs w:val="19"/>
                <w14:ligatures w14:val="standardContextual"/>
              </w:rPr>
              <w:tab/>
            </w:r>
            <w:r w:rsidR="00004298" w:rsidRPr="0067393E">
              <w:rPr>
                <w:rStyle w:val="Hipercze"/>
                <w:sz w:val="19"/>
                <w:szCs w:val="19"/>
              </w:rPr>
              <w:t>Współpraca w ramach grup ryzyka</w:t>
            </w:r>
            <w:r w:rsidR="00004298" w:rsidRPr="0067393E">
              <w:rPr>
                <w:webHidden/>
                <w:sz w:val="19"/>
                <w:szCs w:val="19"/>
              </w:rPr>
              <w:tab/>
            </w:r>
            <w:r w:rsidR="00004298" w:rsidRPr="0067393E">
              <w:rPr>
                <w:webHidden/>
                <w:sz w:val="19"/>
                <w:szCs w:val="19"/>
              </w:rPr>
              <w:fldChar w:fldCharType="begin"/>
            </w:r>
            <w:r w:rsidR="00004298" w:rsidRPr="0067393E">
              <w:rPr>
                <w:webHidden/>
                <w:sz w:val="19"/>
                <w:szCs w:val="19"/>
              </w:rPr>
              <w:instrText xml:space="preserve"> PAGEREF _Toc142469588 \h </w:instrText>
            </w:r>
            <w:r w:rsidR="00004298" w:rsidRPr="0067393E">
              <w:rPr>
                <w:webHidden/>
                <w:sz w:val="19"/>
                <w:szCs w:val="19"/>
              </w:rPr>
            </w:r>
            <w:r w:rsidR="00004298" w:rsidRPr="0067393E">
              <w:rPr>
                <w:webHidden/>
                <w:sz w:val="19"/>
                <w:szCs w:val="19"/>
              </w:rPr>
              <w:fldChar w:fldCharType="separate"/>
            </w:r>
            <w:r w:rsidR="00BB583E" w:rsidRPr="0067393E">
              <w:rPr>
                <w:webHidden/>
                <w:sz w:val="19"/>
                <w:szCs w:val="19"/>
              </w:rPr>
              <w:t>55</w:t>
            </w:r>
            <w:r w:rsidR="00004298" w:rsidRPr="0067393E">
              <w:rPr>
                <w:webHidden/>
                <w:sz w:val="19"/>
                <w:szCs w:val="19"/>
              </w:rPr>
              <w:fldChar w:fldCharType="end"/>
            </w:r>
          </w:hyperlink>
        </w:p>
        <w:p w14:paraId="03D3DFE0" w14:textId="3A51D009" w:rsidR="00004298" w:rsidRPr="0067393E" w:rsidRDefault="00000000">
          <w:pPr>
            <w:pStyle w:val="Spistreci3"/>
            <w:rPr>
              <w:rFonts w:ascii="Lato" w:eastAsiaTheme="minorEastAsia" w:hAnsi="Lato" w:cstheme="minorBidi"/>
              <w:iCs w:val="0"/>
              <w:kern w:val="2"/>
              <w:sz w:val="19"/>
              <w:szCs w:val="19"/>
              <w14:ligatures w14:val="standardContextual"/>
            </w:rPr>
          </w:pPr>
          <w:hyperlink w:anchor="_Toc142469589" w:history="1">
            <w:r w:rsidR="00004298" w:rsidRPr="0067393E">
              <w:rPr>
                <w:rStyle w:val="Hipercze"/>
                <w:rFonts w:ascii="Lato" w:hAnsi="Lato"/>
                <w:sz w:val="19"/>
                <w:szCs w:val="19"/>
              </w:rPr>
              <w:t>10.2.1.</w:t>
            </w:r>
            <w:r w:rsidR="00004298" w:rsidRPr="0067393E">
              <w:rPr>
                <w:rFonts w:ascii="Lato" w:eastAsiaTheme="minorEastAsia" w:hAnsi="Lato" w:cstheme="minorBidi"/>
                <w:iCs w:val="0"/>
                <w:kern w:val="2"/>
                <w:sz w:val="19"/>
                <w:szCs w:val="19"/>
                <w14:ligatures w14:val="standardContextual"/>
              </w:rPr>
              <w:tab/>
            </w:r>
            <w:r w:rsidR="00004298" w:rsidRPr="0067393E">
              <w:rPr>
                <w:rStyle w:val="Hipercze"/>
                <w:rFonts w:ascii="Lato" w:hAnsi="Lato"/>
                <w:sz w:val="19"/>
                <w:szCs w:val="19"/>
              </w:rPr>
              <w:t>Mechanizmy współpracy</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_Toc142469589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56</w:t>
            </w:r>
            <w:r w:rsidR="00004298" w:rsidRPr="0067393E">
              <w:rPr>
                <w:rFonts w:ascii="Lato" w:hAnsi="Lato"/>
                <w:webHidden/>
                <w:sz w:val="19"/>
                <w:szCs w:val="19"/>
              </w:rPr>
              <w:fldChar w:fldCharType="end"/>
            </w:r>
          </w:hyperlink>
        </w:p>
        <w:p w14:paraId="72403AE3" w14:textId="6667DC97" w:rsidR="00004298" w:rsidRPr="0067393E" w:rsidRDefault="00000000" w:rsidP="00BB583E">
          <w:pPr>
            <w:pStyle w:val="Spistreci1"/>
            <w:rPr>
              <w:rFonts w:ascii="Lato" w:eastAsiaTheme="minorEastAsia" w:hAnsi="Lato" w:cstheme="minorBidi"/>
              <w:kern w:val="2"/>
              <w:sz w:val="19"/>
              <w:szCs w:val="19"/>
              <w14:ligatures w14:val="standardContextual"/>
            </w:rPr>
          </w:pPr>
          <w:hyperlink w:anchor="_Toc142469590" w:history="1">
            <w:r w:rsidR="00004298" w:rsidRPr="0067393E">
              <w:rPr>
                <w:rStyle w:val="Hipercze"/>
                <w:rFonts w:ascii="Lato" w:hAnsi="Lato"/>
                <w:sz w:val="19"/>
                <w:szCs w:val="19"/>
              </w:rPr>
              <w:t>11.</w:t>
            </w:r>
            <w:r w:rsidR="0067393E" w:rsidRPr="0067393E">
              <w:rPr>
                <w:rFonts w:ascii="Lato" w:eastAsiaTheme="minorEastAsia" w:hAnsi="Lato" w:cstheme="minorBidi"/>
                <w:kern w:val="2"/>
                <w:sz w:val="19"/>
                <w:szCs w:val="19"/>
                <w14:ligatures w14:val="standardContextual"/>
              </w:rPr>
              <w:t xml:space="preserve"> </w:t>
            </w:r>
            <w:r w:rsidR="00004298" w:rsidRPr="0067393E">
              <w:rPr>
                <w:rStyle w:val="Hipercze"/>
                <w:rFonts w:ascii="Lato" w:hAnsi="Lato"/>
                <w:sz w:val="19"/>
                <w:szCs w:val="19"/>
              </w:rPr>
              <w:t>Sprawozdawczość</w:t>
            </w:r>
            <w:r w:rsidR="00004298" w:rsidRPr="0067393E">
              <w:rPr>
                <w:rFonts w:ascii="Lato" w:hAnsi="Lato"/>
                <w:webHidden/>
                <w:sz w:val="19"/>
                <w:szCs w:val="19"/>
              </w:rPr>
              <w:tab/>
            </w:r>
            <w:r w:rsidR="00004298" w:rsidRPr="0067393E">
              <w:rPr>
                <w:rFonts w:ascii="Lato" w:hAnsi="Lato"/>
                <w:webHidden/>
                <w:sz w:val="19"/>
                <w:szCs w:val="19"/>
              </w:rPr>
              <w:fldChar w:fldCharType="begin"/>
            </w:r>
            <w:r w:rsidR="00004298" w:rsidRPr="0067393E">
              <w:rPr>
                <w:rFonts w:ascii="Lato" w:hAnsi="Lato"/>
                <w:webHidden/>
                <w:sz w:val="19"/>
                <w:szCs w:val="19"/>
              </w:rPr>
              <w:instrText xml:space="preserve"> PAGEREF _Toc142469590 \h </w:instrText>
            </w:r>
            <w:r w:rsidR="00004298" w:rsidRPr="0067393E">
              <w:rPr>
                <w:rFonts w:ascii="Lato" w:hAnsi="Lato"/>
                <w:webHidden/>
                <w:sz w:val="19"/>
                <w:szCs w:val="19"/>
              </w:rPr>
            </w:r>
            <w:r w:rsidR="00004298" w:rsidRPr="0067393E">
              <w:rPr>
                <w:rFonts w:ascii="Lato" w:hAnsi="Lato"/>
                <w:webHidden/>
                <w:sz w:val="19"/>
                <w:szCs w:val="19"/>
              </w:rPr>
              <w:fldChar w:fldCharType="separate"/>
            </w:r>
            <w:r w:rsidR="00BB583E" w:rsidRPr="0067393E">
              <w:rPr>
                <w:rFonts w:ascii="Lato" w:hAnsi="Lato"/>
                <w:webHidden/>
                <w:sz w:val="19"/>
                <w:szCs w:val="19"/>
              </w:rPr>
              <w:t>57</w:t>
            </w:r>
            <w:r w:rsidR="00004298" w:rsidRPr="0067393E">
              <w:rPr>
                <w:rFonts w:ascii="Lato" w:hAnsi="Lato"/>
                <w:webHidden/>
                <w:sz w:val="19"/>
                <w:szCs w:val="19"/>
              </w:rPr>
              <w:fldChar w:fldCharType="end"/>
            </w:r>
          </w:hyperlink>
        </w:p>
        <w:p w14:paraId="0A03F1FD" w14:textId="251FFE3E" w:rsidR="00CE63C5" w:rsidRDefault="00C7771E" w:rsidP="00CE63C5">
          <w:pPr>
            <w:spacing w:after="240"/>
            <w:ind w:right="-142"/>
            <w:rPr>
              <w:rFonts w:ascii="Lato" w:hAnsi="Lato"/>
              <w:sz w:val="22"/>
              <w:szCs w:val="20"/>
            </w:rPr>
          </w:pPr>
          <w:r w:rsidRPr="00CE63C5">
            <w:rPr>
              <w:rFonts w:ascii="Lato" w:hAnsi="Lato"/>
              <w:bCs/>
              <w:sz w:val="18"/>
              <w:szCs w:val="18"/>
            </w:rPr>
            <w:fldChar w:fldCharType="end"/>
          </w:r>
        </w:p>
      </w:sdtContent>
    </w:sdt>
    <w:p w14:paraId="1C4C6FCB" w14:textId="165F4A65" w:rsidR="00B03DBA" w:rsidRPr="00381EF8" w:rsidRDefault="00C7771E" w:rsidP="00983C18">
      <w:pPr>
        <w:pStyle w:val="StandardowyTekst"/>
        <w:spacing w:after="240" w:line="276" w:lineRule="auto"/>
        <w:rPr>
          <w:rFonts w:ascii="Lato" w:eastAsia="Malgun Gothic" w:hAnsi="Lato"/>
          <w:b/>
          <w:sz w:val="24"/>
          <w:szCs w:val="24"/>
        </w:rPr>
      </w:pPr>
      <w:r w:rsidRPr="00381EF8">
        <w:rPr>
          <w:rFonts w:ascii="Lato" w:eastAsia="Malgun Gothic" w:hAnsi="Lato"/>
          <w:b/>
          <w:sz w:val="24"/>
          <w:szCs w:val="24"/>
        </w:rPr>
        <w:t>Skróty u</w:t>
      </w:r>
      <w:r w:rsidRPr="00381EF8">
        <w:rPr>
          <w:rFonts w:ascii="Lato" w:eastAsia="Malgun Gothic" w:hAnsi="Lato" w:cs="Calibri"/>
          <w:b/>
          <w:sz w:val="24"/>
          <w:szCs w:val="24"/>
        </w:rPr>
        <w:t>ż</w:t>
      </w:r>
      <w:r w:rsidRPr="00381EF8">
        <w:rPr>
          <w:rFonts w:ascii="Lato" w:eastAsia="Malgun Gothic" w:hAnsi="Lato"/>
          <w:b/>
          <w:sz w:val="24"/>
          <w:szCs w:val="24"/>
        </w:rPr>
        <w:t>ywane w tek</w:t>
      </w:r>
      <w:r w:rsidRPr="00381EF8">
        <w:rPr>
          <w:rFonts w:ascii="Lato" w:eastAsia="Malgun Gothic" w:hAnsi="Lato" w:cs="Calibri"/>
          <w:b/>
          <w:sz w:val="24"/>
          <w:szCs w:val="24"/>
        </w:rPr>
        <w:t>ś</w:t>
      </w:r>
      <w:r w:rsidRPr="00381EF8">
        <w:rPr>
          <w:rFonts w:ascii="Lato" w:eastAsia="Malgun Gothic" w:hAnsi="Lato"/>
          <w:b/>
          <w:sz w:val="24"/>
          <w:szCs w:val="24"/>
        </w:rPr>
        <w:t>cie:</w:t>
      </w:r>
    </w:p>
    <w:p w14:paraId="3B699238" w14:textId="6A61E4AF" w:rsidR="00B03DBA" w:rsidRPr="00381EF8" w:rsidRDefault="00C7771E" w:rsidP="00983C18">
      <w:pPr>
        <w:spacing w:after="0" w:line="276" w:lineRule="auto"/>
        <w:ind w:left="2836" w:hanging="2835"/>
        <w:rPr>
          <w:rFonts w:ascii="Lato" w:eastAsia="Malgun Gothic" w:hAnsi="Lato"/>
          <w:sz w:val="22"/>
        </w:rPr>
      </w:pPr>
      <w:r w:rsidRPr="00381EF8">
        <w:rPr>
          <w:rFonts w:ascii="Lato" w:eastAsia="Malgun Gothic" w:hAnsi="Lato"/>
          <w:sz w:val="22"/>
        </w:rPr>
        <w:lastRenderedPageBreak/>
        <w:t>EFTA</w:t>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Europejskie Porozumienie o Wolnym Handlu</w:t>
      </w:r>
    </w:p>
    <w:p w14:paraId="5C1B2F28" w14:textId="31D40955" w:rsidR="00B03DBA" w:rsidRPr="00381EF8" w:rsidRDefault="00C7771E" w:rsidP="00983C18">
      <w:pPr>
        <w:spacing w:after="0" w:line="276" w:lineRule="auto"/>
        <w:ind w:left="2836" w:hanging="2835"/>
        <w:rPr>
          <w:rFonts w:ascii="Lato" w:eastAsia="Malgun Gothic" w:hAnsi="Lato"/>
          <w:sz w:val="22"/>
        </w:rPr>
      </w:pPr>
      <w:r w:rsidRPr="00381EF8">
        <w:rPr>
          <w:rFonts w:ascii="Lato" w:eastAsia="Malgun Gothic" w:hAnsi="Lato"/>
          <w:sz w:val="22"/>
        </w:rPr>
        <w:t>GIM</w:t>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grupa instalacji magazynowych</w:t>
      </w:r>
    </w:p>
    <w:p w14:paraId="19ECEFF2" w14:textId="580E1275"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KE</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Komisja Europejska</w:t>
      </w:r>
    </w:p>
    <w:p w14:paraId="31BDC54C" w14:textId="5FD72AE0"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KPMG</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kawernowy podziemny magazyn gazu</w:t>
      </w:r>
    </w:p>
    <w:p w14:paraId="5846B8CB" w14:textId="3E87E2BB"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LNG</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skroplony gaz ziemny</w:t>
      </w:r>
      <w:r w:rsidRPr="00381EF8">
        <w:rPr>
          <w:rFonts w:ascii="Lato" w:eastAsia="Malgun Gothic" w:hAnsi="Lato"/>
          <w:i/>
          <w:sz w:val="22"/>
        </w:rPr>
        <w:t xml:space="preserve"> </w:t>
      </w:r>
      <w:r w:rsidRPr="00381EF8">
        <w:rPr>
          <w:rFonts w:ascii="Lato" w:eastAsia="Malgun Gothic" w:hAnsi="Lato"/>
          <w:sz w:val="22"/>
        </w:rPr>
        <w:t>(</w:t>
      </w:r>
      <w:r w:rsidRPr="00381EF8">
        <w:rPr>
          <w:rFonts w:ascii="Lato" w:eastAsia="Malgun Gothic" w:hAnsi="Lato"/>
          <w:i/>
          <w:sz w:val="22"/>
        </w:rPr>
        <w:t>Liquefied Natural Gas</w:t>
      </w:r>
      <w:r w:rsidRPr="00381EF8">
        <w:rPr>
          <w:rFonts w:ascii="Lato" w:eastAsia="Malgun Gothic" w:hAnsi="Lato"/>
          <w:sz w:val="22"/>
        </w:rPr>
        <w:t>)</w:t>
      </w:r>
    </w:p>
    <w:p w14:paraId="2C2C28D3" w14:textId="0BF65813"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 xml:space="preserve">OGP Gaz-System S.A. </w:t>
      </w:r>
      <w:r>
        <w:tab/>
      </w:r>
      <w:r w:rsidR="006031E8">
        <w:tab/>
      </w:r>
      <w:r w:rsidR="004A3020">
        <w:tab/>
      </w:r>
      <w:r w:rsidRPr="00381EF8">
        <w:rPr>
          <w:rFonts w:ascii="Lato" w:eastAsia="Malgun Gothic" w:hAnsi="Lato"/>
          <w:sz w:val="22"/>
        </w:rPr>
        <w:t>- Operator Gazoci</w:t>
      </w:r>
      <w:r w:rsidRPr="00381EF8">
        <w:rPr>
          <w:rFonts w:ascii="Lato" w:eastAsia="Malgun Gothic" w:hAnsi="Lato" w:cs="Calibri"/>
          <w:sz w:val="22"/>
        </w:rPr>
        <w:t>ą</w:t>
      </w:r>
      <w:r w:rsidRPr="00381EF8">
        <w:rPr>
          <w:rFonts w:ascii="Lato" w:eastAsia="Malgun Gothic" w:hAnsi="Lato"/>
          <w:sz w:val="22"/>
        </w:rPr>
        <w:t>g</w:t>
      </w:r>
      <w:r w:rsidRPr="00381EF8">
        <w:rPr>
          <w:rFonts w:ascii="Lato" w:eastAsia="Malgun Gothic" w:hAnsi="Lato" w:cs="Malgun Gothic"/>
          <w:sz w:val="22"/>
        </w:rPr>
        <w:t>ó</w:t>
      </w:r>
      <w:r w:rsidRPr="00381EF8">
        <w:rPr>
          <w:rFonts w:ascii="Lato" w:eastAsia="Malgun Gothic" w:hAnsi="Lato"/>
          <w:sz w:val="22"/>
        </w:rPr>
        <w:t>w Przesy</w:t>
      </w:r>
      <w:r w:rsidRPr="00381EF8">
        <w:rPr>
          <w:rFonts w:ascii="Lato" w:eastAsia="Malgun Gothic" w:hAnsi="Lato" w:cs="Malgun Gothic"/>
          <w:sz w:val="22"/>
        </w:rPr>
        <w:t>ł</w:t>
      </w:r>
      <w:r w:rsidRPr="00381EF8">
        <w:rPr>
          <w:rFonts w:ascii="Lato" w:eastAsia="Malgun Gothic" w:hAnsi="Lato"/>
          <w:sz w:val="22"/>
        </w:rPr>
        <w:t>owych Gaz-System S.A.</w:t>
      </w:r>
    </w:p>
    <w:p w14:paraId="352701C4" w14:textId="3F88E548"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OSM</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operator systemu magazynowania</w:t>
      </w:r>
    </w:p>
    <w:p w14:paraId="347B913F" w14:textId="28733FB3"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OSP</w:t>
      </w:r>
      <w:r>
        <w:tab/>
      </w:r>
      <w:r>
        <w:tab/>
      </w:r>
      <w:r>
        <w:tab/>
      </w:r>
      <w:r>
        <w:tab/>
      </w:r>
      <w:r w:rsidR="006031E8">
        <w:tab/>
      </w:r>
      <w:r w:rsidRPr="00381EF8">
        <w:rPr>
          <w:rFonts w:ascii="Lato" w:eastAsia="Malgun Gothic" w:hAnsi="Lato"/>
          <w:sz w:val="22"/>
        </w:rPr>
        <w:t>- operator systemu przesyłowego</w:t>
      </w:r>
      <w:r w:rsidR="00B20392" w:rsidRPr="00381EF8">
        <w:rPr>
          <w:rFonts w:ascii="Lato" w:eastAsia="Malgun Gothic" w:hAnsi="Lato"/>
          <w:sz w:val="22"/>
        </w:rPr>
        <w:t xml:space="preserve"> gazowego</w:t>
      </w:r>
    </w:p>
    <w:p w14:paraId="445C1373" w14:textId="2AF90748" w:rsidR="00B20392" w:rsidRPr="00381EF8" w:rsidRDefault="00B20392" w:rsidP="00983C18">
      <w:pPr>
        <w:spacing w:after="0" w:line="276" w:lineRule="auto"/>
        <w:rPr>
          <w:rFonts w:ascii="Lato" w:eastAsia="Malgun Gothic" w:hAnsi="Lato"/>
          <w:sz w:val="22"/>
        </w:rPr>
      </w:pPr>
      <w:r w:rsidRPr="00381EF8">
        <w:rPr>
          <w:rFonts w:ascii="Lato" w:eastAsia="Malgun Gothic" w:hAnsi="Lato"/>
          <w:sz w:val="22"/>
        </w:rPr>
        <w:t xml:space="preserve">OSD </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operator systemu dystrybucyjnego gazowego</w:t>
      </w:r>
    </w:p>
    <w:p w14:paraId="037FFDF3" w14:textId="21E4B627" w:rsidR="00B03DBA" w:rsidRPr="00381EF8" w:rsidRDefault="00C7771E" w:rsidP="00983C18">
      <w:pPr>
        <w:spacing w:after="0" w:line="276" w:lineRule="auto"/>
        <w:ind w:left="3540" w:hanging="3540"/>
        <w:rPr>
          <w:rFonts w:ascii="Lato" w:eastAsia="Malgun Gothic" w:hAnsi="Lato"/>
          <w:sz w:val="22"/>
        </w:rPr>
      </w:pPr>
      <w:r w:rsidRPr="00381EF8">
        <w:rPr>
          <w:rFonts w:ascii="Lato" w:eastAsia="Malgun Gothic" w:hAnsi="Lato"/>
          <w:sz w:val="22"/>
        </w:rPr>
        <w:t>PGNiG S.A.</w:t>
      </w:r>
      <w:r w:rsidRPr="00381EF8">
        <w:rPr>
          <w:rFonts w:ascii="Lato" w:eastAsia="Malgun Gothic" w:hAnsi="Lato"/>
          <w:sz w:val="22"/>
        </w:rPr>
        <w:tab/>
        <w:t>-</w:t>
      </w:r>
      <w:r w:rsidR="006031E8" w:rsidRPr="00381EF8">
        <w:rPr>
          <w:rFonts w:ascii="Lato" w:eastAsia="Malgun Gothic" w:hAnsi="Lato"/>
          <w:sz w:val="22"/>
        </w:rPr>
        <w:t xml:space="preserve"> </w:t>
      </w:r>
      <w:r w:rsidRPr="00381EF8">
        <w:rPr>
          <w:rFonts w:ascii="Lato" w:eastAsia="Malgun Gothic" w:hAnsi="Lato"/>
          <w:sz w:val="22"/>
        </w:rPr>
        <w:t>Polskie Górnictwo Naftowe i Gazownictwo S.A.</w:t>
      </w:r>
      <w:r w:rsidR="006031E8" w:rsidRPr="00381EF8">
        <w:rPr>
          <w:rFonts w:ascii="Lato" w:eastAsia="Malgun Gothic" w:hAnsi="Lato"/>
          <w:sz w:val="22"/>
        </w:rPr>
        <w:t xml:space="preserve"> </w:t>
      </w:r>
      <w:r w:rsidR="004F42B0" w:rsidRPr="00381EF8">
        <w:rPr>
          <w:rFonts w:ascii="Lato" w:eastAsia="Malgun Gothic" w:hAnsi="Lato"/>
          <w:sz w:val="22"/>
        </w:rPr>
        <w:t>(obecnie Orlen S.A.)</w:t>
      </w:r>
      <w:r w:rsidR="004F42B0" w:rsidRPr="00381EF8">
        <w:rPr>
          <w:rStyle w:val="Odwoanieprzypisudolnego"/>
          <w:rFonts w:ascii="Lato" w:eastAsia="Malgun Gothic" w:hAnsi="Lato"/>
          <w:sz w:val="22"/>
        </w:rPr>
        <w:footnoteReference w:id="2"/>
      </w:r>
    </w:p>
    <w:p w14:paraId="603E0182" w14:textId="35B3C0E7"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PMG</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xml:space="preserve">- podziemny magazyn gazu </w:t>
      </w:r>
    </w:p>
    <w:p w14:paraId="45CCB4D7" w14:textId="71D1C6E4"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Prezes URE</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Prezes Urz</w:t>
      </w:r>
      <w:r w:rsidRPr="00381EF8">
        <w:rPr>
          <w:rFonts w:ascii="Lato" w:eastAsia="Malgun Gothic" w:hAnsi="Lato" w:cs="Calibri"/>
          <w:sz w:val="22"/>
        </w:rPr>
        <w:t>ę</w:t>
      </w:r>
      <w:r w:rsidRPr="00381EF8">
        <w:rPr>
          <w:rFonts w:ascii="Lato" w:eastAsia="Malgun Gothic" w:hAnsi="Lato"/>
          <w:sz w:val="22"/>
        </w:rPr>
        <w:t>du Regulacji Energetyki</w:t>
      </w:r>
    </w:p>
    <w:p w14:paraId="59426310" w14:textId="7DBE7984"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 xml:space="preserve">PSG </w:t>
      </w:r>
      <w:r w:rsidR="299916EA" w:rsidRPr="68937914">
        <w:rPr>
          <w:rFonts w:ascii="Lato" w:eastAsia="Malgun Gothic" w:hAnsi="Lato"/>
          <w:sz w:val="22"/>
        </w:rPr>
        <w:t>s</w:t>
      </w:r>
      <w:r w:rsidRPr="00381EF8">
        <w:rPr>
          <w:rFonts w:ascii="Lato" w:eastAsia="Malgun Gothic" w:hAnsi="Lato"/>
          <w:sz w:val="22"/>
        </w:rPr>
        <w:t>p. z o.o.</w:t>
      </w:r>
      <w:r>
        <w:tab/>
      </w:r>
      <w:r>
        <w:tab/>
      </w:r>
      <w:r>
        <w:tab/>
      </w:r>
      <w:r w:rsidR="00381EF8">
        <w:tab/>
      </w:r>
      <w:r w:rsidRPr="00381EF8">
        <w:rPr>
          <w:rFonts w:ascii="Lato" w:eastAsia="Malgun Gothic" w:hAnsi="Lato"/>
          <w:sz w:val="22"/>
        </w:rPr>
        <w:t xml:space="preserve">- Polska Spółka Gazownictwa </w:t>
      </w:r>
      <w:r w:rsidR="0609DCFD" w:rsidRPr="68937914">
        <w:rPr>
          <w:rFonts w:ascii="Lato" w:eastAsia="Malgun Gothic" w:hAnsi="Lato"/>
          <w:sz w:val="22"/>
        </w:rPr>
        <w:t>s</w:t>
      </w:r>
      <w:r w:rsidRPr="00381EF8">
        <w:rPr>
          <w:rFonts w:ascii="Lato" w:eastAsia="Malgun Gothic" w:hAnsi="Lato"/>
          <w:sz w:val="22"/>
        </w:rPr>
        <w:t>p. z o.o.</w:t>
      </w:r>
    </w:p>
    <w:p w14:paraId="62DF372D" w14:textId="763BB612"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PWP</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Punkt Wzajemnego Poł</w:t>
      </w:r>
      <w:r w:rsidRPr="00381EF8">
        <w:rPr>
          <w:rFonts w:ascii="Lato" w:eastAsia="Malgun Gothic" w:hAnsi="Lato" w:cs="Calibri"/>
          <w:sz w:val="22"/>
        </w:rPr>
        <w:t>ą</w:t>
      </w:r>
      <w:r w:rsidRPr="00381EF8">
        <w:rPr>
          <w:rFonts w:ascii="Lato" w:eastAsia="Malgun Gothic" w:hAnsi="Lato"/>
          <w:sz w:val="22"/>
        </w:rPr>
        <w:t>czenia</w:t>
      </w:r>
    </w:p>
    <w:p w14:paraId="28549570" w14:textId="649CDB31" w:rsidR="00B03DBA" w:rsidRPr="00381EF8" w:rsidRDefault="00C7771E" w:rsidP="00983C18">
      <w:pPr>
        <w:spacing w:after="0" w:line="276" w:lineRule="auto"/>
        <w:ind w:left="3540" w:hanging="3540"/>
        <w:rPr>
          <w:rFonts w:ascii="Lato" w:eastAsia="Malgun Gothic" w:hAnsi="Lato"/>
          <w:sz w:val="22"/>
        </w:rPr>
      </w:pPr>
      <w:r w:rsidRPr="00381EF8">
        <w:rPr>
          <w:rFonts w:ascii="Lato" w:eastAsia="Malgun Gothic" w:hAnsi="Lato"/>
          <w:sz w:val="22"/>
        </w:rPr>
        <w:t>rozporz</w:t>
      </w:r>
      <w:r w:rsidRPr="00381EF8">
        <w:rPr>
          <w:rFonts w:ascii="Lato" w:eastAsia="Malgun Gothic" w:hAnsi="Lato" w:cs="Calibri"/>
          <w:sz w:val="22"/>
        </w:rPr>
        <w:t>ą</w:t>
      </w:r>
      <w:r w:rsidRPr="00381EF8">
        <w:rPr>
          <w:rFonts w:ascii="Lato" w:eastAsia="Malgun Gothic" w:hAnsi="Lato"/>
          <w:sz w:val="22"/>
        </w:rPr>
        <w:t>dzenie 994/2010</w:t>
      </w:r>
      <w:r w:rsidRPr="00381EF8">
        <w:rPr>
          <w:rFonts w:ascii="Lato" w:eastAsia="Malgun Gothic" w:hAnsi="Lato"/>
          <w:sz w:val="22"/>
        </w:rPr>
        <w:tab/>
        <w:t>- rozporz</w:t>
      </w:r>
      <w:r w:rsidRPr="00381EF8">
        <w:rPr>
          <w:rFonts w:ascii="Lato" w:eastAsia="Malgun Gothic" w:hAnsi="Lato" w:cs="Calibri"/>
          <w:sz w:val="22"/>
        </w:rPr>
        <w:t>ą</w:t>
      </w:r>
      <w:r w:rsidRPr="00381EF8">
        <w:rPr>
          <w:rFonts w:ascii="Lato" w:eastAsia="Malgun Gothic" w:hAnsi="Lato"/>
          <w:sz w:val="22"/>
        </w:rPr>
        <w:t xml:space="preserve">dzenie Parlamentu Europejskiego i Rady UE </w:t>
      </w:r>
      <w:r w:rsidR="006031E8" w:rsidRPr="00381EF8">
        <w:rPr>
          <w:rFonts w:ascii="Lato" w:eastAsia="Malgun Gothic" w:hAnsi="Lato"/>
          <w:sz w:val="22"/>
        </w:rPr>
        <w:t>n</w:t>
      </w:r>
      <w:r w:rsidRPr="00381EF8">
        <w:rPr>
          <w:rFonts w:ascii="Lato" w:eastAsia="Malgun Gothic" w:hAnsi="Lato"/>
          <w:sz w:val="22"/>
        </w:rPr>
        <w:t>r 994/2010 z 20 pa</w:t>
      </w:r>
      <w:r w:rsidRPr="00381EF8">
        <w:rPr>
          <w:rFonts w:ascii="Lato" w:eastAsia="Malgun Gothic" w:hAnsi="Lato" w:cs="Calibri"/>
          <w:sz w:val="22"/>
        </w:rPr>
        <w:t>ź</w:t>
      </w:r>
      <w:r w:rsidRPr="00381EF8">
        <w:rPr>
          <w:rFonts w:ascii="Lato" w:eastAsia="Malgun Gothic" w:hAnsi="Lato"/>
          <w:sz w:val="22"/>
        </w:rPr>
        <w:t xml:space="preserve">dziernika 2010 r. </w:t>
      </w:r>
      <w:r w:rsidRPr="00381EF8">
        <w:rPr>
          <w:rFonts w:ascii="Lato" w:eastAsia="Malgun Gothic" w:hAnsi="Lato"/>
          <w:i/>
          <w:sz w:val="22"/>
        </w:rPr>
        <w:t xml:space="preserve">w sprawie </w:t>
      </w:r>
      <w:r w:rsidRPr="00381EF8">
        <w:rPr>
          <w:rFonts w:ascii="Lato" w:eastAsia="Malgun Gothic" w:hAnsi="Lato" w:cs="Calibri"/>
          <w:i/>
          <w:sz w:val="22"/>
        </w:rPr>
        <w:t>ś</w:t>
      </w:r>
      <w:r w:rsidRPr="00381EF8">
        <w:rPr>
          <w:rFonts w:ascii="Lato" w:eastAsia="Malgun Gothic" w:hAnsi="Lato"/>
          <w:i/>
          <w:sz w:val="22"/>
        </w:rPr>
        <w:t>rodk</w:t>
      </w:r>
      <w:r w:rsidRPr="00381EF8">
        <w:rPr>
          <w:rFonts w:ascii="Lato" w:eastAsia="Malgun Gothic" w:hAnsi="Lato" w:cs="Malgun Gothic"/>
          <w:i/>
          <w:sz w:val="22"/>
        </w:rPr>
        <w:t>ó</w:t>
      </w:r>
      <w:r w:rsidRPr="00381EF8">
        <w:rPr>
          <w:rFonts w:ascii="Lato" w:eastAsia="Malgun Gothic" w:hAnsi="Lato"/>
          <w:i/>
          <w:sz w:val="22"/>
        </w:rPr>
        <w:t>w zapewniaj</w:t>
      </w:r>
      <w:r w:rsidRPr="00381EF8">
        <w:rPr>
          <w:rFonts w:ascii="Lato" w:eastAsia="Malgun Gothic" w:hAnsi="Lato" w:cs="Calibri"/>
          <w:i/>
          <w:sz w:val="22"/>
        </w:rPr>
        <w:t>ą</w:t>
      </w:r>
      <w:r w:rsidRPr="00381EF8">
        <w:rPr>
          <w:rFonts w:ascii="Lato" w:eastAsia="Malgun Gothic" w:hAnsi="Lato"/>
          <w:i/>
          <w:sz w:val="22"/>
        </w:rPr>
        <w:t>cych bezpiecze</w:t>
      </w:r>
      <w:r w:rsidRPr="00381EF8">
        <w:rPr>
          <w:rFonts w:ascii="Lato" w:eastAsia="Malgun Gothic" w:hAnsi="Lato" w:cs="Calibri"/>
          <w:i/>
          <w:sz w:val="22"/>
        </w:rPr>
        <w:t>ń</w:t>
      </w:r>
      <w:r w:rsidRPr="00381EF8">
        <w:rPr>
          <w:rFonts w:ascii="Lato" w:eastAsia="Malgun Gothic" w:hAnsi="Lato"/>
          <w:i/>
          <w:sz w:val="22"/>
        </w:rPr>
        <w:t>stwo dostaw gazu ziemnego i uchylenia dyrektywy Rady 2004/67/WE</w:t>
      </w:r>
    </w:p>
    <w:p w14:paraId="4FF5A63B" w14:textId="23C9E2CD" w:rsidR="00B03DBA" w:rsidRPr="00381EF8" w:rsidRDefault="00C7771E" w:rsidP="00983C18">
      <w:pPr>
        <w:spacing w:after="0" w:line="276" w:lineRule="auto"/>
        <w:ind w:left="3540" w:hanging="3540"/>
        <w:rPr>
          <w:rFonts w:ascii="Lato" w:eastAsia="Malgun Gothic" w:hAnsi="Lato"/>
          <w:i/>
          <w:sz w:val="22"/>
        </w:rPr>
      </w:pPr>
      <w:r w:rsidRPr="00381EF8">
        <w:rPr>
          <w:rFonts w:ascii="Lato" w:eastAsia="Malgun Gothic" w:hAnsi="Lato"/>
          <w:sz w:val="22"/>
        </w:rPr>
        <w:t>rozporz</w:t>
      </w:r>
      <w:r w:rsidRPr="00381EF8">
        <w:rPr>
          <w:rFonts w:ascii="Lato" w:eastAsia="Malgun Gothic" w:hAnsi="Lato" w:cs="Calibri"/>
          <w:sz w:val="22"/>
        </w:rPr>
        <w:t>ą</w:t>
      </w:r>
      <w:r w:rsidRPr="00381EF8">
        <w:rPr>
          <w:rFonts w:ascii="Lato" w:eastAsia="Malgun Gothic" w:hAnsi="Lato"/>
          <w:sz w:val="22"/>
        </w:rPr>
        <w:t>dzenie 2017/1938</w:t>
      </w:r>
      <w:r w:rsidRPr="00381EF8">
        <w:rPr>
          <w:rFonts w:ascii="Lato" w:eastAsia="Malgun Gothic" w:hAnsi="Lato"/>
          <w:sz w:val="22"/>
        </w:rPr>
        <w:tab/>
      </w:r>
      <w:r w:rsidR="006031E8" w:rsidRPr="00381EF8">
        <w:rPr>
          <w:rFonts w:ascii="Lato" w:eastAsia="Malgun Gothic" w:hAnsi="Lato"/>
          <w:sz w:val="22"/>
        </w:rPr>
        <w:t xml:space="preserve">- </w:t>
      </w:r>
      <w:r w:rsidRPr="00381EF8">
        <w:rPr>
          <w:rFonts w:ascii="Lato" w:eastAsia="Malgun Gothic" w:hAnsi="Lato"/>
          <w:sz w:val="22"/>
        </w:rPr>
        <w:t>rozporz</w:t>
      </w:r>
      <w:r w:rsidRPr="00381EF8">
        <w:rPr>
          <w:rFonts w:ascii="Lato" w:eastAsia="Malgun Gothic" w:hAnsi="Lato" w:cs="Calibri"/>
          <w:sz w:val="22"/>
        </w:rPr>
        <w:t>ą</w:t>
      </w:r>
      <w:r w:rsidRPr="00381EF8">
        <w:rPr>
          <w:rFonts w:ascii="Lato" w:eastAsia="Malgun Gothic" w:hAnsi="Lato"/>
          <w:sz w:val="22"/>
        </w:rPr>
        <w:t>dzenie Parlamentu Europejskiego i Rady (UE) nr 2017/1938 z dnia 25 pa</w:t>
      </w:r>
      <w:r w:rsidRPr="00381EF8">
        <w:rPr>
          <w:rFonts w:ascii="Lato" w:eastAsia="Malgun Gothic" w:hAnsi="Lato" w:cs="Calibri"/>
          <w:sz w:val="22"/>
        </w:rPr>
        <w:t>ź</w:t>
      </w:r>
      <w:r w:rsidRPr="00381EF8">
        <w:rPr>
          <w:rFonts w:ascii="Lato" w:eastAsia="Malgun Gothic" w:hAnsi="Lato"/>
          <w:sz w:val="22"/>
        </w:rPr>
        <w:t xml:space="preserve">dziernika 2017 r. </w:t>
      </w:r>
      <w:r w:rsidRPr="00381EF8">
        <w:rPr>
          <w:rFonts w:ascii="Lato" w:eastAsia="Malgun Gothic" w:hAnsi="Lato"/>
          <w:i/>
          <w:sz w:val="22"/>
        </w:rPr>
        <w:t>dotycz</w:t>
      </w:r>
      <w:r w:rsidRPr="00381EF8">
        <w:rPr>
          <w:rFonts w:ascii="Lato" w:eastAsia="Malgun Gothic" w:hAnsi="Lato" w:cs="Calibri"/>
          <w:i/>
          <w:sz w:val="22"/>
        </w:rPr>
        <w:t>ą</w:t>
      </w:r>
      <w:r w:rsidRPr="00381EF8">
        <w:rPr>
          <w:rFonts w:ascii="Lato" w:eastAsia="Malgun Gothic" w:hAnsi="Lato"/>
          <w:i/>
          <w:sz w:val="22"/>
        </w:rPr>
        <w:t xml:space="preserve">ce  </w:t>
      </w:r>
      <w:r w:rsidRPr="00381EF8">
        <w:rPr>
          <w:rFonts w:ascii="Lato" w:eastAsia="Malgun Gothic" w:hAnsi="Lato" w:cs="Calibri"/>
          <w:i/>
          <w:sz w:val="22"/>
        </w:rPr>
        <w:t>ś</w:t>
      </w:r>
      <w:r w:rsidRPr="00381EF8">
        <w:rPr>
          <w:rFonts w:ascii="Lato" w:eastAsia="Malgun Gothic" w:hAnsi="Lato"/>
          <w:i/>
          <w:sz w:val="22"/>
        </w:rPr>
        <w:t>rodk</w:t>
      </w:r>
      <w:r w:rsidRPr="00381EF8">
        <w:rPr>
          <w:rFonts w:ascii="Lato" w:eastAsia="Malgun Gothic" w:hAnsi="Lato" w:cs="Malgun Gothic"/>
          <w:i/>
          <w:sz w:val="22"/>
        </w:rPr>
        <w:t>ó</w:t>
      </w:r>
      <w:r w:rsidRPr="00381EF8">
        <w:rPr>
          <w:rFonts w:ascii="Lato" w:eastAsia="Malgun Gothic" w:hAnsi="Lato"/>
          <w:i/>
          <w:sz w:val="22"/>
        </w:rPr>
        <w:t>w zapewniaj</w:t>
      </w:r>
      <w:r w:rsidRPr="00381EF8">
        <w:rPr>
          <w:rFonts w:ascii="Lato" w:eastAsia="Malgun Gothic" w:hAnsi="Lato" w:cs="Calibri"/>
          <w:i/>
          <w:sz w:val="22"/>
        </w:rPr>
        <w:t>ą</w:t>
      </w:r>
      <w:r w:rsidRPr="00381EF8">
        <w:rPr>
          <w:rFonts w:ascii="Lato" w:eastAsia="Malgun Gothic" w:hAnsi="Lato"/>
          <w:i/>
          <w:sz w:val="22"/>
        </w:rPr>
        <w:t>cych bezpiecze</w:t>
      </w:r>
      <w:r w:rsidRPr="00381EF8">
        <w:rPr>
          <w:rFonts w:ascii="Lato" w:eastAsia="Malgun Gothic" w:hAnsi="Lato" w:cs="Calibri"/>
          <w:i/>
          <w:sz w:val="22"/>
        </w:rPr>
        <w:t>ń</w:t>
      </w:r>
      <w:r w:rsidRPr="00381EF8">
        <w:rPr>
          <w:rFonts w:ascii="Lato" w:eastAsia="Malgun Gothic" w:hAnsi="Lato"/>
          <w:i/>
          <w:sz w:val="22"/>
        </w:rPr>
        <w:t>stwo dostaw gazu ziemnego i uchylaj</w:t>
      </w:r>
      <w:r w:rsidRPr="00381EF8">
        <w:rPr>
          <w:rFonts w:ascii="Lato" w:eastAsia="Malgun Gothic" w:hAnsi="Lato" w:cs="Calibri"/>
          <w:i/>
          <w:sz w:val="22"/>
        </w:rPr>
        <w:t>ą</w:t>
      </w:r>
      <w:r w:rsidRPr="00381EF8">
        <w:rPr>
          <w:rFonts w:ascii="Lato" w:eastAsia="Malgun Gothic" w:hAnsi="Lato"/>
          <w:i/>
          <w:sz w:val="22"/>
        </w:rPr>
        <w:t>ce rozporz</w:t>
      </w:r>
      <w:r w:rsidRPr="00381EF8">
        <w:rPr>
          <w:rFonts w:ascii="Lato" w:eastAsia="Malgun Gothic" w:hAnsi="Lato" w:cs="Calibri"/>
          <w:i/>
          <w:sz w:val="22"/>
        </w:rPr>
        <w:t>ą</w:t>
      </w:r>
      <w:r w:rsidRPr="00381EF8">
        <w:rPr>
          <w:rFonts w:ascii="Lato" w:eastAsia="Malgun Gothic" w:hAnsi="Lato"/>
          <w:i/>
          <w:sz w:val="22"/>
        </w:rPr>
        <w:t>dzenia (UE) nr 994/2010</w:t>
      </w:r>
    </w:p>
    <w:p w14:paraId="1DF6F649" w14:textId="0A47790E" w:rsidR="00B03DBA" w:rsidRPr="00381EF8" w:rsidRDefault="00C7771E" w:rsidP="00983C18">
      <w:pPr>
        <w:spacing w:after="0" w:line="276" w:lineRule="auto"/>
        <w:rPr>
          <w:rFonts w:ascii="Lato" w:hAnsi="Lato"/>
          <w:sz w:val="22"/>
        </w:rPr>
      </w:pPr>
      <w:r w:rsidRPr="00381EF8">
        <w:rPr>
          <w:rFonts w:ascii="Lato" w:hAnsi="Lato"/>
          <w:sz w:val="22"/>
        </w:rPr>
        <w:t>RP</w:t>
      </w:r>
      <w:r w:rsidRPr="00381EF8">
        <w:rPr>
          <w:rFonts w:ascii="Lato" w:hAnsi="Lato"/>
          <w:sz w:val="22"/>
        </w:rPr>
        <w:tab/>
      </w:r>
      <w:r w:rsidRPr="00381EF8">
        <w:rPr>
          <w:rFonts w:ascii="Lato" w:hAnsi="Lato"/>
          <w:sz w:val="22"/>
        </w:rPr>
        <w:tab/>
      </w:r>
      <w:r w:rsidRPr="00381EF8">
        <w:rPr>
          <w:rFonts w:ascii="Lato" w:hAnsi="Lato"/>
          <w:sz w:val="22"/>
        </w:rPr>
        <w:tab/>
      </w:r>
      <w:r w:rsidRPr="00381EF8">
        <w:rPr>
          <w:rFonts w:ascii="Lato" w:hAnsi="Lato"/>
          <w:sz w:val="22"/>
        </w:rPr>
        <w:tab/>
      </w:r>
      <w:r w:rsidR="006031E8" w:rsidRPr="00381EF8">
        <w:rPr>
          <w:rFonts w:ascii="Lato" w:hAnsi="Lato"/>
          <w:sz w:val="22"/>
        </w:rPr>
        <w:tab/>
      </w:r>
      <w:r w:rsidRPr="00381EF8">
        <w:rPr>
          <w:rFonts w:ascii="Lato" w:hAnsi="Lato"/>
          <w:sz w:val="22"/>
        </w:rPr>
        <w:t>- Rzeczpospolita Polska</w:t>
      </w:r>
    </w:p>
    <w:p w14:paraId="2653019F" w14:textId="220EE180"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SGT</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system gazoci</w:t>
      </w:r>
      <w:r w:rsidRPr="00381EF8">
        <w:rPr>
          <w:rFonts w:ascii="Lato" w:eastAsia="Malgun Gothic" w:hAnsi="Lato" w:cs="Calibri"/>
          <w:sz w:val="22"/>
        </w:rPr>
        <w:t>ą</w:t>
      </w:r>
      <w:r w:rsidRPr="00381EF8">
        <w:rPr>
          <w:rFonts w:ascii="Lato" w:eastAsia="Malgun Gothic" w:hAnsi="Lato"/>
          <w:sz w:val="22"/>
        </w:rPr>
        <w:t>g</w:t>
      </w:r>
      <w:r w:rsidRPr="00381EF8">
        <w:rPr>
          <w:rFonts w:ascii="Lato" w:eastAsia="Malgun Gothic" w:hAnsi="Lato" w:cs="Malgun Gothic"/>
          <w:sz w:val="22"/>
        </w:rPr>
        <w:t>ó</w:t>
      </w:r>
      <w:r w:rsidRPr="00381EF8">
        <w:rPr>
          <w:rFonts w:ascii="Lato" w:eastAsia="Malgun Gothic" w:hAnsi="Lato"/>
          <w:sz w:val="22"/>
        </w:rPr>
        <w:t>w tranzytowych</w:t>
      </w:r>
    </w:p>
    <w:p w14:paraId="597205F4" w14:textId="1701F4F0"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SGT EuRoPol GAZ S.A.</w:t>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System Gazoci</w:t>
      </w:r>
      <w:r w:rsidRPr="00381EF8">
        <w:rPr>
          <w:rFonts w:ascii="Lato" w:eastAsia="Malgun Gothic" w:hAnsi="Lato" w:cs="Calibri"/>
          <w:sz w:val="22"/>
        </w:rPr>
        <w:t>ą</w:t>
      </w:r>
      <w:r w:rsidRPr="00381EF8">
        <w:rPr>
          <w:rFonts w:ascii="Lato" w:eastAsia="Malgun Gothic" w:hAnsi="Lato"/>
          <w:sz w:val="22"/>
        </w:rPr>
        <w:t>g</w:t>
      </w:r>
      <w:r w:rsidRPr="00381EF8">
        <w:rPr>
          <w:rFonts w:ascii="Lato" w:eastAsia="Malgun Gothic" w:hAnsi="Lato" w:cs="Malgun Gothic"/>
          <w:sz w:val="22"/>
        </w:rPr>
        <w:t>ó</w:t>
      </w:r>
      <w:r w:rsidRPr="00381EF8">
        <w:rPr>
          <w:rFonts w:ascii="Lato" w:eastAsia="Malgun Gothic" w:hAnsi="Lato"/>
          <w:sz w:val="22"/>
        </w:rPr>
        <w:t>w Tranzytowych EuRoPol GAZ S.A.</w:t>
      </w:r>
    </w:p>
    <w:p w14:paraId="065B4FA4" w14:textId="363888D6" w:rsidR="00B03DBA" w:rsidRPr="00381EF8" w:rsidRDefault="00C7771E" w:rsidP="00983C18">
      <w:pPr>
        <w:spacing w:after="0" w:line="276" w:lineRule="auto"/>
        <w:rPr>
          <w:rFonts w:ascii="Lato" w:eastAsia="Malgun Gothic" w:hAnsi="Lato"/>
          <w:sz w:val="22"/>
        </w:rPr>
      </w:pPr>
      <w:r w:rsidRPr="00381EF8">
        <w:rPr>
          <w:rFonts w:ascii="Lato" w:eastAsia="Malgun Gothic" w:hAnsi="Lato"/>
          <w:sz w:val="22"/>
        </w:rPr>
        <w:t>UE</w:t>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Pr="00381EF8">
        <w:rPr>
          <w:rFonts w:ascii="Lato" w:eastAsia="Malgun Gothic" w:hAnsi="Lato"/>
          <w:sz w:val="22"/>
        </w:rPr>
        <w:tab/>
      </w:r>
      <w:r w:rsidR="006031E8" w:rsidRPr="00381EF8">
        <w:rPr>
          <w:rFonts w:ascii="Lato" w:eastAsia="Malgun Gothic" w:hAnsi="Lato"/>
          <w:sz w:val="22"/>
        </w:rPr>
        <w:tab/>
      </w:r>
      <w:r w:rsidRPr="00381EF8">
        <w:rPr>
          <w:rFonts w:ascii="Lato" w:eastAsia="Malgun Gothic" w:hAnsi="Lato"/>
          <w:sz w:val="22"/>
        </w:rPr>
        <w:t>- Unia Europejska</w:t>
      </w:r>
    </w:p>
    <w:p w14:paraId="3A4C8488" w14:textId="35A784BA" w:rsidR="00414233" w:rsidRPr="00381EF8" w:rsidRDefault="00C7771E" w:rsidP="00983C18">
      <w:pPr>
        <w:spacing w:after="0" w:line="276" w:lineRule="auto"/>
        <w:ind w:left="3540" w:hanging="3540"/>
        <w:rPr>
          <w:rFonts w:ascii="Lato" w:hAnsi="Lato"/>
          <w:b/>
          <w:sz w:val="22"/>
        </w:rPr>
      </w:pPr>
      <w:r w:rsidRPr="00381EF8">
        <w:rPr>
          <w:rFonts w:ascii="Lato" w:eastAsia="Malgun Gothic" w:hAnsi="Lato"/>
          <w:sz w:val="22"/>
        </w:rPr>
        <w:t>ustawa o zapasach</w:t>
      </w:r>
      <w:r w:rsidRPr="00381EF8">
        <w:rPr>
          <w:rFonts w:ascii="Lato" w:eastAsia="Malgun Gothic" w:hAnsi="Lato"/>
          <w:sz w:val="22"/>
        </w:rPr>
        <w:tab/>
        <w:t xml:space="preserve">- </w:t>
      </w:r>
      <w:r w:rsidRPr="00381EF8">
        <w:rPr>
          <w:rFonts w:ascii="Lato" w:hAnsi="Lato"/>
          <w:sz w:val="22"/>
        </w:rPr>
        <w:t xml:space="preserve">ustawa z dnia 16 lutego 2007 r. </w:t>
      </w:r>
      <w:r w:rsidRPr="00381EF8">
        <w:rPr>
          <w:rFonts w:ascii="Lato" w:hAnsi="Lato"/>
          <w:i/>
          <w:sz w:val="22"/>
        </w:rPr>
        <w:t>o zapasach ropy naftowej, produktów naftowych i gazu ziemnego oraz zasadach postępowania w sytuacjach zagrożenia bezpieczeństwa paliwowego państwa i zakłóceń na rynku naftowym</w:t>
      </w:r>
      <w:bookmarkStart w:id="0" w:name="_Toc12953891"/>
      <w:r w:rsidR="00414233" w:rsidRPr="00381EF8">
        <w:rPr>
          <w:rFonts w:ascii="Lato" w:hAnsi="Lato"/>
          <w:sz w:val="22"/>
        </w:rPr>
        <w:br w:type="page"/>
      </w:r>
    </w:p>
    <w:p w14:paraId="31A6691E" w14:textId="49BEDDB7" w:rsidR="00B03DBA" w:rsidRPr="006E0158" w:rsidRDefault="00C7771E" w:rsidP="00A41E5A">
      <w:pPr>
        <w:pStyle w:val="Rozdzia1"/>
        <w:numPr>
          <w:ilvl w:val="0"/>
          <w:numId w:val="0"/>
        </w:numPr>
        <w:ind w:left="360" w:hanging="360"/>
        <w:rPr>
          <w:rFonts w:ascii="Lato" w:hAnsi="Lato"/>
          <w:sz w:val="28"/>
          <w:szCs w:val="28"/>
        </w:rPr>
      </w:pPr>
      <w:bookmarkStart w:id="1" w:name="_Toc19782923"/>
      <w:bookmarkStart w:id="2" w:name="_Toc142469547"/>
      <w:r w:rsidRPr="006E0158">
        <w:rPr>
          <w:rFonts w:ascii="Lato" w:hAnsi="Lato"/>
          <w:sz w:val="28"/>
          <w:szCs w:val="28"/>
        </w:rPr>
        <w:lastRenderedPageBreak/>
        <w:t>Podsumowanie i wnioski</w:t>
      </w:r>
      <w:bookmarkEnd w:id="1"/>
      <w:bookmarkEnd w:id="2"/>
    </w:p>
    <w:p w14:paraId="408E3A55" w14:textId="298913CC" w:rsidR="00B03DBA" w:rsidRPr="00630443" w:rsidRDefault="007E38A1" w:rsidP="000A7C68">
      <w:pPr>
        <w:pStyle w:val="Tekstzwyky"/>
        <w:spacing w:after="60"/>
        <w:rPr>
          <w:rFonts w:ascii="Lato" w:hAnsi="Lato"/>
        </w:rPr>
      </w:pPr>
      <w:r>
        <w:rPr>
          <w:rFonts w:ascii="Lato" w:hAnsi="Lato"/>
        </w:rPr>
        <w:tab/>
      </w:r>
      <w:r w:rsidR="00C7771E" w:rsidRPr="00C758B1">
        <w:rPr>
          <w:rFonts w:ascii="Lato" w:hAnsi="Lato"/>
          <w:i/>
        </w:rPr>
        <w:t xml:space="preserve">Plan działań zapobiegawczych </w:t>
      </w:r>
      <w:r w:rsidR="00C7771E" w:rsidRPr="00C758B1">
        <w:rPr>
          <w:rFonts w:ascii="Lato" w:hAnsi="Lato"/>
          <w:spacing w:val="3"/>
        </w:rPr>
        <w:t>określa</w:t>
      </w:r>
      <w:r w:rsidR="00C7771E" w:rsidRPr="00C758B1">
        <w:rPr>
          <w:rFonts w:ascii="Lato" w:hAnsi="Lato"/>
        </w:rPr>
        <w:t xml:space="preserve"> środki mające na celu usunięcie lub złagodzenie ryzyka i </w:t>
      </w:r>
      <w:r w:rsidR="00C7771E" w:rsidRPr="00630443">
        <w:rPr>
          <w:rFonts w:ascii="Lato" w:hAnsi="Lato"/>
        </w:rPr>
        <w:t>zagrożeń w dostawach gazu ziemnego wysokometanowego.</w:t>
      </w:r>
      <w:r w:rsidR="003F0FCF" w:rsidRPr="00630443">
        <w:rPr>
          <w:rFonts w:ascii="Lato" w:hAnsi="Lato"/>
        </w:rPr>
        <w:t xml:space="preserve"> Plan charakteryzuje również </w:t>
      </w:r>
      <w:r w:rsidR="00C7771E" w:rsidRPr="00630443">
        <w:rPr>
          <w:rFonts w:ascii="Lato" w:hAnsi="Lato"/>
        </w:rPr>
        <w:t xml:space="preserve">zdolności Polski do dostarczania gazu ziemnego zgodnie </w:t>
      </w:r>
      <w:r w:rsidR="00EE3AAE" w:rsidRPr="00630443">
        <w:rPr>
          <w:rFonts w:ascii="Lato" w:hAnsi="Lato"/>
        </w:rPr>
        <w:t xml:space="preserve">ze standardami </w:t>
      </w:r>
      <w:r w:rsidR="00C7771E" w:rsidRPr="00630443">
        <w:rPr>
          <w:rFonts w:ascii="Lato" w:hAnsi="Lato"/>
        </w:rPr>
        <w:t>określonymi w rozporządzeniu</w:t>
      </w:r>
      <w:r w:rsidR="002135F1" w:rsidRPr="00630443">
        <w:rPr>
          <w:rFonts w:ascii="Lato" w:hAnsi="Lato"/>
        </w:rPr>
        <w:t xml:space="preserve"> </w:t>
      </w:r>
      <w:r w:rsidR="00630443" w:rsidRPr="00630443">
        <w:rPr>
          <w:rFonts w:ascii="Lato" w:eastAsia="Malgun Gothic" w:hAnsi="Lato"/>
        </w:rPr>
        <w:t>Parlamentu Europejskiego i Rady (UE) nr 2017/1938 z dnia 25 pa</w:t>
      </w:r>
      <w:r w:rsidR="00630443" w:rsidRPr="00630443">
        <w:rPr>
          <w:rFonts w:ascii="Lato" w:eastAsia="Malgun Gothic" w:hAnsi="Lato" w:cs="Calibri"/>
        </w:rPr>
        <w:t>ź</w:t>
      </w:r>
      <w:r w:rsidR="00630443" w:rsidRPr="00630443">
        <w:rPr>
          <w:rFonts w:ascii="Lato" w:eastAsia="Malgun Gothic" w:hAnsi="Lato"/>
        </w:rPr>
        <w:t xml:space="preserve">dziernika 2017 r. </w:t>
      </w:r>
      <w:r w:rsidR="00630443" w:rsidRPr="00630443">
        <w:rPr>
          <w:rFonts w:ascii="Lato" w:eastAsia="Malgun Gothic" w:hAnsi="Lato"/>
          <w:i/>
        </w:rPr>
        <w:t>dotycz</w:t>
      </w:r>
      <w:r w:rsidR="00630443" w:rsidRPr="00630443">
        <w:rPr>
          <w:rFonts w:ascii="Lato" w:eastAsia="Malgun Gothic" w:hAnsi="Lato" w:cs="Calibri"/>
          <w:i/>
        </w:rPr>
        <w:t>ą</w:t>
      </w:r>
      <w:r w:rsidR="00630443" w:rsidRPr="00630443">
        <w:rPr>
          <w:rFonts w:ascii="Lato" w:eastAsia="Malgun Gothic" w:hAnsi="Lato"/>
          <w:i/>
        </w:rPr>
        <w:t xml:space="preserve">cym </w:t>
      </w:r>
      <w:r w:rsidR="00630443" w:rsidRPr="00630443">
        <w:rPr>
          <w:rFonts w:ascii="Lato" w:eastAsia="Malgun Gothic" w:hAnsi="Lato" w:cs="Calibri"/>
          <w:i/>
        </w:rPr>
        <w:t>ś</w:t>
      </w:r>
      <w:r w:rsidR="00630443" w:rsidRPr="00630443">
        <w:rPr>
          <w:rFonts w:ascii="Lato" w:eastAsia="Malgun Gothic" w:hAnsi="Lato"/>
          <w:i/>
        </w:rPr>
        <w:t>rodk</w:t>
      </w:r>
      <w:r w:rsidR="00630443" w:rsidRPr="00630443">
        <w:rPr>
          <w:rFonts w:ascii="Lato" w:eastAsia="Malgun Gothic" w:hAnsi="Lato" w:cs="Malgun Gothic"/>
          <w:i/>
        </w:rPr>
        <w:t>ó</w:t>
      </w:r>
      <w:r w:rsidR="00630443" w:rsidRPr="00630443">
        <w:rPr>
          <w:rFonts w:ascii="Lato" w:eastAsia="Malgun Gothic" w:hAnsi="Lato"/>
          <w:i/>
        </w:rPr>
        <w:t>w zapewniaj</w:t>
      </w:r>
      <w:r w:rsidR="00630443" w:rsidRPr="00630443">
        <w:rPr>
          <w:rFonts w:ascii="Lato" w:eastAsia="Malgun Gothic" w:hAnsi="Lato" w:cs="Calibri"/>
          <w:i/>
        </w:rPr>
        <w:t>ą</w:t>
      </w:r>
      <w:r w:rsidR="00630443" w:rsidRPr="00630443">
        <w:rPr>
          <w:rFonts w:ascii="Lato" w:eastAsia="Malgun Gothic" w:hAnsi="Lato"/>
          <w:i/>
        </w:rPr>
        <w:t>cych bezpiecze</w:t>
      </w:r>
      <w:r w:rsidR="00630443" w:rsidRPr="00630443">
        <w:rPr>
          <w:rFonts w:ascii="Lato" w:eastAsia="Malgun Gothic" w:hAnsi="Lato" w:cs="Calibri"/>
          <w:i/>
        </w:rPr>
        <w:t>ń</w:t>
      </w:r>
      <w:r w:rsidR="00630443" w:rsidRPr="00630443">
        <w:rPr>
          <w:rFonts w:ascii="Lato" w:eastAsia="Malgun Gothic" w:hAnsi="Lato"/>
          <w:i/>
        </w:rPr>
        <w:t>stwo dostaw gazu ziemnego i uchylaj</w:t>
      </w:r>
      <w:r w:rsidR="00630443" w:rsidRPr="00630443">
        <w:rPr>
          <w:rFonts w:ascii="Lato" w:eastAsia="Malgun Gothic" w:hAnsi="Lato" w:cs="Calibri"/>
          <w:i/>
        </w:rPr>
        <w:t>ą</w:t>
      </w:r>
      <w:r w:rsidR="00630443" w:rsidRPr="00630443">
        <w:rPr>
          <w:rFonts w:ascii="Lato" w:eastAsia="Malgun Gothic" w:hAnsi="Lato"/>
          <w:i/>
        </w:rPr>
        <w:t>ce rozporz</w:t>
      </w:r>
      <w:r w:rsidR="00630443" w:rsidRPr="00630443">
        <w:rPr>
          <w:rFonts w:ascii="Lato" w:eastAsia="Malgun Gothic" w:hAnsi="Lato" w:cs="Calibri"/>
          <w:i/>
        </w:rPr>
        <w:t>ą</w:t>
      </w:r>
      <w:r w:rsidR="00630443" w:rsidRPr="00630443">
        <w:rPr>
          <w:rFonts w:ascii="Lato" w:eastAsia="Malgun Gothic" w:hAnsi="Lato"/>
          <w:i/>
        </w:rPr>
        <w:t xml:space="preserve">dzenia (UE) nr 994/2010 </w:t>
      </w:r>
      <w:r w:rsidR="00C7771E" w:rsidRPr="00630443">
        <w:rPr>
          <w:rFonts w:ascii="Lato" w:hAnsi="Lato"/>
        </w:rPr>
        <w:t>(tj. standardem w</w:t>
      </w:r>
      <w:r w:rsidR="00EE3AAE" w:rsidRPr="00630443">
        <w:rPr>
          <w:rFonts w:ascii="Lato" w:hAnsi="Lato"/>
        </w:rPr>
        <w:t xml:space="preserve"> </w:t>
      </w:r>
      <w:r w:rsidR="00C7771E" w:rsidRPr="00630443">
        <w:rPr>
          <w:rFonts w:ascii="Lato" w:hAnsi="Lato"/>
        </w:rPr>
        <w:t>zakresie infrastruktury oraz standardem w</w:t>
      </w:r>
      <w:r w:rsidR="00EE3AAE" w:rsidRPr="00630443">
        <w:rPr>
          <w:rFonts w:ascii="Lato" w:hAnsi="Lato"/>
        </w:rPr>
        <w:t xml:space="preserve"> </w:t>
      </w:r>
      <w:r w:rsidR="00C7771E" w:rsidRPr="00630443">
        <w:rPr>
          <w:rFonts w:ascii="Lato" w:hAnsi="Lato"/>
        </w:rPr>
        <w:t>zakresie dostaw).</w:t>
      </w:r>
    </w:p>
    <w:p w14:paraId="32E572AB" w14:textId="563EDD38" w:rsidR="00B03DBA" w:rsidRPr="003F0FCF" w:rsidRDefault="00C7771E" w:rsidP="000A7C68">
      <w:pPr>
        <w:pStyle w:val="Tekstzwyky"/>
        <w:spacing w:after="60"/>
        <w:rPr>
          <w:rFonts w:ascii="Lato" w:hAnsi="Lato"/>
        </w:rPr>
      </w:pPr>
      <w:r w:rsidRPr="00C758B1">
        <w:rPr>
          <w:rFonts w:ascii="Lato" w:hAnsi="Lato"/>
          <w:spacing w:val="3"/>
        </w:rPr>
        <w:tab/>
        <w:t>Standard w zakresie infrastruktury, określany przez tzw. wskaźnik N-1,</w:t>
      </w:r>
      <w:r w:rsidRPr="00C758B1">
        <w:rPr>
          <w:rFonts w:ascii="Lato" w:hAnsi="Lato"/>
        </w:rPr>
        <w:t xml:space="preserve"> opisuje zdolno</w:t>
      </w:r>
      <w:r w:rsidRPr="00C758B1">
        <w:rPr>
          <w:rFonts w:ascii="Lato" w:hAnsi="Lato" w:cs="Calibri"/>
        </w:rPr>
        <w:t>ść</w:t>
      </w:r>
      <w:r w:rsidRPr="00C758B1">
        <w:rPr>
          <w:rFonts w:ascii="Lato" w:hAnsi="Lato"/>
        </w:rPr>
        <w:t xml:space="preserve"> techniczn</w:t>
      </w:r>
      <w:r w:rsidRPr="00C758B1">
        <w:rPr>
          <w:rFonts w:ascii="Lato" w:hAnsi="Lato" w:cs="Calibri"/>
        </w:rPr>
        <w:t>ą</w:t>
      </w:r>
      <w:r w:rsidRPr="00C758B1">
        <w:rPr>
          <w:rFonts w:ascii="Lato" w:hAnsi="Lato"/>
        </w:rPr>
        <w:t xml:space="preserve"> infrastruktury gazowej do zaspokojenia ca</w:t>
      </w:r>
      <w:r w:rsidRPr="00C758B1">
        <w:rPr>
          <w:rFonts w:ascii="Lato" w:hAnsi="Lato" w:cs="Malgun Gothic"/>
        </w:rPr>
        <w:t>ł</w:t>
      </w:r>
      <w:r w:rsidRPr="00C758B1">
        <w:rPr>
          <w:rFonts w:ascii="Lato" w:hAnsi="Lato"/>
        </w:rPr>
        <w:t>kowitego zapotrzebowania na gaz ziemny na analizowanym</w:t>
      </w:r>
      <w:r w:rsidR="00630443" w:rsidRPr="00630443">
        <w:rPr>
          <w:rFonts w:ascii="Lato" w:hAnsi="Lato"/>
        </w:rPr>
        <w:t xml:space="preserve"> </w:t>
      </w:r>
      <w:r w:rsidR="00630443" w:rsidRPr="00C758B1">
        <w:rPr>
          <w:rFonts w:ascii="Lato" w:hAnsi="Lato"/>
        </w:rPr>
        <w:t>obszarze</w:t>
      </w:r>
      <w:r w:rsidRPr="00C758B1">
        <w:rPr>
          <w:rFonts w:ascii="Lato" w:hAnsi="Lato"/>
        </w:rPr>
        <w:t>, w przypadku zakłóce</w:t>
      </w:r>
      <w:r w:rsidRPr="00C758B1">
        <w:rPr>
          <w:rFonts w:ascii="Lato" w:hAnsi="Lato" w:cs="Calibri"/>
        </w:rPr>
        <w:t>ń</w:t>
      </w:r>
      <w:r w:rsidRPr="00C758B1">
        <w:rPr>
          <w:rFonts w:ascii="Lato" w:hAnsi="Lato"/>
        </w:rPr>
        <w:t xml:space="preserve"> w</w:t>
      </w:r>
      <w:r w:rsidRPr="00C758B1">
        <w:rPr>
          <w:rFonts w:ascii="Lato" w:hAnsi="Lato" w:cs="Malgun Gothic"/>
        </w:rPr>
        <w:t> </w:t>
      </w:r>
      <w:r w:rsidRPr="00C758B1">
        <w:rPr>
          <w:rFonts w:ascii="Lato" w:hAnsi="Lato"/>
        </w:rPr>
        <w:t>funkcjonowaniu najwi</w:t>
      </w:r>
      <w:r w:rsidRPr="00C758B1">
        <w:rPr>
          <w:rFonts w:ascii="Lato" w:hAnsi="Lato" w:cs="Calibri"/>
        </w:rPr>
        <w:t>ę</w:t>
      </w:r>
      <w:r w:rsidRPr="00C758B1">
        <w:rPr>
          <w:rFonts w:ascii="Lato" w:hAnsi="Lato"/>
        </w:rPr>
        <w:t>kszego pojedynczego elementu tej infrastruktury, w</w:t>
      </w:r>
      <w:r w:rsidR="003F0FCF">
        <w:rPr>
          <w:rFonts w:ascii="Lato" w:hAnsi="Lato"/>
        </w:rPr>
        <w:t xml:space="preserve"> </w:t>
      </w:r>
      <w:r w:rsidRPr="00C758B1">
        <w:rPr>
          <w:rFonts w:ascii="Lato" w:hAnsi="Lato"/>
        </w:rPr>
        <w:t>dniu nadzwyczajnie wysokiego zapotrzebowania, wyst</w:t>
      </w:r>
      <w:r w:rsidRPr="00C758B1">
        <w:rPr>
          <w:rFonts w:ascii="Lato" w:hAnsi="Lato" w:cs="Calibri"/>
        </w:rPr>
        <w:t>ę</w:t>
      </w:r>
      <w:r w:rsidRPr="00C758B1">
        <w:rPr>
          <w:rFonts w:ascii="Lato" w:hAnsi="Lato"/>
        </w:rPr>
        <w:t>puj</w:t>
      </w:r>
      <w:r w:rsidRPr="00C758B1">
        <w:rPr>
          <w:rFonts w:ascii="Lato" w:hAnsi="Lato" w:cs="Calibri"/>
        </w:rPr>
        <w:t>ą</w:t>
      </w:r>
      <w:r w:rsidRPr="00C758B1">
        <w:rPr>
          <w:rFonts w:ascii="Lato" w:hAnsi="Lato"/>
        </w:rPr>
        <w:t>cym statystycznie raz na 20 lat.</w:t>
      </w:r>
      <w:r w:rsidR="00630443">
        <w:rPr>
          <w:rFonts w:ascii="Lato" w:hAnsi="Lato"/>
        </w:rPr>
        <w:t xml:space="preserve"> </w:t>
      </w:r>
      <w:r w:rsidRPr="003F0FCF">
        <w:rPr>
          <w:rFonts w:ascii="Lato" w:hAnsi="Lato"/>
        </w:rPr>
        <w:t>Wskaźnik N-1 obliczony dla Polski, przy założeniu awarii</w:t>
      </w:r>
      <w:r w:rsidR="005537C3" w:rsidRPr="003F0FCF">
        <w:rPr>
          <w:rFonts w:ascii="Lato" w:hAnsi="Lato"/>
        </w:rPr>
        <w:t xml:space="preserve"> </w:t>
      </w:r>
      <w:r w:rsidR="00BA1A77" w:rsidRPr="00C758B1">
        <w:rPr>
          <w:rFonts w:ascii="Lato" w:hAnsi="Lato"/>
        </w:rPr>
        <w:t>największego pojedy</w:t>
      </w:r>
      <w:r w:rsidR="005F4549" w:rsidRPr="00C758B1">
        <w:rPr>
          <w:rFonts w:ascii="Lato" w:hAnsi="Lato"/>
        </w:rPr>
        <w:t>nczego elementu infrastruktury w systemie przesyłowym</w:t>
      </w:r>
      <w:r w:rsidR="003F0FCF">
        <w:rPr>
          <w:rFonts w:ascii="Lato" w:hAnsi="Lato"/>
        </w:rPr>
        <w:t>,</w:t>
      </w:r>
      <w:r w:rsidR="005F4549" w:rsidRPr="00C758B1">
        <w:rPr>
          <w:rFonts w:ascii="Lato" w:hAnsi="Lato"/>
        </w:rPr>
        <w:t xml:space="preserve"> wynosi</w:t>
      </w:r>
      <w:r w:rsidR="005537C3" w:rsidRPr="00C758B1">
        <w:rPr>
          <w:rFonts w:ascii="Lato" w:hAnsi="Lato"/>
        </w:rPr>
        <w:t xml:space="preserve"> 143,</w:t>
      </w:r>
      <w:r w:rsidR="006976B2" w:rsidRPr="00C758B1">
        <w:rPr>
          <w:rFonts w:ascii="Lato" w:hAnsi="Lato"/>
        </w:rPr>
        <w:t>8</w:t>
      </w:r>
      <w:r w:rsidRPr="003F0FCF">
        <w:rPr>
          <w:rFonts w:ascii="Lato" w:hAnsi="Lato"/>
        </w:rPr>
        <w:t>%. Przekroczenie przez wskaźnik N-1 wartości powyżej 100%</w:t>
      </w:r>
      <w:r w:rsidR="00630443">
        <w:rPr>
          <w:rFonts w:ascii="Lato" w:hAnsi="Lato"/>
        </w:rPr>
        <w:t xml:space="preserve"> </w:t>
      </w:r>
      <w:r w:rsidRPr="003F0FCF">
        <w:rPr>
          <w:rFonts w:ascii="Lato" w:hAnsi="Lato"/>
        </w:rPr>
        <w:t>oznacza, że</w:t>
      </w:r>
      <w:r w:rsidR="003F0FCF">
        <w:rPr>
          <w:rFonts w:ascii="Lato" w:hAnsi="Lato"/>
        </w:rPr>
        <w:t xml:space="preserve"> </w:t>
      </w:r>
      <w:r w:rsidRPr="003F0FCF">
        <w:rPr>
          <w:rFonts w:ascii="Lato" w:hAnsi="Lato"/>
        </w:rPr>
        <w:t>istniejąca infrastruktura gazowa pozwala na zabezpieczenie dostaw na potrzeby odbiorców nawet w przypadku awarii jej największego elementu.</w:t>
      </w:r>
    </w:p>
    <w:p w14:paraId="59A21241" w14:textId="77777777" w:rsidR="00630443" w:rsidRDefault="00C7771E" w:rsidP="000A7C68">
      <w:pPr>
        <w:pStyle w:val="Tekstzwyky"/>
        <w:spacing w:after="60"/>
        <w:rPr>
          <w:rFonts w:ascii="Lato" w:hAnsi="Lato"/>
        </w:rPr>
      </w:pPr>
      <w:r w:rsidRPr="00C758B1">
        <w:rPr>
          <w:rFonts w:ascii="Lato" w:hAnsi="Lato"/>
          <w:spacing w:val="3"/>
        </w:rPr>
        <w:tab/>
      </w:r>
      <w:r w:rsidR="005F4549" w:rsidRPr="00C758B1">
        <w:rPr>
          <w:rFonts w:ascii="Lato" w:hAnsi="Lato"/>
        </w:rPr>
        <w:t>I</w:t>
      </w:r>
      <w:r w:rsidRPr="00C758B1">
        <w:rPr>
          <w:rFonts w:ascii="Lato" w:hAnsi="Lato"/>
        </w:rPr>
        <w:t>lość gazu ziemnego potrzebnego do zapewnienia zgodności ze standardem w zakresie dostaw do odbiorców należących do grupy odbiorców chronionych, w czasie</w:t>
      </w:r>
      <w:r w:rsidR="003F0FCF">
        <w:rPr>
          <w:rFonts w:ascii="Lato" w:hAnsi="Lato"/>
        </w:rPr>
        <w:t xml:space="preserve"> </w:t>
      </w:r>
      <w:r w:rsidRPr="00C758B1">
        <w:rPr>
          <w:rFonts w:ascii="Lato" w:hAnsi="Lato"/>
        </w:rPr>
        <w:t>30</w:t>
      </w:r>
      <w:r w:rsidR="003F0FCF">
        <w:rPr>
          <w:rFonts w:ascii="Lato" w:hAnsi="Lato"/>
        </w:rPr>
        <w:t xml:space="preserve"> </w:t>
      </w:r>
      <w:r w:rsidRPr="00C758B1">
        <w:rPr>
          <w:rFonts w:ascii="Lato" w:hAnsi="Lato"/>
        </w:rPr>
        <w:t>dni</w:t>
      </w:r>
      <w:r w:rsidR="003F0FCF">
        <w:rPr>
          <w:rFonts w:ascii="Lato" w:hAnsi="Lato"/>
        </w:rPr>
        <w:t xml:space="preserve"> </w:t>
      </w:r>
      <w:r w:rsidRPr="00C758B1">
        <w:rPr>
          <w:rFonts w:ascii="Lato" w:hAnsi="Lato"/>
        </w:rPr>
        <w:t>nadzwyczajnie wysokiego zapotrzebowania na gaz ziemny</w:t>
      </w:r>
      <w:r w:rsidR="003F0FCF">
        <w:rPr>
          <w:rFonts w:ascii="Lato" w:hAnsi="Lato"/>
        </w:rPr>
        <w:t xml:space="preserve">, </w:t>
      </w:r>
      <w:r w:rsidRPr="00C758B1">
        <w:rPr>
          <w:rFonts w:ascii="Lato" w:hAnsi="Lato"/>
        </w:rPr>
        <w:t>z prawdopodobieństwem wystąpienia raz na 20 lat</w:t>
      </w:r>
      <w:r w:rsidR="003F0FCF">
        <w:rPr>
          <w:rFonts w:ascii="Lato" w:hAnsi="Lato"/>
        </w:rPr>
        <w:t>,</w:t>
      </w:r>
      <w:r w:rsidRPr="00C758B1">
        <w:rPr>
          <w:rFonts w:ascii="Lato" w:hAnsi="Lato"/>
          <w:spacing w:val="3"/>
        </w:rPr>
        <w:t xml:space="preserve"> </w:t>
      </w:r>
      <w:r w:rsidRPr="00C758B1">
        <w:rPr>
          <w:rFonts w:ascii="Lato" w:hAnsi="Lato"/>
        </w:rPr>
        <w:t>wynosi ok.</w:t>
      </w:r>
      <w:r w:rsidR="00D643E1" w:rsidRPr="00C758B1">
        <w:rPr>
          <w:rFonts w:ascii="Lato" w:hAnsi="Lato"/>
        </w:rPr>
        <w:t xml:space="preserve"> </w:t>
      </w:r>
      <w:r w:rsidR="00E0261B" w:rsidRPr="00C758B1">
        <w:rPr>
          <w:rFonts w:ascii="Lato" w:hAnsi="Lato"/>
        </w:rPr>
        <w:t>1 2</w:t>
      </w:r>
      <w:r w:rsidR="00C7584D" w:rsidRPr="00C758B1">
        <w:rPr>
          <w:rFonts w:ascii="Lato" w:hAnsi="Lato"/>
        </w:rPr>
        <w:t>26</w:t>
      </w:r>
      <w:r w:rsidR="00E0261B" w:rsidRPr="00C758B1">
        <w:rPr>
          <w:rFonts w:ascii="Lato" w:hAnsi="Lato"/>
        </w:rPr>
        <w:t>,</w:t>
      </w:r>
      <w:r w:rsidR="00C7584D" w:rsidRPr="00C758B1">
        <w:rPr>
          <w:rFonts w:ascii="Lato" w:hAnsi="Lato"/>
        </w:rPr>
        <w:t>8</w:t>
      </w:r>
      <w:r w:rsidR="00A22745" w:rsidRPr="00C758B1">
        <w:rPr>
          <w:rFonts w:ascii="Lato" w:hAnsi="Lato"/>
        </w:rPr>
        <w:t xml:space="preserve"> mln m</w:t>
      </w:r>
      <w:r w:rsidR="00A22745" w:rsidRPr="00C758B1">
        <w:rPr>
          <w:rFonts w:ascii="Lato" w:hAnsi="Lato"/>
          <w:vertAlign w:val="superscript"/>
        </w:rPr>
        <w:t>3</w:t>
      </w:r>
      <w:r w:rsidR="00A22745" w:rsidRPr="00C758B1">
        <w:rPr>
          <w:rFonts w:ascii="Lato" w:hAnsi="Lato"/>
        </w:rPr>
        <w:t xml:space="preserve"> (</w:t>
      </w:r>
      <w:r w:rsidR="0036571A" w:rsidRPr="00C758B1">
        <w:rPr>
          <w:rFonts w:ascii="Lato" w:hAnsi="Lato"/>
        </w:rPr>
        <w:t>13 387,5</w:t>
      </w:r>
      <w:r w:rsidR="00A22745" w:rsidRPr="00C758B1">
        <w:rPr>
          <w:rFonts w:ascii="Lato" w:hAnsi="Lato"/>
        </w:rPr>
        <w:t xml:space="preserve"> GWh).</w:t>
      </w:r>
      <w:r w:rsidRPr="00C758B1">
        <w:rPr>
          <w:rFonts w:ascii="Lato" w:hAnsi="Lato"/>
        </w:rPr>
        <w:t xml:space="preserve"> </w:t>
      </w:r>
    </w:p>
    <w:p w14:paraId="11396263" w14:textId="0F48B644" w:rsidR="00630443" w:rsidRPr="00630443" w:rsidRDefault="00630443" w:rsidP="000A7C68">
      <w:pPr>
        <w:pStyle w:val="Tekstzwyky"/>
        <w:spacing w:after="60"/>
        <w:rPr>
          <w:rFonts w:ascii="Lato" w:hAnsi="Lato"/>
        </w:rPr>
      </w:pPr>
      <w:r>
        <w:rPr>
          <w:rFonts w:ascii="Lato" w:hAnsi="Lato"/>
        </w:rPr>
        <w:tab/>
      </w:r>
      <w:r w:rsidRPr="00C758B1">
        <w:rPr>
          <w:rFonts w:ascii="Lato" w:hAnsi="Lato"/>
        </w:rPr>
        <w:t>Z uwagi na zasilanie systemu gazu zaazotowanego wył</w:t>
      </w:r>
      <w:r w:rsidRPr="00C758B1">
        <w:rPr>
          <w:rFonts w:ascii="Lato" w:hAnsi="Lato" w:cs="Calibri"/>
        </w:rPr>
        <w:t>ą</w:t>
      </w:r>
      <w:r w:rsidRPr="00C758B1">
        <w:rPr>
          <w:rFonts w:ascii="Lato" w:hAnsi="Lato"/>
        </w:rPr>
        <w:t xml:space="preserve">cznie z krajowych </w:t>
      </w:r>
      <w:r w:rsidRPr="00C758B1">
        <w:rPr>
          <w:rFonts w:ascii="Lato" w:hAnsi="Lato" w:cs="Calibri"/>
        </w:rPr>
        <w:t>ź</w:t>
      </w:r>
      <w:r w:rsidRPr="00C758B1">
        <w:rPr>
          <w:rFonts w:ascii="Lato" w:hAnsi="Lato"/>
        </w:rPr>
        <w:t>r</w:t>
      </w:r>
      <w:r w:rsidRPr="00C758B1">
        <w:rPr>
          <w:rFonts w:ascii="Lato" w:hAnsi="Lato" w:cs="Malgun Gothic"/>
        </w:rPr>
        <w:t>ó</w:t>
      </w:r>
      <w:r w:rsidRPr="00C758B1">
        <w:rPr>
          <w:rFonts w:ascii="Lato" w:hAnsi="Lato"/>
        </w:rPr>
        <w:t>de</w:t>
      </w:r>
      <w:r w:rsidRPr="00C758B1">
        <w:rPr>
          <w:rFonts w:ascii="Lato" w:hAnsi="Lato" w:cs="Malgun Gothic"/>
        </w:rPr>
        <w:t>ł</w:t>
      </w:r>
      <w:r w:rsidRPr="00C758B1">
        <w:rPr>
          <w:rFonts w:ascii="Lato" w:hAnsi="Lato"/>
        </w:rPr>
        <w:t xml:space="preserve"> (kopalni gazu) oraz rozproszony charakter wydobycia, ci</w:t>
      </w:r>
      <w:r w:rsidRPr="00C758B1">
        <w:rPr>
          <w:rFonts w:ascii="Lato" w:hAnsi="Lato" w:cs="Calibri"/>
        </w:rPr>
        <w:t>ą</w:t>
      </w:r>
      <w:r w:rsidRPr="00C758B1">
        <w:rPr>
          <w:rFonts w:ascii="Lato" w:hAnsi="Lato"/>
        </w:rPr>
        <w:t>g</w:t>
      </w:r>
      <w:r w:rsidRPr="00C758B1">
        <w:rPr>
          <w:rFonts w:ascii="Lato" w:hAnsi="Lato" w:cs="Malgun Gothic"/>
        </w:rPr>
        <w:t>ł</w:t>
      </w:r>
      <w:r w:rsidRPr="00C758B1">
        <w:rPr>
          <w:rFonts w:ascii="Lato" w:hAnsi="Lato"/>
        </w:rPr>
        <w:t>o</w:t>
      </w:r>
      <w:r w:rsidRPr="00C758B1">
        <w:rPr>
          <w:rFonts w:ascii="Lato" w:hAnsi="Lato" w:cs="Calibri"/>
        </w:rPr>
        <w:t>ść</w:t>
      </w:r>
      <w:r w:rsidRPr="00C758B1">
        <w:rPr>
          <w:rFonts w:ascii="Lato" w:hAnsi="Lato"/>
        </w:rPr>
        <w:t xml:space="preserve"> dostarczania gazu ziemnego do odbiorc</w:t>
      </w:r>
      <w:r w:rsidRPr="00C758B1">
        <w:rPr>
          <w:rFonts w:ascii="Lato" w:hAnsi="Lato" w:cs="Malgun Gothic"/>
        </w:rPr>
        <w:t>ó</w:t>
      </w:r>
      <w:r w:rsidRPr="00C758B1">
        <w:rPr>
          <w:rFonts w:ascii="Lato" w:hAnsi="Lato"/>
        </w:rPr>
        <w:t>w przy</w:t>
      </w:r>
      <w:r w:rsidRPr="00C758B1">
        <w:rPr>
          <w:rFonts w:ascii="Lato" w:hAnsi="Lato" w:cs="Malgun Gothic"/>
        </w:rPr>
        <w:t>ł</w:t>
      </w:r>
      <w:r w:rsidRPr="00C758B1">
        <w:rPr>
          <w:rFonts w:ascii="Lato" w:hAnsi="Lato" w:cs="Calibri"/>
        </w:rPr>
        <w:t>ą</w:t>
      </w:r>
      <w:r w:rsidRPr="00C758B1">
        <w:rPr>
          <w:rFonts w:ascii="Lato" w:hAnsi="Lato"/>
        </w:rPr>
        <w:t>czonych do tego systemu obarczona jest du</w:t>
      </w:r>
      <w:r w:rsidRPr="00C758B1">
        <w:rPr>
          <w:rFonts w:ascii="Lato" w:hAnsi="Lato" w:cs="Calibri"/>
        </w:rPr>
        <w:t>ż</w:t>
      </w:r>
      <w:r w:rsidRPr="00C758B1">
        <w:rPr>
          <w:rFonts w:ascii="Lato" w:hAnsi="Lato"/>
        </w:rPr>
        <w:t>o mniejszym ryzykiem ni</w:t>
      </w:r>
      <w:r w:rsidRPr="00C758B1">
        <w:rPr>
          <w:rFonts w:ascii="Lato" w:hAnsi="Lato" w:cs="Calibri"/>
        </w:rPr>
        <w:t>ż</w:t>
      </w:r>
      <w:r w:rsidRPr="00C758B1">
        <w:rPr>
          <w:rFonts w:ascii="Lato" w:hAnsi="Lato"/>
        </w:rPr>
        <w:t xml:space="preserve"> ma to miejsce w przypadku systemu gazu ziemnego wysokometanowego. Cz</w:t>
      </w:r>
      <w:r w:rsidRPr="00C758B1">
        <w:rPr>
          <w:rFonts w:ascii="Lato" w:hAnsi="Lato" w:cs="Calibri"/>
        </w:rPr>
        <w:t>ęść</w:t>
      </w:r>
      <w:r w:rsidRPr="00C758B1">
        <w:rPr>
          <w:rFonts w:ascii="Lato" w:hAnsi="Lato"/>
        </w:rPr>
        <w:t xml:space="preserve"> ryzyk istotnych dla systemu gazu ziemnego wysokometanowego nie mo</w:t>
      </w:r>
      <w:r w:rsidRPr="00C758B1">
        <w:rPr>
          <w:rFonts w:ascii="Lato" w:hAnsi="Lato" w:cs="Calibri"/>
        </w:rPr>
        <w:t>ż</w:t>
      </w:r>
      <w:r w:rsidRPr="00C758B1">
        <w:rPr>
          <w:rFonts w:ascii="Lato" w:hAnsi="Lato"/>
        </w:rPr>
        <w:t>e zosta</w:t>
      </w:r>
      <w:r w:rsidRPr="00C758B1">
        <w:rPr>
          <w:rFonts w:ascii="Lato" w:hAnsi="Lato" w:cs="Calibri"/>
        </w:rPr>
        <w:t>ć</w:t>
      </w:r>
      <w:r w:rsidRPr="00C758B1">
        <w:rPr>
          <w:rFonts w:ascii="Lato" w:hAnsi="Lato"/>
        </w:rPr>
        <w:t xml:space="preserve"> uznana za zagra</w:t>
      </w:r>
      <w:r w:rsidRPr="00C758B1">
        <w:rPr>
          <w:rFonts w:ascii="Lato" w:hAnsi="Lato" w:cs="Calibri"/>
        </w:rPr>
        <w:t>ż</w:t>
      </w:r>
      <w:r w:rsidRPr="00C758B1">
        <w:rPr>
          <w:rFonts w:ascii="Lato" w:hAnsi="Lato"/>
        </w:rPr>
        <w:t>aj</w:t>
      </w:r>
      <w:r w:rsidRPr="00C758B1">
        <w:rPr>
          <w:rFonts w:ascii="Lato" w:hAnsi="Lato" w:cs="Calibri"/>
        </w:rPr>
        <w:t>ą</w:t>
      </w:r>
      <w:r w:rsidRPr="00C758B1">
        <w:rPr>
          <w:rFonts w:ascii="Lato" w:hAnsi="Lato"/>
        </w:rPr>
        <w:t>ce tej cz</w:t>
      </w:r>
      <w:r w:rsidRPr="00C758B1">
        <w:rPr>
          <w:rFonts w:ascii="Lato" w:hAnsi="Lato" w:cs="Calibri"/>
        </w:rPr>
        <w:t>ęś</w:t>
      </w:r>
      <w:r w:rsidRPr="00C758B1">
        <w:rPr>
          <w:rFonts w:ascii="Lato" w:hAnsi="Lato"/>
        </w:rPr>
        <w:t>ci rynku. Drobne awarie wyst</w:t>
      </w:r>
      <w:r w:rsidRPr="00C758B1">
        <w:rPr>
          <w:rFonts w:ascii="Lato" w:hAnsi="Lato" w:cs="Calibri"/>
        </w:rPr>
        <w:t>ę</w:t>
      </w:r>
      <w:r w:rsidRPr="00C758B1">
        <w:rPr>
          <w:rFonts w:ascii="Lato" w:hAnsi="Lato"/>
        </w:rPr>
        <w:t>puj</w:t>
      </w:r>
      <w:r w:rsidRPr="00C758B1">
        <w:rPr>
          <w:rFonts w:ascii="Lato" w:hAnsi="Lato" w:cs="Calibri"/>
        </w:rPr>
        <w:t>ą</w:t>
      </w:r>
      <w:r w:rsidRPr="00C758B1">
        <w:rPr>
          <w:rFonts w:ascii="Lato" w:hAnsi="Lato"/>
        </w:rPr>
        <w:t>ce na instalacjach eksploatacyjnych i technicznych skutkuj</w:t>
      </w:r>
      <w:r w:rsidRPr="00C758B1">
        <w:rPr>
          <w:rFonts w:ascii="Lato" w:hAnsi="Lato" w:cs="Calibri"/>
        </w:rPr>
        <w:t>ą</w:t>
      </w:r>
      <w:r w:rsidRPr="00C758B1">
        <w:rPr>
          <w:rFonts w:ascii="Lato" w:hAnsi="Lato"/>
        </w:rPr>
        <w:t>ce zakłóceniami w</w:t>
      </w:r>
      <w:r w:rsidR="00CA062E">
        <w:rPr>
          <w:rFonts w:ascii="Lato" w:hAnsi="Lato"/>
        </w:rPr>
        <w:t xml:space="preserve"> </w:t>
      </w:r>
      <w:r w:rsidRPr="00C758B1">
        <w:rPr>
          <w:rFonts w:ascii="Lato" w:hAnsi="Lato"/>
        </w:rPr>
        <w:t>dostawach gazu z poszczególnych obiektów są kompensowane przez gaz zaazotowany pochodz</w:t>
      </w:r>
      <w:r w:rsidRPr="00C758B1">
        <w:rPr>
          <w:rFonts w:ascii="Lato" w:hAnsi="Lato" w:cs="Calibri"/>
        </w:rPr>
        <w:t>ą</w:t>
      </w:r>
      <w:r w:rsidRPr="00C758B1">
        <w:rPr>
          <w:rFonts w:ascii="Lato" w:hAnsi="Lato"/>
        </w:rPr>
        <w:t>cy z akumulacji w gazoci</w:t>
      </w:r>
      <w:r w:rsidRPr="00C758B1">
        <w:rPr>
          <w:rFonts w:ascii="Lato" w:hAnsi="Lato" w:cs="Calibri"/>
        </w:rPr>
        <w:t>ą</w:t>
      </w:r>
      <w:r w:rsidRPr="00C758B1">
        <w:rPr>
          <w:rFonts w:ascii="Lato" w:hAnsi="Lato"/>
        </w:rPr>
        <w:t>gach b</w:t>
      </w:r>
      <w:r w:rsidRPr="00C758B1">
        <w:rPr>
          <w:rFonts w:ascii="Lato" w:hAnsi="Lato" w:cs="Calibri"/>
        </w:rPr>
        <w:t>ą</w:t>
      </w:r>
      <w:r w:rsidRPr="00C758B1">
        <w:rPr>
          <w:rFonts w:ascii="Lato" w:hAnsi="Lato"/>
        </w:rPr>
        <w:t>d</w:t>
      </w:r>
      <w:r w:rsidRPr="00C758B1">
        <w:rPr>
          <w:rFonts w:ascii="Lato" w:hAnsi="Lato" w:cs="Calibri"/>
        </w:rPr>
        <w:t>ź</w:t>
      </w:r>
      <w:r w:rsidRPr="00C758B1">
        <w:rPr>
          <w:rFonts w:ascii="Lato" w:hAnsi="Lato"/>
        </w:rPr>
        <w:t xml:space="preserve"> przez zwi</w:t>
      </w:r>
      <w:r w:rsidRPr="00C758B1">
        <w:rPr>
          <w:rFonts w:ascii="Lato" w:hAnsi="Lato" w:cs="Calibri"/>
        </w:rPr>
        <w:t>ę</w:t>
      </w:r>
      <w:r w:rsidRPr="00C758B1">
        <w:rPr>
          <w:rFonts w:ascii="Lato" w:hAnsi="Lato"/>
        </w:rPr>
        <w:t xml:space="preserve">kszanie dostaw z innych </w:t>
      </w:r>
      <w:r w:rsidRPr="00C758B1">
        <w:rPr>
          <w:rFonts w:ascii="Lato" w:hAnsi="Lato" w:cs="Calibri"/>
        </w:rPr>
        <w:t>ź</w:t>
      </w:r>
      <w:r w:rsidRPr="00C758B1">
        <w:rPr>
          <w:rFonts w:ascii="Lato" w:hAnsi="Lato"/>
        </w:rPr>
        <w:t>r</w:t>
      </w:r>
      <w:r w:rsidRPr="00C758B1">
        <w:rPr>
          <w:rFonts w:ascii="Lato" w:hAnsi="Lato" w:cs="Malgun Gothic"/>
        </w:rPr>
        <w:t>ó</w:t>
      </w:r>
      <w:r w:rsidRPr="00C758B1">
        <w:rPr>
          <w:rFonts w:ascii="Lato" w:hAnsi="Lato"/>
        </w:rPr>
        <w:t>de</w:t>
      </w:r>
      <w:r w:rsidRPr="00C758B1">
        <w:rPr>
          <w:rFonts w:ascii="Lato" w:hAnsi="Lato" w:cs="Malgun Gothic"/>
        </w:rPr>
        <w:t>ł</w:t>
      </w:r>
      <w:r w:rsidRPr="00C758B1">
        <w:rPr>
          <w:rFonts w:ascii="Lato" w:hAnsi="Lato"/>
        </w:rPr>
        <w:t>.</w:t>
      </w:r>
    </w:p>
    <w:p w14:paraId="1597DB61" w14:textId="4940FD24" w:rsidR="00B03DBA" w:rsidRPr="00630443" w:rsidRDefault="00EE3AAE" w:rsidP="000A7C68">
      <w:pPr>
        <w:pStyle w:val="Tekstzwyky"/>
        <w:spacing w:after="60"/>
        <w:contextualSpacing/>
        <w:rPr>
          <w:rFonts w:ascii="Lato" w:hAnsi="Lato"/>
        </w:rPr>
      </w:pPr>
      <w:r>
        <w:rPr>
          <w:rFonts w:ascii="Lato" w:hAnsi="Lato"/>
        </w:rPr>
        <w:tab/>
      </w:r>
      <w:r w:rsidR="00C7771E" w:rsidRPr="00C758B1">
        <w:rPr>
          <w:rFonts w:ascii="Lato" w:hAnsi="Lato"/>
        </w:rPr>
        <w:t xml:space="preserve">Ze względu na istotną rolę państw członkowskich poszczególnych grup ryzyka w zapewnieniu bezpieczeństwa dostaw gazu ziemnego do Polski, w niniejszym dokumencie </w:t>
      </w:r>
      <w:r w:rsidR="00630443">
        <w:rPr>
          <w:rFonts w:ascii="Lato" w:hAnsi="Lato"/>
        </w:rPr>
        <w:t>wskazano również najważniejsze elementy</w:t>
      </w:r>
      <w:r w:rsidR="00C7771E" w:rsidRPr="00C758B1">
        <w:rPr>
          <w:rFonts w:ascii="Lato" w:hAnsi="Lato"/>
        </w:rPr>
        <w:t xml:space="preserve"> współpracy regionalnej. </w:t>
      </w:r>
      <w:r w:rsidR="00630443">
        <w:rPr>
          <w:rFonts w:ascii="Lato" w:hAnsi="Lato"/>
        </w:rPr>
        <w:t xml:space="preserve">Ponadto w </w:t>
      </w:r>
      <w:r w:rsidR="00C7771E" w:rsidRPr="00C758B1">
        <w:rPr>
          <w:rFonts w:ascii="Lato" w:hAnsi="Lato"/>
        </w:rPr>
        <w:t>planie zawarto opis mechanizmów stosowanych do celów współpracy pomiędzy państwami członkowskimi w odpowiednich grupach ryzyka</w:t>
      </w:r>
      <w:r w:rsidR="00630443">
        <w:rPr>
          <w:rFonts w:ascii="Lato" w:hAnsi="Lato"/>
        </w:rPr>
        <w:t xml:space="preserve">. </w:t>
      </w:r>
      <w:r w:rsidR="00C7771E" w:rsidRPr="00C758B1">
        <w:rPr>
          <w:rFonts w:ascii="Lato" w:hAnsi="Lato"/>
        </w:rPr>
        <w:t xml:space="preserve">Polska </w:t>
      </w:r>
      <w:r w:rsidR="00630443">
        <w:rPr>
          <w:rFonts w:ascii="Lato" w:hAnsi="Lato"/>
        </w:rPr>
        <w:t xml:space="preserve">należy do pięciu </w:t>
      </w:r>
      <w:r w:rsidR="00DA125A">
        <w:rPr>
          <w:rFonts w:ascii="Lato" w:hAnsi="Lato"/>
        </w:rPr>
        <w:t xml:space="preserve">regionalnych </w:t>
      </w:r>
      <w:r w:rsidR="00630443">
        <w:rPr>
          <w:rFonts w:ascii="Lato" w:hAnsi="Lato"/>
        </w:rPr>
        <w:t>grup</w:t>
      </w:r>
      <w:r w:rsidR="00DA125A">
        <w:rPr>
          <w:rFonts w:ascii="Lato" w:hAnsi="Lato"/>
        </w:rPr>
        <w:t xml:space="preserve"> ryzyka</w:t>
      </w:r>
      <w:r w:rsidR="00630443">
        <w:rPr>
          <w:rFonts w:ascii="Lato" w:hAnsi="Lato"/>
        </w:rPr>
        <w:t>, którymi są:</w:t>
      </w:r>
    </w:p>
    <w:p w14:paraId="7DC7E70F" w14:textId="415E18E8" w:rsidR="00B03DBA" w:rsidRPr="00C758B1" w:rsidRDefault="00DA125A" w:rsidP="005577BE">
      <w:pPr>
        <w:pStyle w:val="TekstWypunktowany"/>
        <w:spacing w:after="120"/>
        <w:rPr>
          <w:rFonts w:ascii="Lato" w:hAnsi="Lato"/>
        </w:rPr>
      </w:pPr>
      <w:r>
        <w:rPr>
          <w:rFonts w:ascii="Lato" w:hAnsi="Lato"/>
        </w:rPr>
        <w:t xml:space="preserve">regionalna białoruska grupa ryzyka - </w:t>
      </w:r>
      <w:r w:rsidR="00C7771E" w:rsidRPr="00C758B1">
        <w:rPr>
          <w:rFonts w:ascii="Lato" w:hAnsi="Lato"/>
        </w:rPr>
        <w:t>państwa członkowskie należące do grupy: Belgia, Cze</w:t>
      </w:r>
      <w:r w:rsidR="003F0FCF">
        <w:rPr>
          <w:rFonts w:ascii="Lato" w:hAnsi="Lato"/>
        </w:rPr>
        <w:t>chy</w:t>
      </w:r>
      <w:r w:rsidR="00C7771E" w:rsidRPr="00C758B1">
        <w:rPr>
          <w:rFonts w:ascii="Lato" w:hAnsi="Lato"/>
        </w:rPr>
        <w:t xml:space="preserve">, </w:t>
      </w:r>
      <w:r w:rsidR="00097F69" w:rsidRPr="00C758B1">
        <w:rPr>
          <w:rFonts w:ascii="Lato" w:hAnsi="Lato"/>
        </w:rPr>
        <w:t xml:space="preserve">Dania, </w:t>
      </w:r>
      <w:r w:rsidR="00C7771E" w:rsidRPr="00C758B1">
        <w:rPr>
          <w:rFonts w:ascii="Lato" w:hAnsi="Lato"/>
        </w:rPr>
        <w:t xml:space="preserve">Niemcy, Estonia, Łotwa, Litwa, Luksemburg, </w:t>
      </w:r>
      <w:r>
        <w:rPr>
          <w:rFonts w:ascii="Lato" w:hAnsi="Lato"/>
        </w:rPr>
        <w:t>Holandia</w:t>
      </w:r>
      <w:r w:rsidR="00C7771E" w:rsidRPr="00C758B1">
        <w:rPr>
          <w:rFonts w:ascii="Lato" w:hAnsi="Lato"/>
        </w:rPr>
        <w:t>, Polska, Słowacja</w:t>
      </w:r>
      <w:r w:rsidR="00097F69" w:rsidRPr="00C758B1">
        <w:rPr>
          <w:rFonts w:ascii="Lato" w:hAnsi="Lato"/>
        </w:rPr>
        <w:t xml:space="preserve">, </w:t>
      </w:r>
      <w:r w:rsidR="006C6F47">
        <w:rPr>
          <w:rFonts w:ascii="Lato" w:hAnsi="Lato"/>
        </w:rPr>
        <w:t xml:space="preserve">Finlandia, </w:t>
      </w:r>
      <w:r w:rsidR="00097F69" w:rsidRPr="00C758B1">
        <w:rPr>
          <w:rFonts w:ascii="Lato" w:hAnsi="Lato"/>
        </w:rPr>
        <w:t>Szwecja</w:t>
      </w:r>
      <w:r w:rsidR="004E421D" w:rsidRPr="00C758B1">
        <w:rPr>
          <w:rFonts w:ascii="Lato" w:hAnsi="Lato"/>
        </w:rPr>
        <w:t>;</w:t>
      </w:r>
    </w:p>
    <w:p w14:paraId="16BB744B" w14:textId="7D80C92F" w:rsidR="00097F69" w:rsidRPr="00C758B1" w:rsidRDefault="00DA125A" w:rsidP="005577BE">
      <w:pPr>
        <w:pStyle w:val="TekstWypunktowany"/>
        <w:spacing w:after="120"/>
        <w:rPr>
          <w:rFonts w:ascii="Lato" w:hAnsi="Lato"/>
        </w:rPr>
      </w:pPr>
      <w:r>
        <w:rPr>
          <w:rFonts w:ascii="Lato" w:hAnsi="Lato"/>
        </w:rPr>
        <w:lastRenderedPageBreak/>
        <w:t>regionalna ukraińska grupa ryzyka</w:t>
      </w:r>
      <w:r w:rsidR="00C7771E" w:rsidRPr="00C758B1">
        <w:rPr>
          <w:rFonts w:ascii="Lato" w:hAnsi="Lato"/>
        </w:rPr>
        <w:t xml:space="preserve"> – państwa członkowskie należące do grupy: </w:t>
      </w:r>
      <w:r w:rsidR="00097F69" w:rsidRPr="00C758B1">
        <w:rPr>
          <w:rFonts w:ascii="Lato" w:hAnsi="Lato"/>
        </w:rPr>
        <w:t xml:space="preserve">Austria, Bułgaria, Chorwacja, </w:t>
      </w:r>
      <w:r w:rsidR="003F0FCF">
        <w:rPr>
          <w:rFonts w:ascii="Lato" w:hAnsi="Lato"/>
        </w:rPr>
        <w:t>Czechy</w:t>
      </w:r>
      <w:r w:rsidR="00097F69" w:rsidRPr="00C758B1">
        <w:rPr>
          <w:rFonts w:ascii="Lato" w:hAnsi="Lato"/>
        </w:rPr>
        <w:t>, Dania, Niemcy, Grecja, Węgry, Włochy, Luksemburg, Polska, Rumunia, Słowenia, Słowacja, Szwecja;</w:t>
      </w:r>
    </w:p>
    <w:p w14:paraId="78F82DF2" w14:textId="4A50D3F6" w:rsidR="00B03DBA" w:rsidRPr="00C758B1" w:rsidRDefault="00DA125A" w:rsidP="005577BE">
      <w:pPr>
        <w:pStyle w:val="TekstWypunktowany"/>
        <w:spacing w:after="120"/>
        <w:rPr>
          <w:rFonts w:ascii="Lato" w:hAnsi="Lato"/>
        </w:rPr>
      </w:pPr>
      <w:r w:rsidRPr="00DA125A">
        <w:rPr>
          <w:rFonts w:ascii="Lato" w:hAnsi="Lato"/>
        </w:rPr>
        <w:t>regional</w:t>
      </w:r>
      <w:r>
        <w:rPr>
          <w:rFonts w:ascii="Lato" w:hAnsi="Lato"/>
        </w:rPr>
        <w:t>na</w:t>
      </w:r>
      <w:r w:rsidRPr="00DA125A">
        <w:rPr>
          <w:rFonts w:ascii="Lato" w:hAnsi="Lato"/>
        </w:rPr>
        <w:t xml:space="preserve"> północno-wschodnia grupa ryzyka </w:t>
      </w:r>
      <w:r w:rsidR="00097F69" w:rsidRPr="00C758B1">
        <w:rPr>
          <w:rFonts w:ascii="Lato" w:hAnsi="Lato"/>
        </w:rPr>
        <w:t xml:space="preserve">– państwa członkowskie należące do grupy: </w:t>
      </w:r>
      <w:r w:rsidR="003F0FCF">
        <w:rPr>
          <w:rFonts w:ascii="Lato" w:hAnsi="Lato"/>
        </w:rPr>
        <w:t>Czechy</w:t>
      </w:r>
      <w:r w:rsidR="00097F69" w:rsidRPr="00C758B1">
        <w:rPr>
          <w:rFonts w:ascii="Lato" w:hAnsi="Lato"/>
        </w:rPr>
        <w:t>, Dania, Niemcy, Estonia, Łotwa, Litwa, Polska, Słowacja, Finlandia, Szwecja</w:t>
      </w:r>
      <w:r w:rsidR="003F0FCF">
        <w:rPr>
          <w:rFonts w:ascii="Lato" w:hAnsi="Lato"/>
        </w:rPr>
        <w:t>;</w:t>
      </w:r>
    </w:p>
    <w:p w14:paraId="2CC819D6" w14:textId="3C7AA567" w:rsidR="00097F69" w:rsidRPr="00C758B1" w:rsidRDefault="00DA125A" w:rsidP="005577BE">
      <w:pPr>
        <w:pStyle w:val="TekstWypunktowany"/>
        <w:spacing w:after="120"/>
        <w:rPr>
          <w:rFonts w:ascii="Lato" w:hAnsi="Lato"/>
        </w:rPr>
      </w:pPr>
      <w:r>
        <w:rPr>
          <w:rFonts w:ascii="Lato" w:hAnsi="Lato"/>
        </w:rPr>
        <w:t>regionalna norweska grupa ryzyka</w:t>
      </w:r>
      <w:r w:rsidR="00097F69" w:rsidRPr="00C758B1">
        <w:rPr>
          <w:rFonts w:ascii="Lato" w:hAnsi="Lato"/>
        </w:rPr>
        <w:t xml:space="preserve"> – państwa członkowskie należące do grupy: Belgia, Dania, Niemcy, Irlandia, Hiszpania, Francja, Włochy, Luksemburg, </w:t>
      </w:r>
      <w:r>
        <w:rPr>
          <w:rFonts w:ascii="Lato" w:hAnsi="Lato"/>
        </w:rPr>
        <w:t>Holandia</w:t>
      </w:r>
      <w:r w:rsidR="00097F69" w:rsidRPr="00C758B1">
        <w:rPr>
          <w:rFonts w:ascii="Lato" w:hAnsi="Lato"/>
        </w:rPr>
        <w:t>, Polska, Portugalia, Szwecja</w:t>
      </w:r>
      <w:r w:rsidR="003F0FCF">
        <w:rPr>
          <w:rFonts w:ascii="Lato" w:hAnsi="Lato"/>
        </w:rPr>
        <w:t>;</w:t>
      </w:r>
    </w:p>
    <w:p w14:paraId="4E03DC86" w14:textId="03E9A2AE" w:rsidR="00097F69" w:rsidRPr="00C758B1" w:rsidRDefault="00DA125A" w:rsidP="005577BE">
      <w:pPr>
        <w:pStyle w:val="TekstWypunktowany"/>
        <w:spacing w:after="120"/>
        <w:contextualSpacing w:val="0"/>
        <w:rPr>
          <w:rFonts w:ascii="Lato" w:hAnsi="Lato"/>
        </w:rPr>
      </w:pPr>
      <w:r>
        <w:rPr>
          <w:rFonts w:ascii="Lato" w:hAnsi="Lato"/>
        </w:rPr>
        <w:t>regionalna duńska grupa ryzyka</w:t>
      </w:r>
      <w:r w:rsidRPr="00C758B1">
        <w:rPr>
          <w:rFonts w:ascii="Lato" w:hAnsi="Lato"/>
        </w:rPr>
        <w:t xml:space="preserve"> </w:t>
      </w:r>
      <w:r w:rsidR="00097F69" w:rsidRPr="00C758B1">
        <w:rPr>
          <w:rFonts w:ascii="Lato" w:hAnsi="Lato"/>
        </w:rPr>
        <w:t xml:space="preserve">– państwa członkowskie należące do grupy: Dania, Niemcy, Luksemburg, </w:t>
      </w:r>
      <w:r>
        <w:rPr>
          <w:rFonts w:ascii="Lato" w:hAnsi="Lato"/>
        </w:rPr>
        <w:t>Holandia</w:t>
      </w:r>
      <w:r w:rsidR="00097F69" w:rsidRPr="00C758B1">
        <w:rPr>
          <w:rFonts w:ascii="Lato" w:hAnsi="Lato"/>
        </w:rPr>
        <w:t>, Polska, Szwecja</w:t>
      </w:r>
      <w:r w:rsidR="00EB2027">
        <w:rPr>
          <w:rFonts w:ascii="Lato" w:hAnsi="Lato"/>
        </w:rPr>
        <w:t>.</w:t>
      </w:r>
    </w:p>
    <w:p w14:paraId="598B3AA9" w14:textId="260B9A04" w:rsidR="00227975" w:rsidRDefault="00C7771E" w:rsidP="000A7C68">
      <w:pPr>
        <w:pStyle w:val="Tekstzwyky"/>
        <w:spacing w:afterLines="60" w:after="144"/>
        <w:rPr>
          <w:rFonts w:ascii="Lato" w:hAnsi="Lato"/>
        </w:rPr>
      </w:pPr>
      <w:r w:rsidRPr="003F0FCF">
        <w:rPr>
          <w:rFonts w:ascii="Lato" w:hAnsi="Lato"/>
        </w:rPr>
        <w:tab/>
        <w:t>W ocenie Ministra</w:t>
      </w:r>
      <w:r w:rsidR="00050A66" w:rsidRPr="003F0FCF">
        <w:rPr>
          <w:rFonts w:ascii="Lato" w:hAnsi="Lato"/>
        </w:rPr>
        <w:t xml:space="preserve"> </w:t>
      </w:r>
      <w:r w:rsidR="0014121A" w:rsidRPr="00C758B1">
        <w:rPr>
          <w:rFonts w:ascii="Lato" w:hAnsi="Lato"/>
        </w:rPr>
        <w:t>Klimatu i Środowiska</w:t>
      </w:r>
      <w:r w:rsidRPr="003F0FCF">
        <w:rPr>
          <w:rFonts w:ascii="Lato" w:hAnsi="Lato"/>
        </w:rPr>
        <w:t xml:space="preserve"> prowadzona integracja polskiego systemu gazowego z systemami państw członkowskich poszczególnych grup ryzyka </w:t>
      </w:r>
      <w:r w:rsidRPr="00C758B1">
        <w:rPr>
          <w:rFonts w:ascii="Lato" w:hAnsi="Lato"/>
        </w:rPr>
        <w:t>pozwoli</w:t>
      </w:r>
      <w:r w:rsidR="0014121A" w:rsidRPr="00C758B1">
        <w:rPr>
          <w:rFonts w:ascii="Lato" w:hAnsi="Lato"/>
        </w:rPr>
        <w:t>ła</w:t>
      </w:r>
      <w:r w:rsidRPr="003F0FCF">
        <w:rPr>
          <w:rFonts w:ascii="Lato" w:hAnsi="Lato"/>
        </w:rPr>
        <w:t xml:space="preserve"> na uzyskanie przez przedsiębiorstwa działające na terytorium Polski dostępu do rozwiniętych i</w:t>
      </w:r>
      <w:r w:rsidR="003F0FCF">
        <w:rPr>
          <w:rFonts w:ascii="Lato" w:hAnsi="Lato"/>
        </w:rPr>
        <w:t xml:space="preserve"> </w:t>
      </w:r>
      <w:r w:rsidRPr="003F0FCF">
        <w:rPr>
          <w:rFonts w:ascii="Lato" w:hAnsi="Lato"/>
        </w:rPr>
        <w:t xml:space="preserve">zdywersyfikowanych rynków gazu ziemnego oraz elastyczności systemu bezpieczeństwa w przypadku realizacji scenariuszy kryzysowych. W tym </w:t>
      </w:r>
      <w:r w:rsidR="005577BE">
        <w:rPr>
          <w:rFonts w:ascii="Lato" w:hAnsi="Lato"/>
        </w:rPr>
        <w:t xml:space="preserve">zakresie </w:t>
      </w:r>
      <w:r w:rsidR="009741E2">
        <w:rPr>
          <w:rFonts w:ascii="Lato" w:hAnsi="Lato"/>
        </w:rPr>
        <w:t>istotne</w:t>
      </w:r>
      <w:r w:rsidR="009741E2" w:rsidRPr="003F0FCF">
        <w:rPr>
          <w:rFonts w:ascii="Lato" w:hAnsi="Lato"/>
        </w:rPr>
        <w:t xml:space="preserve"> </w:t>
      </w:r>
      <w:r w:rsidRPr="003F0FCF">
        <w:rPr>
          <w:rFonts w:ascii="Lato" w:hAnsi="Lato"/>
        </w:rPr>
        <w:t xml:space="preserve">znaczenie </w:t>
      </w:r>
      <w:r w:rsidR="005577BE">
        <w:rPr>
          <w:rFonts w:ascii="Lato" w:hAnsi="Lato"/>
        </w:rPr>
        <w:t xml:space="preserve">miało </w:t>
      </w:r>
      <w:r w:rsidR="00EB5741" w:rsidRPr="00C758B1">
        <w:rPr>
          <w:rFonts w:ascii="Lato" w:hAnsi="Lato"/>
        </w:rPr>
        <w:t>przekazani</w:t>
      </w:r>
      <w:r w:rsidR="005577BE">
        <w:rPr>
          <w:rFonts w:ascii="Lato" w:hAnsi="Lato"/>
        </w:rPr>
        <w:t>e</w:t>
      </w:r>
      <w:r w:rsidR="00EB5741" w:rsidRPr="00C758B1">
        <w:rPr>
          <w:rFonts w:ascii="Lato" w:hAnsi="Lato"/>
        </w:rPr>
        <w:t xml:space="preserve"> </w:t>
      </w:r>
      <w:r w:rsidR="00E63315" w:rsidRPr="00C758B1">
        <w:rPr>
          <w:rFonts w:ascii="Lato" w:hAnsi="Lato"/>
        </w:rPr>
        <w:t xml:space="preserve">do </w:t>
      </w:r>
      <w:r w:rsidR="00EA0506" w:rsidRPr="00C758B1">
        <w:rPr>
          <w:rFonts w:ascii="Lato" w:hAnsi="Lato"/>
        </w:rPr>
        <w:t>użytkowania</w:t>
      </w:r>
      <w:r w:rsidR="00EB5741" w:rsidRPr="003F0FCF">
        <w:rPr>
          <w:rFonts w:ascii="Lato" w:hAnsi="Lato"/>
        </w:rPr>
        <w:t xml:space="preserve"> </w:t>
      </w:r>
      <w:r w:rsidRPr="003F0FCF">
        <w:rPr>
          <w:rFonts w:ascii="Lato" w:hAnsi="Lato"/>
        </w:rPr>
        <w:t>dwukierunkowych połączeń międzysystemowych</w:t>
      </w:r>
      <w:r w:rsidR="003F36BE" w:rsidRPr="00C758B1">
        <w:rPr>
          <w:rFonts w:ascii="Lato" w:hAnsi="Lato"/>
        </w:rPr>
        <w:t>: Polska</w:t>
      </w:r>
      <w:r w:rsidR="00BA3528" w:rsidRPr="00C758B1">
        <w:rPr>
          <w:rFonts w:ascii="Lato" w:hAnsi="Lato"/>
        </w:rPr>
        <w:t xml:space="preserve"> –</w:t>
      </w:r>
      <w:r w:rsidR="003F36BE" w:rsidRPr="00C758B1">
        <w:rPr>
          <w:rFonts w:ascii="Lato" w:hAnsi="Lato"/>
        </w:rPr>
        <w:t xml:space="preserve"> Słowacja, Polska – Litwa, </w:t>
      </w:r>
      <w:r w:rsidR="0014121A" w:rsidRPr="00C758B1">
        <w:rPr>
          <w:rFonts w:ascii="Lato" w:hAnsi="Lato"/>
        </w:rPr>
        <w:t>Polska – Dania (</w:t>
      </w:r>
      <w:r w:rsidRPr="003F0FCF">
        <w:rPr>
          <w:rFonts w:ascii="Lato" w:hAnsi="Lato"/>
        </w:rPr>
        <w:t>Baltic Pipe</w:t>
      </w:r>
      <w:r w:rsidR="0014121A" w:rsidRPr="00C758B1">
        <w:rPr>
          <w:rFonts w:ascii="Lato" w:hAnsi="Lato"/>
        </w:rPr>
        <w:t>)</w:t>
      </w:r>
      <w:r w:rsidRPr="00C758B1">
        <w:rPr>
          <w:rFonts w:ascii="Lato" w:hAnsi="Lato"/>
        </w:rPr>
        <w:t>,</w:t>
      </w:r>
      <w:r w:rsidRPr="003F0FCF">
        <w:rPr>
          <w:rFonts w:ascii="Lato" w:hAnsi="Lato"/>
        </w:rPr>
        <w:t xml:space="preserve"> </w:t>
      </w:r>
      <w:r w:rsidR="0011070D">
        <w:rPr>
          <w:rFonts w:ascii="Lato" w:hAnsi="Lato"/>
        </w:rPr>
        <w:t xml:space="preserve">a także </w:t>
      </w:r>
      <w:r w:rsidRPr="003F0FCF">
        <w:rPr>
          <w:rFonts w:ascii="Lato" w:hAnsi="Lato"/>
        </w:rPr>
        <w:t>rozbudow</w:t>
      </w:r>
      <w:r w:rsidR="005577BE">
        <w:rPr>
          <w:rFonts w:ascii="Lato" w:hAnsi="Lato"/>
        </w:rPr>
        <w:t>a</w:t>
      </w:r>
      <w:r w:rsidRPr="003F0FCF">
        <w:rPr>
          <w:rFonts w:ascii="Lato" w:hAnsi="Lato"/>
        </w:rPr>
        <w:t xml:space="preserve"> terminalu LNG w Świnoujściu. Działania te, poprzez dalszą integrację polskiego</w:t>
      </w:r>
      <w:r w:rsidRPr="006031E8">
        <w:rPr>
          <w:rFonts w:ascii="Lato" w:hAnsi="Lato"/>
        </w:rPr>
        <w:t xml:space="preserve"> systemu gazowego z systemami innych państw członkowskich UE oraz zapewnienie większego poziomu dywersyfikacji źródeł dostaw, przyczynią się do zwiększenia możliwości eliminacji skutków ewentualnego wystąpienia zakłóce</w:t>
      </w:r>
      <w:r w:rsidR="00B20392">
        <w:rPr>
          <w:rFonts w:ascii="Lato" w:hAnsi="Lato"/>
        </w:rPr>
        <w:t>ń</w:t>
      </w:r>
      <w:r w:rsidRPr="006031E8">
        <w:rPr>
          <w:rFonts w:ascii="Lato" w:hAnsi="Lato"/>
        </w:rPr>
        <w:t xml:space="preserve"> w dostawach.</w:t>
      </w:r>
      <w:r w:rsidR="0055791C">
        <w:rPr>
          <w:rFonts w:ascii="Lato" w:hAnsi="Lato"/>
        </w:rPr>
        <w:t xml:space="preserve"> </w:t>
      </w:r>
    </w:p>
    <w:p w14:paraId="0F649B8C" w14:textId="012FE825" w:rsidR="00B03DBA" w:rsidRPr="006031E8" w:rsidRDefault="00227975" w:rsidP="000A7C68">
      <w:pPr>
        <w:pStyle w:val="Tekstzwyky"/>
        <w:spacing w:afterLines="60" w:after="144"/>
        <w:rPr>
          <w:rFonts w:ascii="Lato" w:hAnsi="Lato"/>
        </w:rPr>
      </w:pPr>
      <w:r>
        <w:rPr>
          <w:rFonts w:ascii="Lato" w:hAnsi="Lato"/>
        </w:rPr>
        <w:tab/>
      </w:r>
      <w:r w:rsidR="0055791C">
        <w:rPr>
          <w:rFonts w:ascii="Lato" w:hAnsi="Lato"/>
        </w:rPr>
        <w:t>O</w:t>
      </w:r>
      <w:r w:rsidR="00C7771E" w:rsidRPr="006031E8">
        <w:rPr>
          <w:rFonts w:ascii="Lato" w:hAnsi="Lato"/>
        </w:rPr>
        <w:t>prócz realizacji ww. projektów dywersyfikacyjnych i</w:t>
      </w:r>
      <w:r w:rsidR="00C7771E" w:rsidRPr="00C758B1">
        <w:rPr>
          <w:rFonts w:ascii="Lato" w:hAnsi="Lato"/>
        </w:rPr>
        <w:t> </w:t>
      </w:r>
      <w:r w:rsidR="00C7771E" w:rsidRPr="006031E8">
        <w:rPr>
          <w:rFonts w:ascii="Lato" w:hAnsi="Lato"/>
        </w:rPr>
        <w:t xml:space="preserve">integracyjnych, </w:t>
      </w:r>
      <w:r w:rsidR="00B20392">
        <w:rPr>
          <w:rFonts w:ascii="Lato" w:hAnsi="Lato"/>
        </w:rPr>
        <w:t xml:space="preserve">OSP </w:t>
      </w:r>
      <w:r w:rsidR="00C7771E" w:rsidRPr="006031E8">
        <w:rPr>
          <w:rFonts w:ascii="Lato" w:hAnsi="Lato"/>
        </w:rPr>
        <w:t xml:space="preserve">prowadzi </w:t>
      </w:r>
      <w:r w:rsidR="0055791C">
        <w:rPr>
          <w:rFonts w:ascii="Lato" w:hAnsi="Lato"/>
        </w:rPr>
        <w:t xml:space="preserve">również </w:t>
      </w:r>
      <w:r w:rsidR="00C7771E" w:rsidRPr="006031E8">
        <w:rPr>
          <w:rFonts w:ascii="Lato" w:hAnsi="Lato"/>
        </w:rPr>
        <w:t>działania w</w:t>
      </w:r>
      <w:r w:rsidR="003F0FCF">
        <w:rPr>
          <w:rFonts w:ascii="Lato" w:hAnsi="Lato"/>
        </w:rPr>
        <w:t xml:space="preserve"> </w:t>
      </w:r>
      <w:r w:rsidR="00C7771E" w:rsidRPr="006031E8">
        <w:rPr>
          <w:rFonts w:ascii="Lato" w:hAnsi="Lato"/>
        </w:rPr>
        <w:t>zakresie rozbudowy krajowego systemu gazowego, co przyczyni się do zapewnienia rozpływów gazu ziemnego z nowych i rozbudowanych punktów wejścia do krajowej sieci</w:t>
      </w:r>
      <w:r w:rsidR="00B20392">
        <w:rPr>
          <w:rFonts w:ascii="Lato" w:hAnsi="Lato"/>
        </w:rPr>
        <w:t xml:space="preserve"> gazowej</w:t>
      </w:r>
      <w:r w:rsidR="00C7771E" w:rsidRPr="006031E8">
        <w:rPr>
          <w:rFonts w:ascii="Lato" w:hAnsi="Lato"/>
        </w:rPr>
        <w:t>.</w:t>
      </w:r>
      <w:r>
        <w:rPr>
          <w:rFonts w:ascii="Lato" w:hAnsi="Lato"/>
        </w:rPr>
        <w:t xml:space="preserve"> </w:t>
      </w:r>
      <w:r w:rsidR="00C7771E" w:rsidRPr="006031E8">
        <w:rPr>
          <w:rFonts w:ascii="Lato" w:hAnsi="Lato"/>
        </w:rPr>
        <w:t>Obok pro</w:t>
      </w:r>
      <w:r w:rsidR="0055791C">
        <w:rPr>
          <w:rFonts w:ascii="Lato" w:hAnsi="Lato"/>
        </w:rPr>
        <w:t xml:space="preserve">jektów realizowanych </w:t>
      </w:r>
      <w:r w:rsidR="00C7771E" w:rsidRPr="006031E8">
        <w:rPr>
          <w:rFonts w:ascii="Lato" w:hAnsi="Lato"/>
        </w:rPr>
        <w:t xml:space="preserve">przez </w:t>
      </w:r>
      <w:r w:rsidR="00B20392">
        <w:rPr>
          <w:rFonts w:ascii="Lato" w:hAnsi="Lato"/>
        </w:rPr>
        <w:t>OSP</w:t>
      </w:r>
      <w:r w:rsidR="00C7771E" w:rsidRPr="006031E8">
        <w:rPr>
          <w:rFonts w:ascii="Lato" w:hAnsi="Lato"/>
        </w:rPr>
        <w:t>, na terenie kraju</w:t>
      </w:r>
      <w:r>
        <w:rPr>
          <w:rFonts w:ascii="Lato" w:hAnsi="Lato"/>
        </w:rPr>
        <w:t xml:space="preserve"> </w:t>
      </w:r>
      <w:r w:rsidR="00E24527">
        <w:rPr>
          <w:rFonts w:ascii="Lato" w:hAnsi="Lato"/>
        </w:rPr>
        <w:t xml:space="preserve">jest </w:t>
      </w:r>
      <w:r>
        <w:rPr>
          <w:rFonts w:ascii="Lato" w:hAnsi="Lato"/>
        </w:rPr>
        <w:t xml:space="preserve">kontynuowany </w:t>
      </w:r>
      <w:r w:rsidR="00C7771E" w:rsidRPr="006031E8">
        <w:rPr>
          <w:rFonts w:ascii="Lato" w:hAnsi="Lato"/>
        </w:rPr>
        <w:t xml:space="preserve">program </w:t>
      </w:r>
      <w:r w:rsidR="00B20392">
        <w:rPr>
          <w:rFonts w:ascii="Lato" w:hAnsi="Lato"/>
        </w:rPr>
        <w:t>OSD</w:t>
      </w:r>
      <w:r>
        <w:rPr>
          <w:rFonts w:ascii="Lato" w:hAnsi="Lato"/>
        </w:rPr>
        <w:t xml:space="preserve"> </w:t>
      </w:r>
      <w:r w:rsidR="00E24527">
        <w:rPr>
          <w:rFonts w:ascii="Lato" w:hAnsi="Lato"/>
        </w:rPr>
        <w:t>dotyczący</w:t>
      </w:r>
      <w:r>
        <w:rPr>
          <w:rFonts w:ascii="Lato" w:hAnsi="Lato"/>
        </w:rPr>
        <w:t xml:space="preserve"> </w:t>
      </w:r>
      <w:r w:rsidR="00C7771E" w:rsidRPr="006031E8">
        <w:rPr>
          <w:rFonts w:ascii="Lato" w:hAnsi="Lato"/>
        </w:rPr>
        <w:t>przyłącz</w:t>
      </w:r>
      <w:r w:rsidR="009741E2">
        <w:rPr>
          <w:rFonts w:ascii="Lato" w:hAnsi="Lato"/>
        </w:rPr>
        <w:t>ania</w:t>
      </w:r>
      <w:r w:rsidR="00C7771E" w:rsidRPr="006031E8">
        <w:rPr>
          <w:rFonts w:ascii="Lato" w:hAnsi="Lato"/>
        </w:rPr>
        <w:t xml:space="preserve"> do sieci gazowej nowych odbiorców poprzez budowę sieci dystrybucyjnych na terenach niezgazyfikowanych. </w:t>
      </w:r>
    </w:p>
    <w:p w14:paraId="21B0105E" w14:textId="207020BA" w:rsidR="00B03DBA" w:rsidRPr="006031E8" w:rsidRDefault="00C7771E" w:rsidP="000A7C68">
      <w:pPr>
        <w:pStyle w:val="Tekstzwyky"/>
        <w:spacing w:afterLines="60" w:after="144"/>
        <w:rPr>
          <w:rFonts w:ascii="Lato" w:hAnsi="Lato"/>
        </w:rPr>
      </w:pPr>
      <w:r w:rsidRPr="006031E8">
        <w:rPr>
          <w:rFonts w:ascii="Lato" w:hAnsi="Lato"/>
        </w:rPr>
        <w:tab/>
        <w:t xml:space="preserve">Realizacja ww. projektów i programów, stanowiących działania zapobiegawcze pozwoli na: </w:t>
      </w:r>
    </w:p>
    <w:p w14:paraId="7A70BD10" w14:textId="77777777" w:rsidR="00B03DBA" w:rsidRPr="006031E8" w:rsidRDefault="00C7771E" w:rsidP="00983C18">
      <w:pPr>
        <w:pStyle w:val="TekstWypunktowany"/>
        <w:rPr>
          <w:rFonts w:ascii="Lato" w:hAnsi="Lato"/>
        </w:rPr>
      </w:pPr>
      <w:r w:rsidRPr="006031E8">
        <w:rPr>
          <w:rFonts w:ascii="Lato" w:hAnsi="Lato"/>
        </w:rPr>
        <w:t xml:space="preserve">dywersyfikację kierunków i źródeł dostaw, </w:t>
      </w:r>
    </w:p>
    <w:p w14:paraId="521203A0" w14:textId="77777777" w:rsidR="00B03DBA" w:rsidRPr="006031E8" w:rsidRDefault="00C7771E" w:rsidP="00983C18">
      <w:pPr>
        <w:pStyle w:val="TekstWypunktowany"/>
        <w:rPr>
          <w:rFonts w:ascii="Lato" w:hAnsi="Lato"/>
        </w:rPr>
      </w:pPr>
      <w:r w:rsidRPr="006031E8">
        <w:rPr>
          <w:rFonts w:ascii="Lato" w:hAnsi="Lato"/>
        </w:rPr>
        <w:t xml:space="preserve">dalszą liberalizację rynku gazu ziemnego, </w:t>
      </w:r>
    </w:p>
    <w:p w14:paraId="1821F1DC" w14:textId="77777777" w:rsidR="00B03DBA" w:rsidRPr="006031E8" w:rsidRDefault="00C7771E" w:rsidP="00983C18">
      <w:pPr>
        <w:pStyle w:val="TekstWypunktowany"/>
        <w:rPr>
          <w:rFonts w:ascii="Lato" w:hAnsi="Lato"/>
        </w:rPr>
      </w:pPr>
      <w:r w:rsidRPr="006031E8">
        <w:rPr>
          <w:rFonts w:ascii="Lato" w:hAnsi="Lato"/>
        </w:rPr>
        <w:t xml:space="preserve">rozwój infrastruktury przesyłowej na połączeniach transgranicznych, </w:t>
      </w:r>
    </w:p>
    <w:p w14:paraId="69484B81" w14:textId="77777777" w:rsidR="00B03DBA" w:rsidRPr="00C758B1" w:rsidRDefault="00C7771E" w:rsidP="00983C18">
      <w:pPr>
        <w:pStyle w:val="TekstWypunktowany"/>
        <w:rPr>
          <w:rFonts w:ascii="Lato" w:hAnsi="Lato"/>
          <w:color w:val="000000" w:themeColor="text1"/>
        </w:rPr>
      </w:pPr>
      <w:r w:rsidRPr="00C758B1">
        <w:rPr>
          <w:rFonts w:ascii="Lato" w:hAnsi="Lato"/>
          <w:color w:val="000000" w:themeColor="text1"/>
        </w:rPr>
        <w:t>zwiększenie stopnia integracji regionalnych rynków gazu ziemnego,</w:t>
      </w:r>
    </w:p>
    <w:p w14:paraId="39B37C18" w14:textId="78021CB0" w:rsidR="00B20392" w:rsidRPr="005577BE" w:rsidRDefault="00C7771E" w:rsidP="005577BE">
      <w:pPr>
        <w:pStyle w:val="TekstWypunktowany"/>
        <w:rPr>
          <w:rFonts w:ascii="Lato" w:hAnsi="Lato"/>
          <w:color w:val="000000" w:themeColor="text1"/>
        </w:rPr>
      </w:pPr>
      <w:r w:rsidRPr="00C758B1">
        <w:rPr>
          <w:rFonts w:ascii="Lato" w:hAnsi="Lato"/>
          <w:color w:val="000000" w:themeColor="text1"/>
        </w:rPr>
        <w:t>zwiększenie stopnia bezpieczeństwa dostaw gazu ziemnego.</w:t>
      </w:r>
    </w:p>
    <w:p w14:paraId="63FB0B86" w14:textId="27DAAD3B" w:rsidR="00097F69" w:rsidRPr="00C758B1" w:rsidRDefault="00C7771E" w:rsidP="00A41E5A">
      <w:pPr>
        <w:pStyle w:val="Rozdzia1"/>
        <w:numPr>
          <w:ilvl w:val="0"/>
          <w:numId w:val="0"/>
        </w:numPr>
        <w:ind w:left="360" w:hanging="360"/>
        <w:rPr>
          <w:rFonts w:ascii="Lato" w:hAnsi="Lato"/>
        </w:rPr>
      </w:pPr>
      <w:bookmarkStart w:id="3" w:name="_Toc18059328"/>
      <w:bookmarkStart w:id="4" w:name="_Toc18059377"/>
      <w:bookmarkStart w:id="5" w:name="_Toc18063860"/>
      <w:bookmarkStart w:id="6" w:name="_Toc19782924"/>
      <w:bookmarkStart w:id="7" w:name="_Toc142469548"/>
      <w:bookmarkEnd w:id="3"/>
      <w:bookmarkEnd w:id="4"/>
      <w:bookmarkEnd w:id="5"/>
      <w:r w:rsidRPr="00C758B1">
        <w:rPr>
          <w:rFonts w:ascii="Lato" w:hAnsi="Lato"/>
        </w:rPr>
        <w:lastRenderedPageBreak/>
        <w:t>Wstęp</w:t>
      </w:r>
      <w:bookmarkEnd w:id="0"/>
      <w:bookmarkEnd w:id="6"/>
      <w:bookmarkEnd w:id="7"/>
    </w:p>
    <w:p w14:paraId="0F3E65FD" w14:textId="77777777" w:rsidR="00097F69" w:rsidRPr="003F0FCF" w:rsidRDefault="00097F69" w:rsidP="000A7C68">
      <w:pPr>
        <w:spacing w:after="60" w:line="276" w:lineRule="auto"/>
        <w:ind w:firstLine="567"/>
        <w:rPr>
          <w:rFonts w:ascii="Lato" w:eastAsia="Malgun Gothic" w:hAnsi="Lato"/>
        </w:rPr>
      </w:pPr>
      <w:r w:rsidRPr="003F0FCF">
        <w:rPr>
          <w:rFonts w:ascii="Lato" w:eastAsia="Malgun Gothic" w:hAnsi="Lato"/>
          <w:szCs w:val="24"/>
        </w:rPr>
        <w:t xml:space="preserve">Minister właściwy do spraw energii sprawuje nadzór nad bezpieczeństwem energetycznym kraju, w tym bezpieczeństwem dostaw energii, surowców energetycznych i paliw. </w:t>
      </w:r>
    </w:p>
    <w:p w14:paraId="67DB4FCF" w14:textId="67C587F7" w:rsidR="00097F69" w:rsidRPr="003F0FCF" w:rsidRDefault="00097F69" w:rsidP="000A7C68">
      <w:pPr>
        <w:spacing w:after="60" w:line="276" w:lineRule="auto"/>
        <w:ind w:firstLine="567"/>
        <w:rPr>
          <w:rFonts w:ascii="Lato" w:eastAsia="Malgun Gothic" w:hAnsi="Lato"/>
        </w:rPr>
      </w:pPr>
      <w:r w:rsidRPr="003F0FCF">
        <w:rPr>
          <w:rFonts w:ascii="Lato" w:eastAsia="Malgun Gothic" w:hAnsi="Lato"/>
          <w:szCs w:val="24"/>
        </w:rPr>
        <w:t xml:space="preserve">Od dnia 6 października 2020 r. zadania ministra właściwego do spraw energii wykonuje Minister Klimatu i Środowiska – zgodnie z </w:t>
      </w:r>
      <w:r w:rsidR="00E53BC5" w:rsidRPr="003F0FCF">
        <w:rPr>
          <w:rFonts w:ascii="Lato" w:eastAsia="Malgun Gothic" w:hAnsi="Lato"/>
          <w:szCs w:val="24"/>
        </w:rPr>
        <w:t xml:space="preserve">§ </w:t>
      </w:r>
      <w:r w:rsidRPr="003F0FCF">
        <w:rPr>
          <w:rFonts w:ascii="Lato" w:eastAsia="Malgun Gothic" w:hAnsi="Lato"/>
          <w:szCs w:val="24"/>
        </w:rPr>
        <w:t xml:space="preserve">1 ust. 2 pkt 1 rozporządzenia Prezesa Rady Ministrów z dnia 27 października 2021 r. </w:t>
      </w:r>
      <w:r w:rsidRPr="003F0FCF">
        <w:rPr>
          <w:rFonts w:ascii="Lato" w:eastAsia="Malgun Gothic" w:hAnsi="Lato"/>
          <w:i/>
          <w:iCs/>
          <w:szCs w:val="24"/>
        </w:rPr>
        <w:t>w sprawie szczegółowego zakresu działania Ministra Klimatu i Środowiska</w:t>
      </w:r>
      <w:r w:rsidRPr="003F0FCF">
        <w:rPr>
          <w:rFonts w:ascii="Lato" w:eastAsia="Malgun Gothic" w:hAnsi="Lato"/>
          <w:szCs w:val="24"/>
        </w:rPr>
        <w:t xml:space="preserve"> (Dz. U. z 2021 poz. 1949).</w:t>
      </w:r>
    </w:p>
    <w:p w14:paraId="7AC6F2D6" w14:textId="39C319C4" w:rsidR="00B03DBA" w:rsidRPr="00F522D0" w:rsidRDefault="00097F69" w:rsidP="000A7C68">
      <w:pPr>
        <w:spacing w:after="60" w:line="276" w:lineRule="auto"/>
        <w:ind w:firstLine="567"/>
        <w:rPr>
          <w:rFonts w:ascii="Lato" w:eastAsia="Malgun Gothic" w:hAnsi="Lato" w:cs="Times New Roman"/>
          <w:color w:val="000000" w:themeColor="text1"/>
          <w:szCs w:val="24"/>
        </w:rPr>
      </w:pPr>
      <w:r w:rsidRPr="003F0FCF">
        <w:rPr>
          <w:rFonts w:ascii="Lato" w:eastAsia="Malgun Gothic" w:hAnsi="Lato" w:cs="Times New Roman"/>
          <w:color w:val="000000" w:themeColor="text1"/>
          <w:szCs w:val="24"/>
        </w:rPr>
        <w:t>Minister właściwy do spraw energii</w:t>
      </w:r>
      <w:r w:rsidR="00F522D0">
        <w:rPr>
          <w:rFonts w:ascii="Lato" w:eastAsia="Malgun Gothic" w:hAnsi="Lato" w:cs="Times New Roman"/>
          <w:color w:val="000000" w:themeColor="text1"/>
          <w:szCs w:val="24"/>
        </w:rPr>
        <w:t xml:space="preserve">, </w:t>
      </w:r>
      <w:r w:rsidRPr="003F0FCF">
        <w:rPr>
          <w:rFonts w:ascii="Lato" w:eastAsia="Malgun Gothic" w:hAnsi="Lato" w:cs="Times New Roman"/>
          <w:color w:val="000000" w:themeColor="text1"/>
          <w:szCs w:val="24"/>
        </w:rPr>
        <w:t xml:space="preserve">na podstawie art. 15fa ust. </w:t>
      </w:r>
      <w:r w:rsidRPr="00E24527">
        <w:rPr>
          <w:rFonts w:ascii="Lato" w:eastAsia="Malgun Gothic" w:hAnsi="Lato" w:cs="Times New Roman"/>
          <w:color w:val="000000" w:themeColor="text1"/>
          <w:szCs w:val="24"/>
        </w:rPr>
        <w:t xml:space="preserve">1 </w:t>
      </w:r>
      <w:r w:rsidR="00E24527" w:rsidRPr="00E24527">
        <w:rPr>
          <w:rFonts w:ascii="Lato" w:hAnsi="Lato"/>
          <w:szCs w:val="24"/>
        </w:rPr>
        <w:t>ustawy z dnia 10 kwietnia 1997 r. - Prawo energetyczne (Dz.U. z 1997 r. nr 54 poz. 348, dalej jako: ustawa – Prawo energetyczne)</w:t>
      </w:r>
      <w:r w:rsidR="00F522D0" w:rsidRPr="00E24527">
        <w:rPr>
          <w:rFonts w:ascii="Lato" w:eastAsia="Malgun Gothic" w:hAnsi="Lato" w:cs="Times New Roman"/>
          <w:color w:val="000000" w:themeColor="text1"/>
          <w:szCs w:val="24"/>
        </w:rPr>
        <w:t>,</w:t>
      </w:r>
      <w:r w:rsidRPr="00E24527">
        <w:rPr>
          <w:rFonts w:ascii="Lato" w:eastAsia="Malgun Gothic" w:hAnsi="Lato" w:cs="Times New Roman"/>
          <w:color w:val="000000" w:themeColor="text1"/>
          <w:szCs w:val="24"/>
        </w:rPr>
        <w:t xml:space="preserve"> działa jako organ właściwy w rozumieniu </w:t>
      </w:r>
      <w:r w:rsidR="00E24527" w:rsidRPr="00E24527">
        <w:rPr>
          <w:rFonts w:ascii="Lato" w:hAnsi="Lato"/>
          <w:i/>
          <w:iCs/>
          <w:szCs w:val="24"/>
        </w:rPr>
        <w:t>rozporządzenia Parlamentu Europejskiego i Rady (UE) 2017/1938 z dnia 25 października 2017 r. dotyczącego środków zapewniających bezpieczeństwo dostaw gazu ziemnego i uchylającego rozporządzenie (UE) 994/2010</w:t>
      </w:r>
      <w:r w:rsidR="00E24527" w:rsidRPr="00E24527">
        <w:rPr>
          <w:rFonts w:ascii="Lato" w:hAnsi="Lato"/>
          <w:szCs w:val="24"/>
        </w:rPr>
        <w:t xml:space="preserve"> (dalej jako: rozporządzenie 2017/1938)</w:t>
      </w:r>
      <w:r w:rsidRPr="00E24527">
        <w:rPr>
          <w:rFonts w:ascii="Lato" w:eastAsia="Malgun Gothic" w:hAnsi="Lato" w:cs="Times New Roman"/>
          <w:color w:val="000000" w:themeColor="text1"/>
          <w:szCs w:val="24"/>
        </w:rPr>
        <w:t>. Jednym</w:t>
      </w:r>
      <w:r w:rsidRPr="003F0FCF">
        <w:rPr>
          <w:rFonts w:ascii="Lato" w:eastAsia="Malgun Gothic" w:hAnsi="Lato" w:cs="Times New Roman"/>
          <w:color w:val="000000" w:themeColor="text1"/>
          <w:szCs w:val="24"/>
        </w:rPr>
        <w:t xml:space="preserve"> z zadań </w:t>
      </w:r>
      <w:r w:rsidR="00EB2027">
        <w:rPr>
          <w:rFonts w:ascii="Lato" w:eastAsia="Malgun Gothic" w:hAnsi="Lato"/>
        </w:rPr>
        <w:t xml:space="preserve">związanych </w:t>
      </w:r>
      <w:r w:rsidRPr="003F0FCF">
        <w:rPr>
          <w:rFonts w:ascii="Lato" w:eastAsia="Malgun Gothic" w:hAnsi="Lato" w:cs="Times New Roman"/>
          <w:color w:val="000000" w:themeColor="text1"/>
          <w:szCs w:val="24"/>
        </w:rPr>
        <w:t xml:space="preserve">z </w:t>
      </w:r>
      <w:r w:rsidR="00F522D0">
        <w:rPr>
          <w:rFonts w:ascii="Lato" w:eastAsia="Malgun Gothic" w:hAnsi="Lato" w:cs="Times New Roman"/>
          <w:color w:val="000000" w:themeColor="text1"/>
          <w:szCs w:val="24"/>
        </w:rPr>
        <w:t>realizacją tej roli</w:t>
      </w:r>
      <w:r w:rsidRPr="003F0FCF">
        <w:rPr>
          <w:rFonts w:ascii="Lato" w:eastAsia="Malgun Gothic" w:hAnsi="Lato" w:cs="Times New Roman"/>
          <w:color w:val="000000" w:themeColor="text1"/>
          <w:szCs w:val="24"/>
        </w:rPr>
        <w:t xml:space="preserve"> jest </w:t>
      </w:r>
      <w:r w:rsidR="00BE727E">
        <w:rPr>
          <w:rFonts w:ascii="Lato" w:eastAsia="Malgun Gothic" w:hAnsi="Lato" w:cs="Times New Roman"/>
          <w:color w:val="000000" w:themeColor="text1"/>
          <w:szCs w:val="24"/>
        </w:rPr>
        <w:t>opracowanie</w:t>
      </w:r>
      <w:r w:rsidRPr="003F0FCF">
        <w:rPr>
          <w:rFonts w:ascii="Lato" w:eastAsia="Malgun Gothic" w:hAnsi="Lato" w:cs="Times New Roman"/>
          <w:color w:val="000000" w:themeColor="text1"/>
          <w:szCs w:val="24"/>
        </w:rPr>
        <w:t xml:space="preserve">, zgodnie z art. 15fa ust. 2 ustawy – Prawo energetyczne, </w:t>
      </w:r>
      <w:r w:rsidR="00E53BC5" w:rsidRPr="003F0FCF">
        <w:rPr>
          <w:rFonts w:ascii="Lato" w:eastAsia="Malgun Gothic" w:hAnsi="Lato" w:cs="Times New Roman"/>
          <w:color w:val="000000" w:themeColor="text1"/>
          <w:szCs w:val="24"/>
        </w:rPr>
        <w:t xml:space="preserve">planu działań zapobiegawczych </w:t>
      </w:r>
      <w:r w:rsidRPr="003F0FCF">
        <w:rPr>
          <w:rFonts w:ascii="Lato" w:eastAsia="Malgun Gothic" w:hAnsi="Lato" w:cs="Times New Roman"/>
          <w:color w:val="000000" w:themeColor="text1"/>
          <w:szCs w:val="24"/>
        </w:rPr>
        <w:t>związanego z bezpieczeństwem dostaw gazu ziemnego do Polski.</w:t>
      </w:r>
      <w:r w:rsidR="00F522D0">
        <w:rPr>
          <w:rFonts w:ascii="Lato" w:eastAsia="Malgun Gothic" w:hAnsi="Lato" w:cs="Times New Roman"/>
          <w:color w:val="000000" w:themeColor="text1"/>
          <w:szCs w:val="24"/>
        </w:rPr>
        <w:br w:type="page"/>
      </w:r>
    </w:p>
    <w:p w14:paraId="3D628ACC" w14:textId="77777777" w:rsidR="00B03DBA" w:rsidRPr="006E0158" w:rsidRDefault="00C7771E" w:rsidP="00983C18">
      <w:pPr>
        <w:pStyle w:val="Rozdzia1"/>
        <w:rPr>
          <w:rFonts w:ascii="Lato" w:hAnsi="Lato"/>
          <w:sz w:val="28"/>
          <w:szCs w:val="28"/>
        </w:rPr>
      </w:pPr>
      <w:bookmarkStart w:id="8" w:name="_Toc12953892"/>
      <w:bookmarkStart w:id="9" w:name="_Toc19782925"/>
      <w:bookmarkStart w:id="10" w:name="_Toc142469549"/>
      <w:r w:rsidRPr="006E0158">
        <w:rPr>
          <w:rFonts w:ascii="Lato" w:hAnsi="Lato"/>
          <w:sz w:val="28"/>
          <w:szCs w:val="28"/>
        </w:rPr>
        <w:lastRenderedPageBreak/>
        <w:t>Opis systemu</w:t>
      </w:r>
      <w:bookmarkEnd w:id="8"/>
      <w:bookmarkEnd w:id="9"/>
      <w:bookmarkEnd w:id="10"/>
    </w:p>
    <w:p w14:paraId="087390E0" w14:textId="77777777" w:rsidR="00B03DBA" w:rsidRPr="006E0158" w:rsidRDefault="00C7771E" w:rsidP="00983C18">
      <w:pPr>
        <w:pStyle w:val="Rozdzia2"/>
        <w:rPr>
          <w:rFonts w:ascii="Lato" w:hAnsi="Lato"/>
          <w:szCs w:val="28"/>
        </w:rPr>
      </w:pPr>
      <w:bookmarkStart w:id="11" w:name="_Toc12953893"/>
      <w:bookmarkStart w:id="12" w:name="_Toc19782926"/>
      <w:bookmarkStart w:id="13" w:name="_Toc142469550"/>
      <w:r w:rsidRPr="006E0158">
        <w:rPr>
          <w:rFonts w:ascii="Lato" w:hAnsi="Lato"/>
          <w:szCs w:val="28"/>
        </w:rPr>
        <w:t>Opis regionalnego systemu gazowego</w:t>
      </w:r>
      <w:bookmarkEnd w:id="11"/>
      <w:bookmarkEnd w:id="12"/>
      <w:bookmarkEnd w:id="13"/>
    </w:p>
    <w:p w14:paraId="54898FE8" w14:textId="77777777" w:rsidR="00B03DBA" w:rsidRPr="00A41E5A" w:rsidRDefault="00C7771E" w:rsidP="00A41E5A">
      <w:pPr>
        <w:pStyle w:val="Rozdzia3"/>
        <w:rPr>
          <w:rFonts w:ascii="Lato" w:hAnsi="Lato"/>
        </w:rPr>
      </w:pPr>
      <w:bookmarkStart w:id="14" w:name="_Toc12953894"/>
      <w:bookmarkStart w:id="15" w:name="_Toc19782927"/>
      <w:bookmarkStart w:id="16" w:name="_Toc142469551"/>
      <w:r w:rsidRPr="00A41E5A">
        <w:rPr>
          <w:rFonts w:ascii="Lato" w:hAnsi="Lato"/>
        </w:rPr>
        <w:t>Regionalna grupa ryzyka – Białoruś</w:t>
      </w:r>
      <w:bookmarkEnd w:id="14"/>
      <w:bookmarkEnd w:id="15"/>
      <w:bookmarkEnd w:id="16"/>
    </w:p>
    <w:p w14:paraId="5A306B47" w14:textId="2620435A" w:rsidR="00E53BC5" w:rsidRPr="00F522D0" w:rsidRDefault="00C7771E" w:rsidP="000A7C68">
      <w:pPr>
        <w:spacing w:before="120" w:after="60" w:line="276" w:lineRule="auto"/>
        <w:ind w:firstLine="567"/>
        <w:rPr>
          <w:rFonts w:ascii="Lato" w:eastAsia="Malgun Gothic" w:hAnsi="Lato"/>
        </w:rPr>
      </w:pPr>
      <w:r w:rsidRPr="00C758B1">
        <w:rPr>
          <w:rFonts w:ascii="Lato" w:hAnsi="Lato"/>
        </w:rPr>
        <w:tab/>
      </w:r>
      <w:r w:rsidR="00E53BC5" w:rsidRPr="09102414">
        <w:rPr>
          <w:rFonts w:ascii="Lato" w:eastAsia="Malgun Gothic" w:hAnsi="Lato"/>
        </w:rPr>
        <w:t xml:space="preserve">Do regionalnej białoruskiej grupy ryzyka, ze względu na (historyczne) dostawy gazu ziemnego </w:t>
      </w:r>
      <w:r w:rsidR="00F522D0" w:rsidRPr="09102414">
        <w:rPr>
          <w:rFonts w:ascii="Lato" w:eastAsia="Malgun Gothic" w:hAnsi="Lato"/>
        </w:rPr>
        <w:t>z kierunku wschodniego</w:t>
      </w:r>
      <w:r w:rsidR="00E53BC5" w:rsidRPr="09102414">
        <w:rPr>
          <w:rFonts w:ascii="Lato" w:eastAsia="Malgun Gothic" w:hAnsi="Lato"/>
        </w:rPr>
        <w:t xml:space="preserve">, należą: Belgia, </w:t>
      </w:r>
      <w:r w:rsidR="00F522D0" w:rsidRPr="09102414">
        <w:rPr>
          <w:rFonts w:ascii="Lato" w:eastAsia="Malgun Gothic" w:hAnsi="Lato"/>
        </w:rPr>
        <w:t>Czechy</w:t>
      </w:r>
      <w:r w:rsidR="00E53BC5" w:rsidRPr="09102414">
        <w:rPr>
          <w:rFonts w:ascii="Lato" w:eastAsia="Malgun Gothic" w:hAnsi="Lato"/>
        </w:rPr>
        <w:t xml:space="preserve">, Dania, Niemcy, Estonia, Łotwa, Litwa, Luksemburg, </w:t>
      </w:r>
      <w:r w:rsidR="00BC1B79" w:rsidRPr="09102414">
        <w:rPr>
          <w:rFonts w:ascii="Lato" w:eastAsia="Malgun Gothic" w:hAnsi="Lato"/>
        </w:rPr>
        <w:t xml:space="preserve">Finlandia, </w:t>
      </w:r>
      <w:r w:rsidR="00E53BC5" w:rsidRPr="09102414">
        <w:rPr>
          <w:rFonts w:ascii="Lato" w:eastAsia="Malgun Gothic" w:hAnsi="Lato"/>
        </w:rPr>
        <w:t>Holandia, Polska, Słowacja i Szwecja.</w:t>
      </w:r>
    </w:p>
    <w:p w14:paraId="0E9078A9" w14:textId="210A0FAA" w:rsidR="00E53BC5" w:rsidRPr="00F522D0" w:rsidRDefault="00E53BC5" w:rsidP="000A7C68">
      <w:pPr>
        <w:spacing w:after="60" w:line="276" w:lineRule="auto"/>
        <w:ind w:firstLine="567"/>
        <w:rPr>
          <w:rFonts w:ascii="Lato" w:eastAsia="Malgun Gothic" w:hAnsi="Lato"/>
          <w:szCs w:val="24"/>
        </w:rPr>
      </w:pPr>
      <w:r w:rsidRPr="00F522D0">
        <w:rPr>
          <w:rFonts w:ascii="Lato" w:eastAsia="Malgun Gothic" w:hAnsi="Lato"/>
          <w:szCs w:val="24"/>
        </w:rPr>
        <w:t xml:space="preserve">Przeprowadzone analizy wskazują, że całkowite zużycie gazu ziemnego </w:t>
      </w:r>
      <w:r w:rsidR="00A41E5A">
        <w:rPr>
          <w:rFonts w:ascii="Lato" w:eastAsia="Malgun Gothic" w:hAnsi="Lato"/>
          <w:szCs w:val="24"/>
        </w:rPr>
        <w:t xml:space="preserve">w </w:t>
      </w:r>
      <w:r w:rsidR="00A41E5A" w:rsidRPr="00F522D0">
        <w:rPr>
          <w:rFonts w:ascii="Lato" w:eastAsia="Malgun Gothic" w:hAnsi="Lato"/>
          <w:szCs w:val="24"/>
        </w:rPr>
        <w:t>analizowanych latach</w:t>
      </w:r>
      <w:r w:rsidR="00A41E5A">
        <w:rPr>
          <w:rFonts w:ascii="Lato" w:eastAsia="Malgun Gothic" w:hAnsi="Lato"/>
          <w:szCs w:val="24"/>
        </w:rPr>
        <w:t xml:space="preserve"> wzrosło</w:t>
      </w:r>
      <w:r w:rsidR="00A41E5A" w:rsidRPr="00F522D0">
        <w:rPr>
          <w:rFonts w:ascii="Lato" w:eastAsia="Malgun Gothic" w:hAnsi="Lato"/>
          <w:szCs w:val="24"/>
        </w:rPr>
        <w:t xml:space="preserve"> </w:t>
      </w:r>
      <w:r w:rsidRPr="00F522D0">
        <w:rPr>
          <w:rFonts w:ascii="Lato" w:eastAsia="Malgun Gothic" w:hAnsi="Lato"/>
          <w:szCs w:val="24"/>
        </w:rPr>
        <w:t>we wszystkich państwach członkowskich wchodzących w skład tej grupy ryzyka</w:t>
      </w:r>
      <w:r w:rsidR="00A41E5A">
        <w:rPr>
          <w:rFonts w:ascii="Lato" w:eastAsia="Malgun Gothic" w:hAnsi="Lato"/>
          <w:szCs w:val="24"/>
        </w:rPr>
        <w:t>.</w:t>
      </w:r>
      <w:r w:rsidRPr="00F522D0">
        <w:rPr>
          <w:rFonts w:ascii="Lato" w:eastAsia="Malgun Gothic" w:hAnsi="Lato"/>
          <w:szCs w:val="24"/>
        </w:rPr>
        <w:t xml:space="preserve"> W 2017 r. zużycie to wyniosło 185,6 mld m</w:t>
      </w:r>
      <w:r w:rsidRPr="00F522D0">
        <w:rPr>
          <w:rFonts w:ascii="Lato" w:eastAsia="Malgun Gothic" w:hAnsi="Lato"/>
          <w:szCs w:val="24"/>
          <w:vertAlign w:val="superscript"/>
        </w:rPr>
        <w:t>3</w:t>
      </w:r>
      <w:r w:rsidRPr="00F522D0">
        <w:rPr>
          <w:rFonts w:ascii="Lato" w:eastAsia="Malgun Gothic" w:hAnsi="Lato"/>
          <w:szCs w:val="24"/>
        </w:rPr>
        <w:t xml:space="preserve"> (2 036,00 TWh), natomiast w 2021 r. 191,57 mld m</w:t>
      </w:r>
      <w:r w:rsidRPr="00F522D0">
        <w:rPr>
          <w:rFonts w:ascii="Lato" w:eastAsia="Malgun Gothic" w:hAnsi="Lato"/>
          <w:szCs w:val="24"/>
          <w:vertAlign w:val="superscript"/>
        </w:rPr>
        <w:t>3</w:t>
      </w:r>
      <w:r w:rsidRPr="00F522D0">
        <w:rPr>
          <w:rFonts w:ascii="Lato" w:eastAsia="Malgun Gothic" w:hAnsi="Lato"/>
          <w:szCs w:val="24"/>
        </w:rPr>
        <w:t xml:space="preserve"> (2 101,49 TWh). Największe zużycie gazu ziemnego w tej grupie ryzyka, zarówno w 2017, jak i w 2021 r. odnotowano w Niemczech (90,72 mld m</w:t>
      </w:r>
      <w:r w:rsidRPr="00F522D0">
        <w:rPr>
          <w:rFonts w:ascii="Lato" w:eastAsia="Malgun Gothic" w:hAnsi="Lato"/>
          <w:szCs w:val="24"/>
          <w:vertAlign w:val="superscript"/>
        </w:rPr>
        <w:t>3</w:t>
      </w:r>
      <w:r w:rsidRPr="00F522D0">
        <w:rPr>
          <w:rFonts w:ascii="Lato" w:eastAsia="Malgun Gothic" w:hAnsi="Lato"/>
          <w:szCs w:val="24"/>
        </w:rPr>
        <w:t>, tj. 995,17 TWh), a najmniejsze w Estonii (0,44 mld m</w:t>
      </w:r>
      <w:r w:rsidRPr="00F522D0">
        <w:rPr>
          <w:rFonts w:ascii="Lato" w:eastAsia="Malgun Gothic" w:hAnsi="Lato"/>
          <w:szCs w:val="24"/>
          <w:vertAlign w:val="superscript"/>
        </w:rPr>
        <w:t>3</w:t>
      </w:r>
      <w:r w:rsidRPr="00F522D0">
        <w:rPr>
          <w:rFonts w:ascii="Lato" w:eastAsia="Malgun Gothic" w:hAnsi="Lato"/>
          <w:szCs w:val="24"/>
        </w:rPr>
        <w:t>, tj. 4,87 TWh).</w:t>
      </w:r>
    </w:p>
    <w:p w14:paraId="57719428" w14:textId="23A1A9C6" w:rsidR="00E53BC5" w:rsidRPr="00F522D0" w:rsidRDefault="00E53BC5" w:rsidP="000A7C68">
      <w:pPr>
        <w:spacing w:after="60" w:line="276" w:lineRule="auto"/>
        <w:ind w:firstLine="567"/>
        <w:rPr>
          <w:rFonts w:ascii="Lato" w:eastAsia="Malgun Gothic" w:hAnsi="Lato"/>
          <w:szCs w:val="24"/>
        </w:rPr>
      </w:pPr>
      <w:r w:rsidRPr="00F522D0">
        <w:rPr>
          <w:rFonts w:ascii="Lato" w:eastAsia="Malgun Gothic" w:hAnsi="Lato"/>
          <w:szCs w:val="24"/>
        </w:rPr>
        <w:t>Łączne gazociągowe zdolności wszystkich</w:t>
      </w:r>
      <w:r w:rsidR="00B82FB0">
        <w:rPr>
          <w:rFonts w:ascii="Lato" w:eastAsia="Malgun Gothic" w:hAnsi="Lato"/>
          <w:szCs w:val="24"/>
        </w:rPr>
        <w:t xml:space="preserve"> zewnętrznych</w:t>
      </w:r>
      <w:r w:rsidRPr="00F522D0">
        <w:rPr>
          <w:rFonts w:ascii="Lato" w:eastAsia="Malgun Gothic" w:hAnsi="Lato"/>
          <w:szCs w:val="24"/>
        </w:rPr>
        <w:t xml:space="preserve"> punktów wejścia do systemów gazowych </w:t>
      </w:r>
      <w:r w:rsidR="00B82FB0">
        <w:rPr>
          <w:rFonts w:ascii="Lato" w:eastAsia="Malgun Gothic" w:hAnsi="Lato"/>
          <w:szCs w:val="24"/>
        </w:rPr>
        <w:t xml:space="preserve">państw członkowskich należących do </w:t>
      </w:r>
      <w:r w:rsidRPr="00F522D0">
        <w:rPr>
          <w:rFonts w:ascii="Lato" w:eastAsia="Malgun Gothic" w:hAnsi="Lato"/>
          <w:szCs w:val="24"/>
        </w:rPr>
        <w:t xml:space="preserve">grupy </w:t>
      </w:r>
      <w:r w:rsidR="00B82FB0">
        <w:rPr>
          <w:rFonts w:ascii="Lato" w:eastAsia="Malgun Gothic" w:hAnsi="Lato"/>
          <w:szCs w:val="24"/>
        </w:rPr>
        <w:t xml:space="preserve">ryzyka </w:t>
      </w:r>
      <w:r w:rsidRPr="00F522D0">
        <w:rPr>
          <w:rFonts w:ascii="Lato" w:eastAsia="Malgun Gothic" w:hAnsi="Lato"/>
          <w:szCs w:val="24"/>
        </w:rPr>
        <w:t>wynoszą 907,9 mln m</w:t>
      </w:r>
      <w:r w:rsidRPr="00F522D0">
        <w:rPr>
          <w:rFonts w:ascii="Lato" w:eastAsia="Malgun Gothic" w:hAnsi="Lato"/>
          <w:szCs w:val="24"/>
          <w:vertAlign w:val="superscript"/>
        </w:rPr>
        <w:t>3</w:t>
      </w:r>
      <w:r w:rsidRPr="00F522D0">
        <w:rPr>
          <w:rFonts w:ascii="Lato" w:eastAsia="Malgun Gothic" w:hAnsi="Lato"/>
          <w:szCs w:val="24"/>
        </w:rPr>
        <w:t>/dobę (9 959,9 GWh/dobę), w tym największego, zlokalizowanego na granicy Słowacji i Ukrainy: Uzhgorod-Velke Kapusany – 174,44 mln m</w:t>
      </w:r>
      <w:r w:rsidRPr="00F522D0">
        <w:rPr>
          <w:rFonts w:ascii="Lato" w:eastAsia="Malgun Gothic" w:hAnsi="Lato"/>
          <w:szCs w:val="24"/>
          <w:vertAlign w:val="superscript"/>
        </w:rPr>
        <w:t>3</w:t>
      </w:r>
      <w:r w:rsidRPr="00F522D0">
        <w:rPr>
          <w:rFonts w:ascii="Lato" w:eastAsia="Malgun Gothic" w:hAnsi="Lato"/>
          <w:szCs w:val="24"/>
        </w:rPr>
        <w:t>/dobę (1 913,6 GWh/d</w:t>
      </w:r>
      <w:r w:rsidR="00EB2027">
        <w:rPr>
          <w:rFonts w:ascii="Lato" w:eastAsia="Malgun Gothic" w:hAnsi="Lato"/>
          <w:szCs w:val="24"/>
        </w:rPr>
        <w:t>obę</w:t>
      </w:r>
      <w:r w:rsidRPr="00F522D0">
        <w:rPr>
          <w:rFonts w:ascii="Lato" w:eastAsia="Malgun Gothic" w:hAnsi="Lato"/>
          <w:szCs w:val="24"/>
        </w:rPr>
        <w:t>). Łączne zdolności wszystkich punktów wejścia do systemów gazowych grupy z wyłączeniem punktów wejścia z Rosji i Białorusi wynoszą 650,5 mln m</w:t>
      </w:r>
      <w:r w:rsidRPr="00F522D0">
        <w:rPr>
          <w:rFonts w:ascii="Lato" w:eastAsia="Malgun Gothic" w:hAnsi="Lato"/>
          <w:szCs w:val="24"/>
          <w:vertAlign w:val="superscript"/>
        </w:rPr>
        <w:t>3</w:t>
      </w:r>
      <w:r w:rsidRPr="00F522D0">
        <w:rPr>
          <w:rFonts w:ascii="Lato" w:eastAsia="Malgun Gothic" w:hAnsi="Lato"/>
          <w:szCs w:val="24"/>
        </w:rPr>
        <w:t>/dobę (7 136 GWh/d</w:t>
      </w:r>
      <w:r w:rsidR="00EB2027">
        <w:rPr>
          <w:rFonts w:ascii="Lato" w:eastAsia="Malgun Gothic" w:hAnsi="Lato"/>
          <w:szCs w:val="24"/>
        </w:rPr>
        <w:t>obę</w:t>
      </w:r>
      <w:r w:rsidRPr="00F522D0">
        <w:rPr>
          <w:rFonts w:ascii="Lato" w:eastAsia="Malgun Gothic" w:hAnsi="Lato"/>
          <w:szCs w:val="24"/>
        </w:rPr>
        <w:t>).</w:t>
      </w:r>
    </w:p>
    <w:p w14:paraId="348556F6" w14:textId="36A9546A" w:rsidR="005577BE" w:rsidRDefault="00E53BC5" w:rsidP="000A7C68">
      <w:pPr>
        <w:spacing w:after="60" w:line="276" w:lineRule="auto"/>
        <w:ind w:firstLine="567"/>
        <w:rPr>
          <w:rFonts w:ascii="Lato" w:eastAsia="Malgun Gothic" w:hAnsi="Lato"/>
          <w:szCs w:val="24"/>
        </w:rPr>
      </w:pPr>
      <w:r w:rsidRPr="00F522D0">
        <w:rPr>
          <w:rFonts w:ascii="Lato" w:eastAsia="Malgun Gothic" w:hAnsi="Lato"/>
          <w:szCs w:val="24"/>
        </w:rPr>
        <w:t>Terminale LNG w białoruskiej grupie ryzyka funkcjonują w Belgii, Niemczech, Litwie, Holandii i w Polsce.</w:t>
      </w:r>
      <w:r w:rsidR="00A41E5A">
        <w:rPr>
          <w:rFonts w:ascii="Lato" w:eastAsia="Malgun Gothic" w:hAnsi="Lato"/>
          <w:szCs w:val="24"/>
        </w:rPr>
        <w:t xml:space="preserve"> </w:t>
      </w:r>
      <w:r w:rsidRPr="00F522D0">
        <w:rPr>
          <w:rFonts w:ascii="Lato" w:eastAsia="Malgun Gothic" w:hAnsi="Lato"/>
          <w:szCs w:val="24"/>
        </w:rPr>
        <w:t>Finlandia oraz Estonia</w:t>
      </w:r>
      <w:r w:rsidR="00A41E5A">
        <w:rPr>
          <w:rFonts w:ascii="Lato" w:eastAsia="Malgun Gothic" w:hAnsi="Lato"/>
          <w:szCs w:val="24"/>
        </w:rPr>
        <w:t xml:space="preserve"> </w:t>
      </w:r>
      <w:r w:rsidR="00A41E5A" w:rsidRPr="00F522D0">
        <w:rPr>
          <w:rFonts w:ascii="Lato" w:eastAsia="Malgun Gothic" w:hAnsi="Lato"/>
          <w:szCs w:val="24"/>
        </w:rPr>
        <w:t>współdzielą</w:t>
      </w:r>
      <w:r w:rsidRPr="00F522D0">
        <w:rPr>
          <w:rFonts w:ascii="Lato" w:eastAsia="Malgun Gothic" w:hAnsi="Lato"/>
          <w:szCs w:val="24"/>
        </w:rPr>
        <w:t xml:space="preserve"> </w:t>
      </w:r>
      <w:r w:rsidR="00A41E5A">
        <w:rPr>
          <w:rFonts w:ascii="Lato" w:eastAsia="Malgun Gothic" w:hAnsi="Lato"/>
          <w:szCs w:val="24"/>
        </w:rPr>
        <w:t>t</w:t>
      </w:r>
      <w:r w:rsidR="00A41E5A" w:rsidRPr="00F522D0">
        <w:rPr>
          <w:rFonts w:ascii="Lato" w:eastAsia="Malgun Gothic" w:hAnsi="Lato"/>
          <w:szCs w:val="24"/>
        </w:rPr>
        <w:t>erminal FSRU LNG</w:t>
      </w:r>
      <w:r w:rsidR="00D12057">
        <w:rPr>
          <w:rFonts w:ascii="Lato" w:eastAsia="Malgun Gothic" w:hAnsi="Lato"/>
          <w:szCs w:val="24"/>
        </w:rPr>
        <w:t xml:space="preserve">, który </w:t>
      </w:r>
      <w:r w:rsidRPr="00F522D0">
        <w:rPr>
          <w:rFonts w:ascii="Lato" w:eastAsia="Malgun Gothic" w:hAnsi="Lato"/>
          <w:szCs w:val="24"/>
        </w:rPr>
        <w:t xml:space="preserve">w sezonie zimowym </w:t>
      </w:r>
      <w:r w:rsidR="00D12057" w:rsidRPr="00F522D0">
        <w:rPr>
          <w:rFonts w:ascii="Lato" w:eastAsia="Malgun Gothic" w:hAnsi="Lato"/>
          <w:szCs w:val="24"/>
        </w:rPr>
        <w:t xml:space="preserve">jest </w:t>
      </w:r>
      <w:r w:rsidRPr="00F522D0">
        <w:rPr>
          <w:rFonts w:ascii="Lato" w:eastAsia="Malgun Gothic" w:hAnsi="Lato"/>
          <w:szCs w:val="24"/>
        </w:rPr>
        <w:t xml:space="preserve">wykorzystywany do pokrycia zapotrzebowania na gaz ziemny w Finlandii, natomiast w sezonie letnim </w:t>
      </w:r>
      <w:r w:rsidR="00D12057" w:rsidRPr="00F522D0">
        <w:rPr>
          <w:rFonts w:ascii="Lato" w:eastAsia="Malgun Gothic" w:hAnsi="Lato"/>
          <w:szCs w:val="24"/>
        </w:rPr>
        <w:t xml:space="preserve">jest </w:t>
      </w:r>
      <w:r w:rsidRPr="00F522D0">
        <w:rPr>
          <w:rFonts w:ascii="Lato" w:eastAsia="Malgun Gothic" w:hAnsi="Lato"/>
          <w:szCs w:val="24"/>
        </w:rPr>
        <w:t xml:space="preserve">używany do wypełnienia </w:t>
      </w:r>
      <w:r w:rsidR="0022459F" w:rsidRPr="00F522D0">
        <w:rPr>
          <w:rFonts w:ascii="Lato" w:eastAsia="Malgun Gothic" w:hAnsi="Lato"/>
          <w:szCs w:val="24"/>
        </w:rPr>
        <w:t>magazyn</w:t>
      </w:r>
      <w:r w:rsidR="0022459F">
        <w:rPr>
          <w:rFonts w:ascii="Lato" w:eastAsia="Malgun Gothic" w:hAnsi="Lato"/>
          <w:szCs w:val="24"/>
        </w:rPr>
        <w:t>u</w:t>
      </w:r>
      <w:r w:rsidR="0022459F" w:rsidRPr="00F522D0">
        <w:rPr>
          <w:rFonts w:ascii="Lato" w:eastAsia="Malgun Gothic" w:hAnsi="Lato"/>
          <w:szCs w:val="24"/>
        </w:rPr>
        <w:t xml:space="preserve"> </w:t>
      </w:r>
      <w:r w:rsidRPr="00F522D0">
        <w:rPr>
          <w:rFonts w:ascii="Lato" w:eastAsia="Malgun Gothic" w:hAnsi="Lato"/>
          <w:szCs w:val="24"/>
        </w:rPr>
        <w:t>gazu ziemnego In</w:t>
      </w:r>
      <w:r w:rsidRPr="00F522D0">
        <w:rPr>
          <w:rFonts w:ascii="Calibri" w:eastAsia="Malgun Gothic" w:hAnsi="Calibri" w:cs="Calibri"/>
          <w:szCs w:val="24"/>
        </w:rPr>
        <w:t>č</w:t>
      </w:r>
      <w:r w:rsidRPr="00F522D0">
        <w:rPr>
          <w:rFonts w:ascii="Lato" w:eastAsia="Malgun Gothic" w:hAnsi="Lato"/>
          <w:szCs w:val="24"/>
        </w:rPr>
        <w:t xml:space="preserve">ukalns </w:t>
      </w:r>
      <w:r w:rsidR="004A3020">
        <w:rPr>
          <w:rFonts w:ascii="Lato" w:eastAsia="Malgun Gothic" w:hAnsi="Lato"/>
          <w:szCs w:val="24"/>
        </w:rPr>
        <w:t>na Łotwie</w:t>
      </w:r>
      <w:r w:rsidRPr="00F522D0">
        <w:rPr>
          <w:rFonts w:ascii="Lato" w:eastAsia="Malgun Gothic" w:hAnsi="Lato"/>
          <w:szCs w:val="24"/>
        </w:rPr>
        <w:t>. Całkowita zdolność regazyfikacyjna wszystkich terminali w sezonie 2021/2022 wyniosła 146,0 mln m</w:t>
      </w:r>
      <w:r w:rsidRPr="00F522D0">
        <w:rPr>
          <w:rFonts w:ascii="Lato" w:eastAsia="Malgun Gothic" w:hAnsi="Lato"/>
          <w:szCs w:val="24"/>
          <w:vertAlign w:val="superscript"/>
        </w:rPr>
        <w:t>3</w:t>
      </w:r>
      <w:r w:rsidRPr="00F522D0">
        <w:rPr>
          <w:rFonts w:ascii="Lato" w:eastAsia="Malgun Gothic" w:hAnsi="Lato"/>
          <w:szCs w:val="24"/>
        </w:rPr>
        <w:t>/dobę (1 601,9 GWh/dobę), a w skali roku – 53,3 mld m</w:t>
      </w:r>
      <w:r w:rsidRPr="00F522D0">
        <w:rPr>
          <w:rFonts w:ascii="Lato" w:eastAsia="Malgun Gothic" w:hAnsi="Lato"/>
          <w:szCs w:val="24"/>
          <w:vertAlign w:val="superscript"/>
        </w:rPr>
        <w:t>3</w:t>
      </w:r>
      <w:r w:rsidRPr="00F522D0">
        <w:rPr>
          <w:rFonts w:ascii="Lato" w:eastAsia="Malgun Gothic" w:hAnsi="Lato"/>
          <w:szCs w:val="24"/>
        </w:rPr>
        <w:t xml:space="preserve"> (584,7 TWh). W 2023 r. funkcjonowanie rozpoczął również terminal w Wilhelmshaven w Niemczech, co wraz z planowanym terminalem Skulte w Łotwie powinno zwiększyć zdolność regazyfikacyjną terminali LNG w białoruskiej grupie ryzyka do 195,1 mln m</w:t>
      </w:r>
      <w:r w:rsidRPr="00F522D0">
        <w:rPr>
          <w:rFonts w:ascii="Lato" w:eastAsia="Malgun Gothic" w:hAnsi="Lato"/>
          <w:szCs w:val="24"/>
          <w:vertAlign w:val="superscript"/>
        </w:rPr>
        <w:t>3</w:t>
      </w:r>
      <w:r w:rsidRPr="00F522D0">
        <w:rPr>
          <w:rFonts w:ascii="Lato" w:eastAsia="Malgun Gothic" w:hAnsi="Lato"/>
          <w:szCs w:val="24"/>
        </w:rPr>
        <w:t>/dobę (2 140,9 TWh), a w skali roku 71,2 mld m</w:t>
      </w:r>
      <w:r w:rsidRPr="00F522D0">
        <w:rPr>
          <w:rFonts w:ascii="Lato" w:eastAsia="Malgun Gothic" w:hAnsi="Lato"/>
          <w:szCs w:val="24"/>
          <w:vertAlign w:val="superscript"/>
        </w:rPr>
        <w:t>3</w:t>
      </w:r>
      <w:r w:rsidRPr="00F522D0">
        <w:rPr>
          <w:rFonts w:ascii="Lato" w:eastAsia="Malgun Gothic" w:hAnsi="Lato"/>
          <w:szCs w:val="24"/>
        </w:rPr>
        <w:t xml:space="preserve"> (781,4 TWh). Poziom rocznego wykorzystania zdolności regazyfikacyjnych terminali w poszczególnych państwach członkowskich wynosił między 68,2% a 91,7%, natomiast najwyższe dzienne wykorzystanie zdolności regazyfikacynych wynosiło między 97% a 120,4%.</w:t>
      </w:r>
    </w:p>
    <w:p w14:paraId="38C091B9" w14:textId="77777777" w:rsidR="000A7C68" w:rsidRPr="000A7C68" w:rsidRDefault="000A7C68" w:rsidP="000A7C68">
      <w:pPr>
        <w:spacing w:after="60" w:line="276" w:lineRule="auto"/>
        <w:ind w:firstLine="567"/>
        <w:rPr>
          <w:rFonts w:ascii="Lato" w:eastAsia="Malgun Gothic" w:hAnsi="Lato"/>
          <w:szCs w:val="24"/>
        </w:rPr>
      </w:pPr>
    </w:p>
    <w:p w14:paraId="6D98CD0D" w14:textId="77777777" w:rsidR="0067393E" w:rsidRDefault="0067393E" w:rsidP="00983C18">
      <w:pPr>
        <w:spacing w:line="276" w:lineRule="auto"/>
        <w:rPr>
          <w:rFonts w:ascii="Lato" w:eastAsia="Malgun Gothic" w:hAnsi="Lato"/>
          <w:b/>
          <w:sz w:val="22"/>
          <w:szCs w:val="24"/>
        </w:rPr>
      </w:pPr>
    </w:p>
    <w:p w14:paraId="5DAFC0F5" w14:textId="1EC102E5" w:rsidR="00E53BC5" w:rsidRPr="00C758B1" w:rsidRDefault="00E53BC5" w:rsidP="00983C18">
      <w:pPr>
        <w:spacing w:line="276" w:lineRule="auto"/>
        <w:rPr>
          <w:rFonts w:ascii="Lato" w:hAnsi="Lato"/>
          <w:sz w:val="28"/>
          <w:szCs w:val="24"/>
        </w:rPr>
      </w:pPr>
      <w:r w:rsidRPr="00C758B1">
        <w:rPr>
          <w:rFonts w:ascii="Lato" w:eastAsia="Malgun Gothic" w:hAnsi="Lato"/>
          <w:b/>
          <w:sz w:val="22"/>
          <w:szCs w:val="24"/>
        </w:rPr>
        <w:t xml:space="preserve">Tabela </w:t>
      </w:r>
      <w:r w:rsidRPr="00C758B1">
        <w:rPr>
          <w:rFonts w:ascii="Lato" w:eastAsia="Malgun Gothic" w:hAnsi="Lato"/>
          <w:b/>
          <w:sz w:val="22"/>
          <w:szCs w:val="24"/>
        </w:rPr>
        <w:fldChar w:fldCharType="begin"/>
      </w:r>
      <w:r w:rsidRPr="00C758B1">
        <w:rPr>
          <w:rFonts w:ascii="Lato" w:eastAsia="Malgun Gothic" w:hAnsi="Lato"/>
          <w:b/>
          <w:sz w:val="22"/>
          <w:szCs w:val="24"/>
        </w:rPr>
        <w:instrText xml:space="preserve"> SEQ Tabela \* ARABIC </w:instrText>
      </w:r>
      <w:r w:rsidRPr="00C758B1">
        <w:rPr>
          <w:rFonts w:ascii="Lato" w:eastAsia="Malgun Gothic" w:hAnsi="Lato"/>
          <w:b/>
          <w:sz w:val="22"/>
          <w:szCs w:val="24"/>
        </w:rPr>
        <w:fldChar w:fldCharType="separate"/>
      </w:r>
      <w:r w:rsidR="00D520CA">
        <w:rPr>
          <w:rFonts w:ascii="Lato" w:eastAsia="Malgun Gothic" w:hAnsi="Lato"/>
          <w:b/>
          <w:noProof/>
          <w:sz w:val="22"/>
          <w:szCs w:val="24"/>
        </w:rPr>
        <w:t>1</w:t>
      </w:r>
      <w:r w:rsidRPr="00C758B1">
        <w:rPr>
          <w:rFonts w:ascii="Lato" w:eastAsia="Malgun Gothic" w:hAnsi="Lato"/>
          <w:b/>
          <w:sz w:val="22"/>
          <w:szCs w:val="24"/>
        </w:rPr>
        <w:fldChar w:fldCharType="end"/>
      </w:r>
      <w:r w:rsidRPr="00C758B1">
        <w:rPr>
          <w:rFonts w:ascii="Lato" w:eastAsia="Malgun Gothic" w:hAnsi="Lato"/>
          <w:b/>
          <w:sz w:val="22"/>
          <w:szCs w:val="24"/>
        </w:rPr>
        <w:t>. Zdolno</w:t>
      </w:r>
      <w:r w:rsidRPr="00C758B1">
        <w:rPr>
          <w:rFonts w:ascii="Lato" w:eastAsia="Malgun Gothic" w:hAnsi="Lato" w:cs="Calibri"/>
          <w:b/>
          <w:sz w:val="22"/>
          <w:szCs w:val="24"/>
        </w:rPr>
        <w:t>ś</w:t>
      </w:r>
      <w:r w:rsidRPr="00C758B1">
        <w:rPr>
          <w:rFonts w:ascii="Lato" w:eastAsia="Malgun Gothic" w:hAnsi="Lato"/>
          <w:b/>
          <w:sz w:val="22"/>
          <w:szCs w:val="24"/>
        </w:rPr>
        <w:t>ci techniczne terminali LNG w poszczeg</w:t>
      </w:r>
      <w:r w:rsidRPr="00C758B1">
        <w:rPr>
          <w:rFonts w:ascii="Lato" w:eastAsia="Malgun Gothic" w:hAnsi="Lato" w:cs="Malgun Gothic"/>
          <w:b/>
          <w:sz w:val="22"/>
          <w:szCs w:val="24"/>
        </w:rPr>
        <w:t>ó</w:t>
      </w:r>
      <w:r w:rsidRPr="00C758B1">
        <w:rPr>
          <w:rFonts w:ascii="Lato" w:eastAsia="Malgun Gothic" w:hAnsi="Lato"/>
          <w:b/>
          <w:sz w:val="22"/>
          <w:szCs w:val="24"/>
        </w:rPr>
        <w:t>lnych pa</w:t>
      </w:r>
      <w:r w:rsidRPr="00C758B1">
        <w:rPr>
          <w:rFonts w:ascii="Lato" w:eastAsia="Malgun Gothic" w:hAnsi="Lato" w:cs="Calibri"/>
          <w:b/>
          <w:sz w:val="22"/>
          <w:szCs w:val="24"/>
        </w:rPr>
        <w:t>ń</w:t>
      </w:r>
      <w:r w:rsidRPr="00C758B1">
        <w:rPr>
          <w:rFonts w:ascii="Lato" w:eastAsia="Malgun Gothic" w:hAnsi="Lato"/>
          <w:b/>
          <w:sz w:val="22"/>
          <w:szCs w:val="24"/>
        </w:rPr>
        <w:t>stwach cz</w:t>
      </w:r>
      <w:r w:rsidRPr="00C758B1">
        <w:rPr>
          <w:rFonts w:ascii="Lato" w:eastAsia="Malgun Gothic" w:hAnsi="Lato" w:cs="Malgun Gothic"/>
          <w:b/>
          <w:sz w:val="22"/>
          <w:szCs w:val="24"/>
        </w:rPr>
        <w:t>ł</w:t>
      </w:r>
      <w:r w:rsidRPr="00C758B1">
        <w:rPr>
          <w:rFonts w:ascii="Lato" w:eastAsia="Malgun Gothic" w:hAnsi="Lato"/>
          <w:b/>
          <w:sz w:val="22"/>
          <w:szCs w:val="24"/>
        </w:rPr>
        <w:t>onkowskich</w:t>
      </w:r>
    </w:p>
    <w:tbl>
      <w:tblPr>
        <w:tblStyle w:val="Zwykatabela11"/>
        <w:tblW w:w="9072" w:type="dxa"/>
        <w:tblLook w:val="04A0" w:firstRow="1" w:lastRow="0" w:firstColumn="1" w:lastColumn="0" w:noHBand="0" w:noVBand="1"/>
      </w:tblPr>
      <w:tblGrid>
        <w:gridCol w:w="2410"/>
        <w:gridCol w:w="4678"/>
        <w:gridCol w:w="1984"/>
      </w:tblGrid>
      <w:tr w:rsidR="00E53BC5" w:rsidRPr="00C758B1" w14:paraId="4F076ED8" w14:textId="77777777" w:rsidTr="00CE72D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single" w:sz="2" w:space="0" w:color="BFBFBF" w:themeColor="background1" w:themeShade="BF"/>
              <w:right w:val="nil"/>
            </w:tcBorders>
            <w:noWrap/>
            <w:hideMark/>
          </w:tcPr>
          <w:p w14:paraId="3A8A6DFE" w14:textId="77777777" w:rsidR="00E53BC5" w:rsidRPr="00C758B1" w:rsidRDefault="00E53BC5" w:rsidP="00983C18">
            <w:pPr>
              <w:spacing w:line="276" w:lineRule="auto"/>
              <w:rPr>
                <w:rFonts w:ascii="Lato" w:hAnsi="Lato"/>
                <w:sz w:val="18"/>
                <w:szCs w:val="18"/>
              </w:rPr>
            </w:pPr>
          </w:p>
        </w:tc>
        <w:tc>
          <w:tcPr>
            <w:tcW w:w="4678" w:type="dxa"/>
            <w:tcBorders>
              <w:top w:val="nil"/>
              <w:left w:val="nil"/>
              <w:bottom w:val="single" w:sz="2" w:space="0" w:color="BFBFBF" w:themeColor="background1" w:themeShade="BF"/>
              <w:right w:val="single" w:sz="2" w:space="0" w:color="BFBFBF" w:themeColor="background1" w:themeShade="BF"/>
            </w:tcBorders>
            <w:noWrap/>
            <w:hideMark/>
          </w:tcPr>
          <w:p w14:paraId="6BAA6DD5" w14:textId="77777777" w:rsidR="00E53BC5" w:rsidRPr="00C758B1" w:rsidRDefault="00E53BC5" w:rsidP="00983C18">
            <w:pPr>
              <w:spacing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sz w:val="18"/>
                <w:szCs w:val="18"/>
              </w:rPr>
            </w:pPr>
          </w:p>
        </w:tc>
        <w:tc>
          <w:tcPr>
            <w:tcW w:w="198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4465F1" w14:textId="0BC4846E" w:rsidR="00E53BC5" w:rsidRPr="00D12057" w:rsidRDefault="00E53BC5" w:rsidP="00983C18">
            <w:pPr>
              <w:spacing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2022</w:t>
            </w:r>
            <w:r w:rsidR="00F522D0" w:rsidRPr="00D12057">
              <w:rPr>
                <w:rFonts w:ascii="Lato" w:hAnsi="Lato" w:cs="Calibri"/>
                <w:color w:val="000000"/>
                <w:sz w:val="20"/>
                <w:szCs w:val="20"/>
              </w:rPr>
              <w:t xml:space="preserve"> r.</w:t>
            </w:r>
          </w:p>
        </w:tc>
      </w:tr>
      <w:tr w:rsidR="00E53BC5" w:rsidRPr="00C758B1" w14:paraId="3A91FB54"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343952"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Zeebrugge (BE)</w:t>
            </w:r>
          </w:p>
        </w:tc>
        <w:tc>
          <w:tcPr>
            <w:tcW w:w="467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87EB5C"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725D09E7" w14:textId="38C0AF54"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lastRenderedPageBreak/>
              <w:t xml:space="preserve"> (GWh/d)</w:t>
            </w:r>
          </w:p>
        </w:tc>
        <w:tc>
          <w:tcPr>
            <w:tcW w:w="1984" w:type="dxa"/>
            <w:tcBorders>
              <w:top w:val="single" w:sz="2" w:space="0" w:color="BFBFBF" w:themeColor="background1" w:themeShade="BF"/>
              <w:left w:val="single" w:sz="2" w:space="0" w:color="BFBFBF" w:themeColor="background1" w:themeShade="BF"/>
            </w:tcBorders>
            <w:noWrap/>
            <w:hideMark/>
          </w:tcPr>
          <w:p w14:paraId="7651C8D1"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lastRenderedPageBreak/>
              <w:t>540,9</w:t>
            </w:r>
          </w:p>
        </w:tc>
      </w:tr>
      <w:tr w:rsidR="00E53BC5" w:rsidRPr="00C758B1" w14:paraId="071E90C0"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tcBorders>
              <w:top w:val="single" w:sz="2" w:space="0" w:color="BFBFBF" w:themeColor="background1" w:themeShade="BF"/>
            </w:tcBorders>
            <w:hideMark/>
          </w:tcPr>
          <w:p w14:paraId="0D6393AB" w14:textId="77777777" w:rsidR="00E53BC5" w:rsidRPr="00D12057" w:rsidRDefault="00E53BC5" w:rsidP="00983C18">
            <w:pPr>
              <w:spacing w:line="276" w:lineRule="auto"/>
              <w:rPr>
                <w:rFonts w:ascii="Lato" w:hAnsi="Lato" w:cs="Calibri"/>
                <w:color w:val="000000"/>
                <w:sz w:val="20"/>
                <w:szCs w:val="20"/>
              </w:rPr>
            </w:pPr>
          </w:p>
        </w:tc>
        <w:tc>
          <w:tcPr>
            <w:tcW w:w="4678" w:type="dxa"/>
            <w:tcBorders>
              <w:top w:val="single" w:sz="2" w:space="0" w:color="BFBFBF" w:themeColor="background1" w:themeShade="BF"/>
            </w:tcBorders>
            <w:noWrap/>
            <w:hideMark/>
          </w:tcPr>
          <w:p w14:paraId="4024CBE8" w14:textId="0D19173A"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5EAF5361"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3,77</w:t>
            </w:r>
          </w:p>
        </w:tc>
      </w:tr>
      <w:tr w:rsidR="00E53BC5" w:rsidRPr="00C758B1" w14:paraId="343BF4DE"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3AA3C76E"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8268AD9"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39A9700A"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61%</w:t>
            </w:r>
          </w:p>
        </w:tc>
      </w:tr>
      <w:tr w:rsidR="00E53BC5" w:rsidRPr="00C758B1" w14:paraId="12061EC1"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7B2DBC31"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249991F3"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3280CB5B"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97%</w:t>
            </w:r>
          </w:p>
        </w:tc>
      </w:tr>
      <w:tr w:rsidR="00E53BC5" w:rsidRPr="00C758B1" w14:paraId="46DD7CEF"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FD68A8A"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48D7AFE"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32B43838"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83%</w:t>
            </w:r>
          </w:p>
        </w:tc>
      </w:tr>
      <w:tr w:rsidR="00E53BC5" w:rsidRPr="00C758B1" w14:paraId="2E4D50B8"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3A0EA654"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5F0FC59F"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hideMark/>
          </w:tcPr>
          <w:p w14:paraId="7B1D4E2F"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regulowane</w:t>
            </w:r>
          </w:p>
        </w:tc>
      </w:tr>
      <w:tr w:rsidR="00E53BC5" w:rsidRPr="00C758B1" w14:paraId="40AB1426"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shd w:val="clear" w:color="auto" w:fill="auto"/>
            <w:hideMark/>
          </w:tcPr>
          <w:p w14:paraId="671E6F32"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Wilhelmshaven (DE)</w:t>
            </w:r>
          </w:p>
        </w:tc>
        <w:tc>
          <w:tcPr>
            <w:tcW w:w="4678" w:type="dxa"/>
            <w:noWrap/>
            <w:hideMark/>
          </w:tcPr>
          <w:p w14:paraId="159CAE87"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36E030F5" w14:textId="512F8F2C"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hideMark/>
          </w:tcPr>
          <w:p w14:paraId="51C2FE85"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359,4</w:t>
            </w:r>
          </w:p>
        </w:tc>
      </w:tr>
      <w:tr w:rsidR="00E53BC5" w:rsidRPr="00C758B1" w14:paraId="69F322BE"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7E30DBDB"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36F4989" w14:textId="1775A3A3"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4F64D2AD"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1,73</w:t>
            </w:r>
          </w:p>
        </w:tc>
      </w:tr>
      <w:tr w:rsidR="00E53BC5" w:rsidRPr="00C758B1" w14:paraId="16E67E51"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2F88C271"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2C9846B6"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68DD8FE7"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p>
        </w:tc>
      </w:tr>
      <w:tr w:rsidR="00E53BC5" w:rsidRPr="00C758B1" w14:paraId="32A11864"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2388A465"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4C178EA8"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3EC8A650"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312FE1AB"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6931792F"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2A02FD81"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4FC41A40"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p>
        </w:tc>
      </w:tr>
      <w:tr w:rsidR="00E53BC5" w:rsidRPr="00C758B1" w14:paraId="253AF978"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14F11D7D"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0104F904"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tcPr>
          <w:p w14:paraId="36D1AF33"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20636955"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shd w:val="clear" w:color="auto" w:fill="auto"/>
          </w:tcPr>
          <w:p w14:paraId="6281298A"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Brunsbuettel Hafen (DE)</w:t>
            </w:r>
          </w:p>
        </w:tc>
        <w:tc>
          <w:tcPr>
            <w:tcW w:w="4678" w:type="dxa"/>
            <w:noWrap/>
          </w:tcPr>
          <w:p w14:paraId="10236EC6"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3A5D5B07" w14:textId="78058CB4"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tcPr>
          <w:p w14:paraId="2A79DEC1"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lang w:val="en-US"/>
              </w:rPr>
            </w:pPr>
            <w:r w:rsidRPr="00D12057">
              <w:rPr>
                <w:rFonts w:ascii="Lato" w:hAnsi="Lato" w:cs="Calibri"/>
                <w:color w:val="000000"/>
                <w:sz w:val="20"/>
                <w:szCs w:val="20"/>
              </w:rPr>
              <w:t>180,0</w:t>
            </w:r>
          </w:p>
        </w:tc>
      </w:tr>
      <w:tr w:rsidR="00E53BC5" w:rsidRPr="00C758B1" w14:paraId="02712AFD"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tcPr>
          <w:p w14:paraId="20CCA5D7" w14:textId="77777777" w:rsidR="00E53BC5" w:rsidRPr="00D12057" w:rsidRDefault="00E53BC5" w:rsidP="00983C18">
            <w:pPr>
              <w:spacing w:line="276" w:lineRule="auto"/>
              <w:rPr>
                <w:rFonts w:ascii="Lato" w:hAnsi="Lato" w:cs="Calibri"/>
                <w:color w:val="000000"/>
                <w:sz w:val="20"/>
                <w:szCs w:val="20"/>
                <w:lang w:val="en-US"/>
              </w:rPr>
            </w:pPr>
          </w:p>
        </w:tc>
        <w:tc>
          <w:tcPr>
            <w:tcW w:w="4678" w:type="dxa"/>
            <w:noWrap/>
          </w:tcPr>
          <w:p w14:paraId="6602F947" w14:textId="169CC671"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tcPr>
          <w:p w14:paraId="1B220046"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723A963F"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tcPr>
          <w:p w14:paraId="4A8AF02B" w14:textId="77777777" w:rsidR="00E53BC5" w:rsidRPr="00D12057" w:rsidRDefault="00E53BC5" w:rsidP="00983C18">
            <w:pPr>
              <w:spacing w:line="276" w:lineRule="auto"/>
              <w:rPr>
                <w:rFonts w:ascii="Lato" w:hAnsi="Lato" w:cs="Calibri"/>
                <w:color w:val="000000"/>
                <w:sz w:val="20"/>
                <w:szCs w:val="20"/>
              </w:rPr>
            </w:pPr>
          </w:p>
        </w:tc>
        <w:tc>
          <w:tcPr>
            <w:tcW w:w="4678" w:type="dxa"/>
            <w:noWrap/>
          </w:tcPr>
          <w:p w14:paraId="4F2C8DAB"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tcPr>
          <w:p w14:paraId="7B43C71D"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p>
        </w:tc>
      </w:tr>
      <w:tr w:rsidR="00E53BC5" w:rsidRPr="00C758B1" w14:paraId="50B052AC"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tcPr>
          <w:p w14:paraId="4CA2F2AF" w14:textId="77777777" w:rsidR="00E53BC5" w:rsidRPr="00D12057" w:rsidRDefault="00E53BC5" w:rsidP="00983C18">
            <w:pPr>
              <w:spacing w:line="276" w:lineRule="auto"/>
              <w:rPr>
                <w:rFonts w:ascii="Lato" w:hAnsi="Lato" w:cs="Calibri"/>
                <w:color w:val="000000"/>
                <w:sz w:val="20"/>
                <w:szCs w:val="20"/>
              </w:rPr>
            </w:pPr>
          </w:p>
        </w:tc>
        <w:tc>
          <w:tcPr>
            <w:tcW w:w="4678" w:type="dxa"/>
            <w:noWrap/>
          </w:tcPr>
          <w:p w14:paraId="224510E6"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tcPr>
          <w:p w14:paraId="4EA5FB8E"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339B0FC2"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tcPr>
          <w:p w14:paraId="17607364" w14:textId="77777777" w:rsidR="00E53BC5" w:rsidRPr="00D12057" w:rsidRDefault="00E53BC5" w:rsidP="00983C18">
            <w:pPr>
              <w:spacing w:line="276" w:lineRule="auto"/>
              <w:rPr>
                <w:rFonts w:ascii="Lato" w:hAnsi="Lato" w:cs="Calibri"/>
                <w:color w:val="000000"/>
                <w:sz w:val="20"/>
                <w:szCs w:val="20"/>
              </w:rPr>
            </w:pPr>
          </w:p>
        </w:tc>
        <w:tc>
          <w:tcPr>
            <w:tcW w:w="4678" w:type="dxa"/>
            <w:noWrap/>
          </w:tcPr>
          <w:p w14:paraId="6A37942C"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tcPr>
          <w:p w14:paraId="713C5BCF"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p>
        </w:tc>
      </w:tr>
      <w:tr w:rsidR="00E53BC5" w:rsidRPr="00C758B1" w14:paraId="77DD8F1C"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tcPr>
          <w:p w14:paraId="5EB84D2E" w14:textId="77777777" w:rsidR="00E53BC5" w:rsidRPr="00D12057" w:rsidRDefault="00E53BC5" w:rsidP="00983C18">
            <w:pPr>
              <w:spacing w:line="276" w:lineRule="auto"/>
              <w:rPr>
                <w:rFonts w:ascii="Lato" w:hAnsi="Lato" w:cs="Calibri"/>
                <w:color w:val="000000"/>
                <w:sz w:val="20"/>
                <w:szCs w:val="20"/>
              </w:rPr>
            </w:pPr>
          </w:p>
        </w:tc>
        <w:tc>
          <w:tcPr>
            <w:tcW w:w="4678" w:type="dxa"/>
            <w:noWrap/>
          </w:tcPr>
          <w:p w14:paraId="5F75D765"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tcPr>
          <w:p w14:paraId="46D516EE"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7E0F2391"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hideMark/>
          </w:tcPr>
          <w:p w14:paraId="09C81F89"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Klaipeda (LT)</w:t>
            </w:r>
          </w:p>
        </w:tc>
        <w:tc>
          <w:tcPr>
            <w:tcW w:w="4678" w:type="dxa"/>
            <w:noWrap/>
            <w:hideMark/>
          </w:tcPr>
          <w:p w14:paraId="5D6E6FB5"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70C061A5" w14:textId="1C7E17E8"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hideMark/>
          </w:tcPr>
          <w:p w14:paraId="1F6EF08D"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122,4</w:t>
            </w:r>
          </w:p>
        </w:tc>
      </w:tr>
      <w:tr w:rsidR="00E53BC5" w:rsidRPr="00C758B1" w14:paraId="54C299A4"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25D4636B"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5FF6CF85" w14:textId="17135BBD"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1A83FE61"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1,10</w:t>
            </w:r>
          </w:p>
        </w:tc>
      </w:tr>
      <w:tr w:rsidR="00E53BC5" w:rsidRPr="00C758B1" w14:paraId="5C5A1603"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488D1094"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66C1DC19"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36259F39"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68,2%</w:t>
            </w:r>
          </w:p>
        </w:tc>
      </w:tr>
      <w:tr w:rsidR="00E53BC5" w:rsidRPr="00C758B1" w14:paraId="14530FA7" w14:textId="77777777" w:rsidTr="00CE72DC">
        <w:trPr>
          <w:trHeight w:val="95"/>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70B55CC"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58E72B61"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377811E3"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98,9%</w:t>
            </w:r>
          </w:p>
        </w:tc>
      </w:tr>
      <w:tr w:rsidR="00E53BC5" w:rsidRPr="00C758B1" w14:paraId="02DDB6C9"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518C3982"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0B8700C7"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55358FE2"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97,1%</w:t>
            </w:r>
          </w:p>
        </w:tc>
      </w:tr>
      <w:tr w:rsidR="00E53BC5" w:rsidRPr="00C758B1" w14:paraId="306B390D"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EB9DCCB"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0B580BD4"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hideMark/>
          </w:tcPr>
          <w:p w14:paraId="4BCA7159"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regulowane</w:t>
            </w:r>
          </w:p>
        </w:tc>
      </w:tr>
      <w:tr w:rsidR="00E53BC5" w:rsidRPr="00C758B1" w14:paraId="237F86E3"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shd w:val="clear" w:color="auto" w:fill="auto"/>
            <w:hideMark/>
          </w:tcPr>
          <w:p w14:paraId="1C7879C6"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Skulte (LV)</w:t>
            </w:r>
          </w:p>
        </w:tc>
        <w:tc>
          <w:tcPr>
            <w:tcW w:w="4678" w:type="dxa"/>
            <w:noWrap/>
            <w:hideMark/>
          </w:tcPr>
          <w:p w14:paraId="54E4506F"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55EE924E" w14:textId="58731E3B"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hideMark/>
          </w:tcPr>
          <w:p w14:paraId="3C6FAE53"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179,7</w:t>
            </w:r>
          </w:p>
        </w:tc>
      </w:tr>
      <w:tr w:rsidR="00E53BC5" w:rsidRPr="00C758B1" w14:paraId="187B44F6"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6E66790B"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6C3E9F3E" w14:textId="5CB32BFD"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396FFE4B"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26F042D8"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4C11504E"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4F42B05A"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4C745BBD"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p>
        </w:tc>
      </w:tr>
      <w:tr w:rsidR="00E53BC5" w:rsidRPr="00C758B1" w14:paraId="4BF7D45C" w14:textId="77777777" w:rsidTr="00CE72DC">
        <w:trPr>
          <w:trHeight w:val="73"/>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6A41227F"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5FD54DA8"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151118F9"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206707FC"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7D9AA755"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11266E2"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2A01C172"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p>
        </w:tc>
      </w:tr>
      <w:tr w:rsidR="00E53BC5" w:rsidRPr="00C758B1" w14:paraId="513382BB"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auto"/>
            <w:hideMark/>
          </w:tcPr>
          <w:p w14:paraId="2BAA12A9"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69A9524"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hideMark/>
          </w:tcPr>
          <w:p w14:paraId="6358654F"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regulowane </w:t>
            </w:r>
          </w:p>
        </w:tc>
      </w:tr>
      <w:tr w:rsidR="00E53BC5" w:rsidRPr="00C758B1" w14:paraId="64506150"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hideMark/>
          </w:tcPr>
          <w:p w14:paraId="402B2383"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Gate (NL)</w:t>
            </w:r>
          </w:p>
        </w:tc>
        <w:tc>
          <w:tcPr>
            <w:tcW w:w="4678" w:type="dxa"/>
            <w:noWrap/>
            <w:hideMark/>
          </w:tcPr>
          <w:p w14:paraId="51FE41CA"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222EBD20" w14:textId="1DFF6CF6"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hideMark/>
          </w:tcPr>
          <w:p w14:paraId="761A26D3"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482,9</w:t>
            </w:r>
          </w:p>
        </w:tc>
      </w:tr>
      <w:tr w:rsidR="00E53BC5" w:rsidRPr="00C758B1" w14:paraId="79340BDD"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7AB23338"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2163E089" w14:textId="60AB69F1"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0FA99E8C"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3,57</w:t>
            </w:r>
          </w:p>
        </w:tc>
      </w:tr>
      <w:tr w:rsidR="00E53BC5" w:rsidRPr="00C758B1" w14:paraId="4F0EDC1A"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5CB82787"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1FD144D4"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3A4A4A3D"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91,7%</w:t>
            </w:r>
          </w:p>
        </w:tc>
      </w:tr>
      <w:tr w:rsidR="00E53BC5" w:rsidRPr="00C758B1" w14:paraId="4EED6F82"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81EB867"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1D94EA90"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74F7510E"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99,6%</w:t>
            </w:r>
          </w:p>
        </w:tc>
      </w:tr>
      <w:tr w:rsidR="00E53BC5" w:rsidRPr="00C758B1" w14:paraId="23D34724"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5DBBDF3"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5A12C015"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1C5FD74C"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98,4%</w:t>
            </w:r>
          </w:p>
        </w:tc>
      </w:tr>
      <w:tr w:rsidR="00E53BC5" w:rsidRPr="00C758B1" w14:paraId="7D393316"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7B5D0352"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A55596D"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hideMark/>
          </w:tcPr>
          <w:p w14:paraId="77546F27"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regulowane</w:t>
            </w:r>
          </w:p>
        </w:tc>
      </w:tr>
      <w:tr w:rsidR="00E53BC5" w:rsidRPr="00C758B1" w14:paraId="126D8A01"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shd w:val="clear" w:color="auto" w:fill="FFFFFF" w:themeFill="background1"/>
            <w:hideMark/>
          </w:tcPr>
          <w:p w14:paraId="1669C004"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EemsEnergyTerminal (NL)</w:t>
            </w:r>
          </w:p>
        </w:tc>
        <w:tc>
          <w:tcPr>
            <w:tcW w:w="4678" w:type="dxa"/>
            <w:noWrap/>
            <w:hideMark/>
          </w:tcPr>
          <w:p w14:paraId="71F81804"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55BE44FE" w14:textId="36DBAA71"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hideMark/>
          </w:tcPr>
          <w:p w14:paraId="7F69A1B5"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228,3</w:t>
            </w:r>
          </w:p>
        </w:tc>
      </w:tr>
      <w:tr w:rsidR="00E53BC5" w:rsidRPr="00C758B1" w14:paraId="50BBCDC4"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FFFFFF" w:themeFill="background1"/>
            <w:hideMark/>
          </w:tcPr>
          <w:p w14:paraId="0F53F58C"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22FFC3A5" w14:textId="2B0C2502"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490144DE"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1,03</w:t>
            </w:r>
          </w:p>
        </w:tc>
      </w:tr>
      <w:tr w:rsidR="00E53BC5" w:rsidRPr="00C758B1" w14:paraId="3FE67181"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FFFFFF" w:themeFill="background1"/>
            <w:hideMark/>
          </w:tcPr>
          <w:p w14:paraId="4FD1BF3B"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3CA20AE8"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2F894345"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83,6%</w:t>
            </w:r>
          </w:p>
        </w:tc>
      </w:tr>
      <w:tr w:rsidR="00E53BC5" w:rsidRPr="00C758B1" w14:paraId="7F5C0FC5"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FFFFFF" w:themeFill="background1"/>
            <w:hideMark/>
          </w:tcPr>
          <w:p w14:paraId="069D27A0"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5605DCB9"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39F17681"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100,0%</w:t>
            </w:r>
          </w:p>
        </w:tc>
      </w:tr>
      <w:tr w:rsidR="00E53BC5" w:rsidRPr="00C758B1" w14:paraId="722001D1"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FFFFFF" w:themeFill="background1"/>
            <w:hideMark/>
          </w:tcPr>
          <w:p w14:paraId="09D601C4"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720E5FCB"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2C7DD34D"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90,1%</w:t>
            </w:r>
          </w:p>
        </w:tc>
      </w:tr>
      <w:tr w:rsidR="00E53BC5" w:rsidRPr="00C758B1" w14:paraId="33FEB203"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shd w:val="clear" w:color="auto" w:fill="FFFFFF" w:themeFill="background1"/>
            <w:hideMark/>
          </w:tcPr>
          <w:p w14:paraId="50F2AEC1"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0926F776"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hideMark/>
          </w:tcPr>
          <w:p w14:paraId="36F01913"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p>
        </w:tc>
      </w:tr>
      <w:tr w:rsidR="00E53BC5" w:rsidRPr="00C758B1" w14:paraId="18369D0A" w14:textId="77777777" w:rsidTr="00CE72DC">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410" w:type="dxa"/>
            <w:vMerge w:val="restart"/>
            <w:hideMark/>
          </w:tcPr>
          <w:p w14:paraId="4CFFFB33" w14:textId="77777777" w:rsidR="00E53BC5" w:rsidRPr="00D12057" w:rsidRDefault="00E53BC5" w:rsidP="00983C18">
            <w:pPr>
              <w:spacing w:line="276" w:lineRule="auto"/>
              <w:jc w:val="center"/>
              <w:rPr>
                <w:rFonts w:ascii="Lato" w:hAnsi="Lato" w:cs="Calibri"/>
                <w:color w:val="000000"/>
                <w:sz w:val="20"/>
                <w:szCs w:val="20"/>
              </w:rPr>
            </w:pPr>
            <w:r w:rsidRPr="00D12057">
              <w:rPr>
                <w:rFonts w:ascii="Lato" w:hAnsi="Lato" w:cs="Calibri"/>
                <w:color w:val="000000"/>
                <w:sz w:val="20"/>
                <w:szCs w:val="20"/>
              </w:rPr>
              <w:t>Świnoujście (PL)</w:t>
            </w:r>
          </w:p>
        </w:tc>
        <w:tc>
          <w:tcPr>
            <w:tcW w:w="4678" w:type="dxa"/>
            <w:noWrap/>
            <w:hideMark/>
          </w:tcPr>
          <w:p w14:paraId="1354B2C4"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 xml:space="preserve">Techniczna zdolność regazyfikacyjna terminalu LNG </w:t>
            </w:r>
          </w:p>
          <w:p w14:paraId="335AB783" w14:textId="5CF2E12C"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(GWh/d)</w:t>
            </w:r>
          </w:p>
        </w:tc>
        <w:tc>
          <w:tcPr>
            <w:tcW w:w="1984" w:type="dxa"/>
            <w:noWrap/>
            <w:hideMark/>
          </w:tcPr>
          <w:p w14:paraId="3A3ED9CF"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227,3</w:t>
            </w:r>
          </w:p>
        </w:tc>
      </w:tr>
      <w:tr w:rsidR="00E53BC5" w:rsidRPr="00C758B1" w14:paraId="6ACB2194"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2333D03"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02B84E4C" w14:textId="0BF48B22"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Pojemność zdolności magazynowych LNG</w:t>
            </w:r>
            <w:r w:rsidR="00F522D0" w:rsidRPr="00D12057">
              <w:rPr>
                <w:rFonts w:ascii="Lato" w:hAnsi="Lato" w:cs="Calibri"/>
                <w:color w:val="000000"/>
                <w:sz w:val="20"/>
                <w:szCs w:val="20"/>
              </w:rPr>
              <w:t xml:space="preserve"> </w:t>
            </w:r>
            <w:r w:rsidRPr="00D12057">
              <w:rPr>
                <w:rFonts w:ascii="Lato" w:hAnsi="Lato" w:cs="Calibri"/>
                <w:color w:val="000000"/>
                <w:sz w:val="20"/>
                <w:szCs w:val="20"/>
              </w:rPr>
              <w:t>[TWh]</w:t>
            </w:r>
          </w:p>
        </w:tc>
        <w:tc>
          <w:tcPr>
            <w:tcW w:w="1984" w:type="dxa"/>
            <w:noWrap/>
            <w:hideMark/>
          </w:tcPr>
          <w:p w14:paraId="73A0618C"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2,12</w:t>
            </w:r>
          </w:p>
        </w:tc>
      </w:tr>
      <w:tr w:rsidR="00E53BC5" w:rsidRPr="00C758B1" w14:paraId="61D97EA8" w14:textId="77777777" w:rsidTr="00CE72DC">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2410" w:type="dxa"/>
            <w:vMerge/>
            <w:hideMark/>
          </w:tcPr>
          <w:p w14:paraId="0DD4085B"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1A513997"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Średni roczny stopień wykorzystania [%]</w:t>
            </w:r>
          </w:p>
        </w:tc>
        <w:tc>
          <w:tcPr>
            <w:tcW w:w="1984" w:type="dxa"/>
            <w:noWrap/>
            <w:hideMark/>
          </w:tcPr>
          <w:p w14:paraId="391B27FA"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78,7%</w:t>
            </w:r>
          </w:p>
        </w:tc>
      </w:tr>
      <w:tr w:rsidR="00E53BC5" w:rsidRPr="00C758B1" w14:paraId="2E67C94D"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6FDCCEE4"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04F9F532"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dziennego wykorzystania [%]</w:t>
            </w:r>
          </w:p>
        </w:tc>
        <w:tc>
          <w:tcPr>
            <w:tcW w:w="1984" w:type="dxa"/>
            <w:noWrap/>
            <w:hideMark/>
          </w:tcPr>
          <w:p w14:paraId="04403617"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120,4%</w:t>
            </w:r>
          </w:p>
        </w:tc>
      </w:tr>
      <w:tr w:rsidR="00E53BC5" w:rsidRPr="00C758B1" w14:paraId="03D34C88" w14:textId="77777777" w:rsidTr="00CE72DC">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2410" w:type="dxa"/>
            <w:vMerge/>
            <w:hideMark/>
          </w:tcPr>
          <w:p w14:paraId="5EA26A9C"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17E0C222"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Maksymalny poziom tygodniowego wykorzystania [%]</w:t>
            </w:r>
          </w:p>
        </w:tc>
        <w:tc>
          <w:tcPr>
            <w:tcW w:w="1984" w:type="dxa"/>
            <w:noWrap/>
            <w:hideMark/>
          </w:tcPr>
          <w:p w14:paraId="24845590" w14:textId="77777777" w:rsidR="00E53BC5" w:rsidRPr="00D12057" w:rsidRDefault="00E53BC5"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106,4%</w:t>
            </w:r>
          </w:p>
        </w:tc>
      </w:tr>
      <w:tr w:rsidR="00E53BC5" w:rsidRPr="00C758B1" w14:paraId="7D132C9F" w14:textId="77777777" w:rsidTr="00CE72DC">
        <w:trPr>
          <w:trHeight w:val="67"/>
        </w:trPr>
        <w:tc>
          <w:tcPr>
            <w:cnfStyle w:val="001000000000" w:firstRow="0" w:lastRow="0" w:firstColumn="1" w:lastColumn="0" w:oddVBand="0" w:evenVBand="0" w:oddHBand="0" w:evenHBand="0" w:firstRowFirstColumn="0" w:firstRowLastColumn="0" w:lastRowFirstColumn="0" w:lastRowLastColumn="0"/>
            <w:tcW w:w="2410" w:type="dxa"/>
            <w:vMerge/>
            <w:hideMark/>
          </w:tcPr>
          <w:p w14:paraId="5C2BC15D" w14:textId="77777777" w:rsidR="00E53BC5" w:rsidRPr="00D12057" w:rsidRDefault="00E53BC5" w:rsidP="00983C18">
            <w:pPr>
              <w:spacing w:line="276" w:lineRule="auto"/>
              <w:rPr>
                <w:rFonts w:ascii="Lato" w:hAnsi="Lato" w:cs="Calibri"/>
                <w:color w:val="000000"/>
                <w:sz w:val="20"/>
                <w:szCs w:val="20"/>
              </w:rPr>
            </w:pPr>
          </w:p>
        </w:tc>
        <w:tc>
          <w:tcPr>
            <w:tcW w:w="4678" w:type="dxa"/>
            <w:noWrap/>
            <w:hideMark/>
          </w:tcPr>
          <w:p w14:paraId="15A60353"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Zasady dostępu</w:t>
            </w:r>
          </w:p>
        </w:tc>
        <w:tc>
          <w:tcPr>
            <w:tcW w:w="1984" w:type="dxa"/>
            <w:noWrap/>
            <w:hideMark/>
          </w:tcPr>
          <w:p w14:paraId="1CDA4844" w14:textId="77777777" w:rsidR="00E53BC5" w:rsidRPr="00D12057" w:rsidRDefault="00E53BC5" w:rsidP="00983C18">
            <w:pPr>
              <w:spacing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Calibri"/>
                <w:color w:val="000000"/>
                <w:sz w:val="20"/>
                <w:szCs w:val="20"/>
              </w:rPr>
            </w:pPr>
            <w:r w:rsidRPr="00D12057">
              <w:rPr>
                <w:rFonts w:ascii="Lato" w:hAnsi="Lato" w:cs="Calibri"/>
                <w:color w:val="000000"/>
                <w:sz w:val="20"/>
                <w:szCs w:val="20"/>
              </w:rPr>
              <w:t>regulowane</w:t>
            </w:r>
          </w:p>
        </w:tc>
      </w:tr>
    </w:tbl>
    <w:p w14:paraId="63A3BA62" w14:textId="77777777" w:rsidR="00E53BC5" w:rsidRPr="00C758B1" w:rsidRDefault="00E53BC5" w:rsidP="00983C18">
      <w:pPr>
        <w:pStyle w:val="StandardowyTekst"/>
        <w:spacing w:line="276" w:lineRule="auto"/>
        <w:rPr>
          <w:rFonts w:ascii="Lato" w:eastAsia="Malgun Gothic" w:hAnsi="Lato"/>
          <w:sz w:val="20"/>
        </w:rPr>
      </w:pPr>
    </w:p>
    <w:p w14:paraId="1B322DBA" w14:textId="6CB53CE8" w:rsidR="00E53BC5" w:rsidRPr="00F522D0" w:rsidRDefault="00F522D0" w:rsidP="000A7C68">
      <w:pPr>
        <w:spacing w:before="120" w:after="60" w:line="276" w:lineRule="auto"/>
        <w:ind w:firstLine="567"/>
        <w:rPr>
          <w:rFonts w:ascii="Lato" w:eastAsia="Malgun Gothic" w:hAnsi="Lato"/>
        </w:rPr>
      </w:pPr>
      <w:r w:rsidRPr="09102414">
        <w:rPr>
          <w:rFonts w:ascii="Lato" w:eastAsia="Malgun Gothic" w:hAnsi="Lato"/>
        </w:rPr>
        <w:t>Łączna</w:t>
      </w:r>
      <w:r w:rsidR="00E53BC5" w:rsidRPr="09102414">
        <w:rPr>
          <w:rFonts w:ascii="Lato" w:eastAsia="Malgun Gothic" w:hAnsi="Lato"/>
        </w:rPr>
        <w:t xml:space="preserve"> pojemność czynna podziemnych magazynów gazu ziemnego w 2022 r. w państwach członkowskich tworzących białoruską grupę ryzyka wyniosła łącznie 48,81 mld m</w:t>
      </w:r>
      <w:r w:rsidR="00E53BC5" w:rsidRPr="09102414">
        <w:rPr>
          <w:rFonts w:ascii="Lato" w:eastAsia="Malgun Gothic" w:hAnsi="Lato"/>
          <w:vertAlign w:val="superscript"/>
        </w:rPr>
        <w:t>3</w:t>
      </w:r>
      <w:r w:rsidR="00E53BC5" w:rsidRPr="09102414">
        <w:rPr>
          <w:rFonts w:ascii="Lato" w:eastAsia="Malgun Gothic" w:hAnsi="Lato"/>
        </w:rPr>
        <w:t xml:space="preserve"> (535 TWh). Instalacjami magazynowymi dysponują Belgia, </w:t>
      </w:r>
      <w:r w:rsidR="004A400B">
        <w:rPr>
          <w:rFonts w:ascii="Lato" w:eastAsia="Malgun Gothic" w:hAnsi="Lato"/>
        </w:rPr>
        <w:t>Czechy,</w:t>
      </w:r>
      <w:r w:rsidR="00E53BC5" w:rsidRPr="09102414">
        <w:rPr>
          <w:rFonts w:ascii="Lato" w:eastAsia="Malgun Gothic" w:hAnsi="Lato"/>
        </w:rPr>
        <w:t xml:space="preserve"> Niemcy, Dania, Łotwa, Holandia, Polska, Słowacja i Szwecja. Estonia, Finlandia, Luksemburg oraz Litwa nie posiadają podziemnych magazynów gazu ziemnego w swoim systemie gazowym. </w:t>
      </w:r>
    </w:p>
    <w:p w14:paraId="6F10F02A" w14:textId="77777777" w:rsidR="00E53BC5" w:rsidRPr="00F522D0" w:rsidRDefault="00E53BC5" w:rsidP="000A7C68">
      <w:pPr>
        <w:spacing w:after="60" w:line="276" w:lineRule="auto"/>
        <w:ind w:firstLine="567"/>
        <w:rPr>
          <w:rFonts w:ascii="Lato" w:eastAsia="Malgun Gothic" w:hAnsi="Lato"/>
          <w:szCs w:val="24"/>
        </w:rPr>
      </w:pPr>
      <w:r w:rsidRPr="00F522D0">
        <w:rPr>
          <w:rFonts w:ascii="Lato" w:eastAsia="Malgun Gothic" w:hAnsi="Lato"/>
          <w:szCs w:val="24"/>
        </w:rPr>
        <w:t>W 2022 r. maksymalna zdolność odbioru gazu ziemnego z podziemnych magazynów gazu białoruskiej grupy ryzyka przy całkowitym napełnieniu wyniosła 1,088 mld m</w:t>
      </w:r>
      <w:r w:rsidRPr="00F522D0">
        <w:rPr>
          <w:rFonts w:ascii="Lato" w:eastAsia="Malgun Gothic" w:hAnsi="Lato"/>
          <w:szCs w:val="24"/>
          <w:vertAlign w:val="superscript"/>
        </w:rPr>
        <w:t>3</w:t>
      </w:r>
      <w:r w:rsidRPr="00F522D0">
        <w:rPr>
          <w:rFonts w:ascii="Lato" w:eastAsia="Malgun Gothic" w:hAnsi="Lato"/>
          <w:szCs w:val="24"/>
        </w:rPr>
        <w:t>/dobę (11 937 GWh/dobę), natomiast na koniec sezonu – 0,78 mld m</w:t>
      </w:r>
      <w:r w:rsidRPr="00F522D0">
        <w:rPr>
          <w:rFonts w:ascii="Lato" w:eastAsia="Malgun Gothic" w:hAnsi="Lato"/>
          <w:szCs w:val="24"/>
          <w:vertAlign w:val="superscript"/>
        </w:rPr>
        <w:t>3</w:t>
      </w:r>
      <w:r w:rsidRPr="00F522D0">
        <w:rPr>
          <w:rFonts w:ascii="Lato" w:eastAsia="Malgun Gothic" w:hAnsi="Lato"/>
          <w:szCs w:val="24"/>
        </w:rPr>
        <w:t>/dobę (8 565 GWh/dobę).</w:t>
      </w:r>
    </w:p>
    <w:p w14:paraId="77DA72EA" w14:textId="0F0F6DAF" w:rsidR="00E53BC5" w:rsidRPr="00F522D0" w:rsidRDefault="00E53BC5" w:rsidP="000A7C68">
      <w:pPr>
        <w:spacing w:after="60" w:line="276" w:lineRule="auto"/>
        <w:ind w:firstLine="567"/>
        <w:rPr>
          <w:rFonts w:ascii="Lato" w:eastAsia="Malgun Gothic" w:hAnsi="Lato"/>
          <w:szCs w:val="24"/>
        </w:rPr>
      </w:pPr>
      <w:r w:rsidRPr="00F522D0">
        <w:rPr>
          <w:rFonts w:ascii="Lato" w:eastAsia="Malgun Gothic" w:hAnsi="Lato"/>
          <w:szCs w:val="24"/>
        </w:rPr>
        <w:t xml:space="preserve">Całkowite wydobycie gazu ziemnego w państwach członkowskich tworzących białoruską grupę ryzyka w 2021 r. </w:t>
      </w:r>
      <w:r w:rsidR="00BC1B79">
        <w:rPr>
          <w:rFonts w:ascii="Lato" w:eastAsia="Malgun Gothic" w:hAnsi="Lato"/>
          <w:szCs w:val="24"/>
        </w:rPr>
        <w:t>wyniosło</w:t>
      </w:r>
      <w:r w:rsidRPr="00F522D0">
        <w:rPr>
          <w:rFonts w:ascii="Lato" w:eastAsia="Malgun Gothic" w:hAnsi="Lato"/>
          <w:szCs w:val="24"/>
        </w:rPr>
        <w:t xml:space="preserve"> 28,1 mld m</w:t>
      </w:r>
      <w:r w:rsidRPr="00F522D0">
        <w:rPr>
          <w:rFonts w:ascii="Lato" w:eastAsia="Malgun Gothic" w:hAnsi="Lato"/>
          <w:szCs w:val="24"/>
          <w:vertAlign w:val="superscript"/>
        </w:rPr>
        <w:t>3</w:t>
      </w:r>
      <w:r w:rsidRPr="00F522D0">
        <w:rPr>
          <w:rFonts w:ascii="Lato" w:eastAsia="Malgun Gothic" w:hAnsi="Lato"/>
          <w:szCs w:val="24"/>
        </w:rPr>
        <w:t xml:space="preserve"> (308 TWh), co stanowi ok. 15% całkowitego zużycia gazu ziemnego w państwach członkowskich należących do grupy. Największym producentem gazu w grupie jest Holandia, natomiast najmniejszym Belgia. W 2021 r. wartości te osiągnęły odpowiednio 18,27 mld m</w:t>
      </w:r>
      <w:r w:rsidRPr="00F522D0">
        <w:rPr>
          <w:rFonts w:ascii="Lato" w:eastAsia="Malgun Gothic" w:hAnsi="Lato"/>
          <w:szCs w:val="24"/>
          <w:vertAlign w:val="superscript"/>
        </w:rPr>
        <w:t>3</w:t>
      </w:r>
      <w:r w:rsidRPr="00F522D0">
        <w:rPr>
          <w:rFonts w:ascii="Lato" w:eastAsia="Malgun Gothic" w:hAnsi="Lato"/>
          <w:szCs w:val="24"/>
        </w:rPr>
        <w:t xml:space="preserve"> (200 TWh) i 0,005 mld m</w:t>
      </w:r>
      <w:r w:rsidRPr="00F522D0">
        <w:rPr>
          <w:rFonts w:ascii="Lato" w:eastAsia="Malgun Gothic" w:hAnsi="Lato"/>
          <w:szCs w:val="24"/>
          <w:vertAlign w:val="superscript"/>
        </w:rPr>
        <w:t>3</w:t>
      </w:r>
      <w:r w:rsidRPr="00F522D0">
        <w:rPr>
          <w:rFonts w:ascii="Lato" w:eastAsia="Malgun Gothic" w:hAnsi="Lato"/>
          <w:szCs w:val="24"/>
        </w:rPr>
        <w:t xml:space="preserve"> (0,05 TWh). Na obszarze Estonii, </w:t>
      </w:r>
      <w:r w:rsidR="00F522D0" w:rsidRPr="00F522D0">
        <w:rPr>
          <w:rFonts w:ascii="Lato" w:eastAsia="Malgun Gothic" w:hAnsi="Lato"/>
          <w:szCs w:val="24"/>
        </w:rPr>
        <w:t>Finlandii</w:t>
      </w:r>
      <w:r w:rsidRPr="00F522D0">
        <w:rPr>
          <w:rFonts w:ascii="Lato" w:eastAsia="Malgun Gothic" w:hAnsi="Lato"/>
          <w:szCs w:val="24"/>
        </w:rPr>
        <w:t>, Litwy, Łotwy, Luksemburga oraz Szwecji działalność w zakresie wydobywania gazu ziemnego nie jest prowadzona.</w:t>
      </w:r>
    </w:p>
    <w:p w14:paraId="4CFFF3AE" w14:textId="77777777" w:rsidR="00B03DBA" w:rsidRPr="00C758B1" w:rsidRDefault="00C7771E" w:rsidP="00983C18">
      <w:pPr>
        <w:pStyle w:val="Rozdzia3"/>
        <w:rPr>
          <w:rFonts w:ascii="Lato" w:hAnsi="Lato"/>
        </w:rPr>
      </w:pPr>
      <w:bookmarkStart w:id="17" w:name="_Toc12953895"/>
      <w:bookmarkStart w:id="18" w:name="_Toc19782928"/>
      <w:bookmarkStart w:id="19" w:name="_Toc142469552"/>
      <w:r w:rsidRPr="00C758B1">
        <w:rPr>
          <w:rFonts w:ascii="Lato" w:hAnsi="Lato"/>
        </w:rPr>
        <w:t>Regionalna grupa ryzyka – Ukraina</w:t>
      </w:r>
      <w:bookmarkEnd w:id="17"/>
      <w:bookmarkEnd w:id="18"/>
      <w:bookmarkEnd w:id="19"/>
    </w:p>
    <w:p w14:paraId="68BA8BE1" w14:textId="084D7264" w:rsidR="00E53BC5" w:rsidRPr="00F522D0" w:rsidRDefault="00E53BC5" w:rsidP="000A7C68">
      <w:pPr>
        <w:spacing w:before="120" w:after="60" w:line="276" w:lineRule="auto"/>
        <w:ind w:firstLine="567"/>
        <w:rPr>
          <w:rFonts w:ascii="Lato" w:eastAsia="Malgun Gothic" w:hAnsi="Lato"/>
          <w:szCs w:val="24"/>
        </w:rPr>
      </w:pPr>
      <w:r w:rsidRPr="00F522D0">
        <w:rPr>
          <w:rFonts w:ascii="Lato" w:eastAsia="Malgun Gothic" w:hAnsi="Lato"/>
          <w:szCs w:val="24"/>
        </w:rPr>
        <w:t xml:space="preserve">Do regionalnej ukraińskiej grupy ryzyka ze względu na dostawy gazu ziemnego </w:t>
      </w:r>
      <w:r w:rsidR="00F522D0">
        <w:rPr>
          <w:rFonts w:ascii="Lato" w:eastAsia="Malgun Gothic" w:hAnsi="Lato"/>
          <w:szCs w:val="24"/>
        </w:rPr>
        <w:t>z kierunku wschodniego</w:t>
      </w:r>
      <w:r w:rsidRPr="00F522D0">
        <w:rPr>
          <w:rFonts w:ascii="Lato" w:eastAsia="Malgun Gothic" w:hAnsi="Lato"/>
          <w:szCs w:val="24"/>
        </w:rPr>
        <w:t xml:space="preserve"> należą: Austria, Bułgaria, Chorwacja, </w:t>
      </w:r>
      <w:r w:rsidR="00F522D0">
        <w:rPr>
          <w:rFonts w:ascii="Lato" w:eastAsia="Malgun Gothic" w:hAnsi="Lato"/>
          <w:szCs w:val="24"/>
        </w:rPr>
        <w:t>Czechy</w:t>
      </w:r>
      <w:r w:rsidRPr="00F522D0">
        <w:rPr>
          <w:rFonts w:ascii="Lato" w:eastAsia="Malgun Gothic" w:hAnsi="Lato"/>
          <w:szCs w:val="24"/>
        </w:rPr>
        <w:t>, Dania, Niemcy, Grecja, Węgry, Włochy, Luksemburg, Polska, Rumunia, Słowenia, Słowacja i Szwecja.</w:t>
      </w:r>
    </w:p>
    <w:p w14:paraId="57951346" w14:textId="3C7D8BE0" w:rsidR="00E53BC5" w:rsidRPr="00F522D0" w:rsidRDefault="00E53BC5" w:rsidP="000A7C68">
      <w:pPr>
        <w:spacing w:after="60" w:line="276" w:lineRule="auto"/>
        <w:ind w:firstLine="567"/>
        <w:rPr>
          <w:rFonts w:ascii="Lato" w:eastAsia="Malgun Gothic" w:hAnsi="Lato"/>
        </w:rPr>
      </w:pPr>
      <w:r w:rsidRPr="09102414">
        <w:rPr>
          <w:rFonts w:ascii="Lato" w:eastAsia="Malgun Gothic" w:hAnsi="Lato"/>
        </w:rPr>
        <w:lastRenderedPageBreak/>
        <w:t xml:space="preserve">Największym pojedynczym elementem infrastruktury w </w:t>
      </w:r>
      <w:r w:rsidR="00F522D0" w:rsidRPr="09102414">
        <w:rPr>
          <w:rFonts w:ascii="Lato" w:eastAsia="Malgun Gothic" w:hAnsi="Lato"/>
        </w:rPr>
        <w:t>u</w:t>
      </w:r>
      <w:r w:rsidRPr="09102414">
        <w:rPr>
          <w:rFonts w:ascii="Lato" w:eastAsia="Malgun Gothic" w:hAnsi="Lato"/>
        </w:rPr>
        <w:t xml:space="preserve">kraińskiej grupie ryzyka, podobnie jak ma to miejsce w białoruskiej grupie ryzyka, jest zlokalizowany na granicy Słowacji i Ukrainy </w:t>
      </w:r>
      <w:r w:rsidR="3DE7A921" w:rsidRPr="09102414">
        <w:rPr>
          <w:rFonts w:ascii="Lato" w:eastAsia="Malgun Gothic" w:hAnsi="Lato"/>
        </w:rPr>
        <w:t>punk</w:t>
      </w:r>
      <w:r w:rsidR="66427A41" w:rsidRPr="09102414">
        <w:rPr>
          <w:rFonts w:ascii="Lato" w:eastAsia="Malgun Gothic" w:hAnsi="Lato"/>
        </w:rPr>
        <w:t>t</w:t>
      </w:r>
      <w:r w:rsidRPr="09102414">
        <w:rPr>
          <w:rFonts w:ascii="Lato" w:eastAsia="Malgun Gothic" w:hAnsi="Lato"/>
        </w:rPr>
        <w:t xml:space="preserve"> połączenia międzysystemowego Uzhgorod-Velke Kapusany – o przepustowości wynoszącej 174,44 mln m</w:t>
      </w:r>
      <w:r w:rsidRPr="09102414">
        <w:rPr>
          <w:rFonts w:ascii="Lato" w:eastAsia="Malgun Gothic" w:hAnsi="Lato"/>
          <w:vertAlign w:val="superscript"/>
        </w:rPr>
        <w:t>3</w:t>
      </w:r>
      <w:r w:rsidRPr="09102414">
        <w:rPr>
          <w:rFonts w:ascii="Lato" w:eastAsia="Malgun Gothic" w:hAnsi="Lato"/>
        </w:rPr>
        <w:t>/dobę (1 913,6 GWh/d</w:t>
      </w:r>
      <w:r w:rsidR="00860F99" w:rsidRPr="09102414">
        <w:rPr>
          <w:rFonts w:ascii="Lato" w:eastAsia="Malgun Gothic" w:hAnsi="Lato"/>
        </w:rPr>
        <w:t>obę</w:t>
      </w:r>
      <w:r w:rsidRPr="09102414">
        <w:rPr>
          <w:rFonts w:ascii="Lato" w:eastAsia="Malgun Gothic" w:hAnsi="Lato"/>
        </w:rPr>
        <w:t xml:space="preserve">). </w:t>
      </w:r>
    </w:p>
    <w:p w14:paraId="5F6FA537" w14:textId="48F901C9" w:rsidR="00E53BC5" w:rsidRPr="00D879FE" w:rsidRDefault="00E53BC5" w:rsidP="000A7C68">
      <w:pPr>
        <w:spacing w:after="60" w:line="276" w:lineRule="auto"/>
        <w:ind w:firstLine="567"/>
        <w:rPr>
          <w:rFonts w:ascii="Lato" w:hAnsi="Lato"/>
        </w:rPr>
      </w:pPr>
      <w:r w:rsidRPr="09102414">
        <w:rPr>
          <w:rFonts w:ascii="Lato" w:eastAsia="Malgun Gothic" w:hAnsi="Lato"/>
        </w:rPr>
        <w:t xml:space="preserve">Maksymalne dobowe zapotrzebowanie na gaz ziemny </w:t>
      </w:r>
      <w:r w:rsidR="00F522D0" w:rsidRPr="09102414">
        <w:rPr>
          <w:rFonts w:ascii="Lato" w:eastAsia="Malgun Gothic" w:hAnsi="Lato"/>
        </w:rPr>
        <w:t xml:space="preserve">- </w:t>
      </w:r>
      <w:r w:rsidRPr="09102414">
        <w:rPr>
          <w:rFonts w:ascii="Lato" w:eastAsia="Malgun Gothic" w:hAnsi="Lato"/>
        </w:rPr>
        <w:t xml:space="preserve">określane jako zużycie gazu ziemnego w dniu nadzwyczajnie wysokiego zapotrzebowania występującego z prawdopodobieństwem raz na dwadzieścia lat </w:t>
      </w:r>
      <w:r w:rsidR="00F522D0" w:rsidRPr="09102414">
        <w:rPr>
          <w:rFonts w:ascii="Lato" w:eastAsia="Malgun Gothic" w:hAnsi="Lato"/>
        </w:rPr>
        <w:t xml:space="preserve"> </w:t>
      </w:r>
      <w:r w:rsidRPr="09102414">
        <w:rPr>
          <w:rFonts w:ascii="Lato" w:eastAsia="Malgun Gothic" w:hAnsi="Lato"/>
        </w:rPr>
        <w:t>oszacowa</w:t>
      </w:r>
      <w:r w:rsidR="00F522D0" w:rsidRPr="09102414">
        <w:rPr>
          <w:rFonts w:ascii="Lato" w:eastAsia="Malgun Gothic" w:hAnsi="Lato"/>
        </w:rPr>
        <w:t>no</w:t>
      </w:r>
      <w:r w:rsidRPr="09102414">
        <w:rPr>
          <w:rFonts w:ascii="Lato" w:eastAsia="Malgun Gothic" w:hAnsi="Lato"/>
        </w:rPr>
        <w:t xml:space="preserve"> na 1 326,74 mln m</w:t>
      </w:r>
      <w:r w:rsidRPr="09102414">
        <w:rPr>
          <w:rFonts w:ascii="Lato" w:eastAsia="Malgun Gothic" w:hAnsi="Lato"/>
          <w:vertAlign w:val="superscript"/>
        </w:rPr>
        <w:t>3</w:t>
      </w:r>
      <w:r w:rsidRPr="09102414">
        <w:rPr>
          <w:rFonts w:ascii="Lato" w:eastAsia="Malgun Gothic" w:hAnsi="Lato"/>
        </w:rPr>
        <w:t>/dobę (14 554 GWh/d</w:t>
      </w:r>
      <w:r w:rsidR="00860F99" w:rsidRPr="09102414">
        <w:rPr>
          <w:rFonts w:ascii="Lato" w:eastAsia="Malgun Gothic" w:hAnsi="Lato"/>
        </w:rPr>
        <w:t>obę</w:t>
      </w:r>
      <w:r w:rsidRPr="09102414">
        <w:rPr>
          <w:rFonts w:ascii="Lato" w:eastAsia="Malgun Gothic" w:hAnsi="Lato"/>
        </w:rPr>
        <w:t>)</w:t>
      </w:r>
      <w:r w:rsidR="007E38A1" w:rsidRPr="09102414">
        <w:rPr>
          <w:rFonts w:ascii="Lato" w:eastAsia="Malgun Gothic" w:hAnsi="Lato"/>
        </w:rPr>
        <w:t>. P</w:t>
      </w:r>
      <w:r w:rsidRPr="09102414">
        <w:rPr>
          <w:rFonts w:ascii="Lato" w:eastAsia="Malgun Gothic" w:hAnsi="Lato"/>
        </w:rPr>
        <w:t>rzy technicznej zdolności punktów wejścia do systemów gazowych członków grupy wynosząc</w:t>
      </w:r>
      <w:r w:rsidR="007E38A1" w:rsidRPr="09102414">
        <w:rPr>
          <w:rFonts w:ascii="Lato" w:eastAsia="Malgun Gothic" w:hAnsi="Lato"/>
        </w:rPr>
        <w:t>ej</w:t>
      </w:r>
      <w:r w:rsidRPr="09102414">
        <w:rPr>
          <w:rFonts w:ascii="Lato" w:eastAsia="Malgun Gothic" w:hAnsi="Lato"/>
        </w:rPr>
        <w:t xml:space="preserve"> 939,92 mln m</w:t>
      </w:r>
      <w:r w:rsidRPr="09102414">
        <w:rPr>
          <w:rFonts w:ascii="Lato" w:eastAsia="Malgun Gothic" w:hAnsi="Lato"/>
          <w:vertAlign w:val="superscript"/>
        </w:rPr>
        <w:t>3</w:t>
      </w:r>
      <w:r w:rsidRPr="09102414">
        <w:rPr>
          <w:rFonts w:ascii="Lato" w:eastAsia="Malgun Gothic" w:hAnsi="Lato"/>
        </w:rPr>
        <w:t>/dobę (10 311 GWh/d</w:t>
      </w:r>
      <w:r w:rsidR="00860F99" w:rsidRPr="09102414">
        <w:rPr>
          <w:rFonts w:ascii="Lato" w:eastAsia="Malgun Gothic" w:hAnsi="Lato"/>
        </w:rPr>
        <w:t>obę</w:t>
      </w:r>
      <w:r w:rsidRPr="09102414">
        <w:rPr>
          <w:rFonts w:ascii="Lato" w:eastAsia="Malgun Gothic" w:hAnsi="Lato"/>
        </w:rPr>
        <w:t>), produkcji gazu ziemnego szacowanej na 66,45 mln m</w:t>
      </w:r>
      <w:r w:rsidRPr="09102414">
        <w:rPr>
          <w:rFonts w:ascii="Lato" w:eastAsia="Malgun Gothic" w:hAnsi="Lato"/>
          <w:vertAlign w:val="superscript"/>
        </w:rPr>
        <w:t>3</w:t>
      </w:r>
      <w:r w:rsidRPr="09102414">
        <w:rPr>
          <w:rFonts w:ascii="Lato" w:eastAsia="Malgun Gothic" w:hAnsi="Lato"/>
        </w:rPr>
        <w:t>/dobę (729 GWh/d</w:t>
      </w:r>
      <w:r w:rsidR="00860F99" w:rsidRPr="09102414">
        <w:rPr>
          <w:rFonts w:ascii="Lato" w:eastAsia="Malgun Gothic" w:hAnsi="Lato"/>
        </w:rPr>
        <w:t>obę</w:t>
      </w:r>
      <w:r w:rsidRPr="09102414">
        <w:rPr>
          <w:rFonts w:ascii="Lato" w:eastAsia="Malgun Gothic" w:hAnsi="Lato"/>
        </w:rPr>
        <w:t>), a także zdolności odbioru gazu z instalacji magazynowych równej 1 278,21 mln m</w:t>
      </w:r>
      <w:r w:rsidRPr="09102414">
        <w:rPr>
          <w:rFonts w:ascii="Lato" w:eastAsia="Malgun Gothic" w:hAnsi="Lato"/>
          <w:vertAlign w:val="superscript"/>
        </w:rPr>
        <w:t>3</w:t>
      </w:r>
      <w:r w:rsidRPr="09102414">
        <w:rPr>
          <w:rFonts w:ascii="Lato" w:eastAsia="Malgun Gothic" w:hAnsi="Lato"/>
        </w:rPr>
        <w:t>/dobę (14 022 GWh/d</w:t>
      </w:r>
      <w:r w:rsidR="00860F99" w:rsidRPr="09102414">
        <w:rPr>
          <w:rFonts w:ascii="Lato" w:eastAsia="Malgun Gothic" w:hAnsi="Lato"/>
        </w:rPr>
        <w:t>obę</w:t>
      </w:r>
      <w:r w:rsidRPr="09102414">
        <w:rPr>
          <w:rFonts w:ascii="Lato" w:eastAsia="Malgun Gothic" w:hAnsi="Lato"/>
        </w:rPr>
        <w:t>) oraz zdolności regazyfikacyjnej funkcjonujących i planowanych terminali LNG określanej na 163,63 mln m</w:t>
      </w:r>
      <w:r w:rsidRPr="09102414">
        <w:rPr>
          <w:rFonts w:ascii="Lato" w:eastAsia="Malgun Gothic" w:hAnsi="Lato"/>
          <w:vertAlign w:val="superscript"/>
        </w:rPr>
        <w:t>3</w:t>
      </w:r>
      <w:r w:rsidRPr="09102414">
        <w:rPr>
          <w:rFonts w:ascii="Lato" w:eastAsia="Malgun Gothic" w:hAnsi="Lato"/>
        </w:rPr>
        <w:t>/dobę (1 795 GWh/d</w:t>
      </w:r>
      <w:r w:rsidR="00860F99" w:rsidRPr="09102414">
        <w:rPr>
          <w:rFonts w:ascii="Lato" w:eastAsia="Malgun Gothic" w:hAnsi="Lato"/>
        </w:rPr>
        <w:t>obę</w:t>
      </w:r>
      <w:r w:rsidRPr="09102414">
        <w:rPr>
          <w:rFonts w:ascii="Lato" w:eastAsia="Malgun Gothic" w:hAnsi="Lato"/>
        </w:rPr>
        <w:t>)</w:t>
      </w:r>
      <w:r w:rsidR="00782734">
        <w:rPr>
          <w:rFonts w:ascii="Lato" w:eastAsia="Malgun Gothic" w:hAnsi="Lato"/>
        </w:rPr>
        <w:t>,</w:t>
      </w:r>
      <w:r w:rsidRPr="09102414">
        <w:rPr>
          <w:rFonts w:ascii="Lato" w:eastAsia="Malgun Gothic" w:hAnsi="Lato"/>
        </w:rPr>
        <w:t xml:space="preserve"> wskaźnik N–1 w ukraińskiej grupie</w:t>
      </w:r>
      <w:r w:rsidRPr="00D879FE">
        <w:rPr>
          <w:rFonts w:ascii="Lato" w:hAnsi="Lato"/>
        </w:rPr>
        <w:t xml:space="preserve"> ryzyka, dla scenariusza zakładającego brak dostaw gazu ziemnego z Federacji Rosyjskiej, wynosi 171,4%. </w:t>
      </w:r>
    </w:p>
    <w:p w14:paraId="5B46C9D4" w14:textId="7E6178E9" w:rsidR="006E0A74" w:rsidRPr="00C758B1" w:rsidRDefault="006E0A74" w:rsidP="00983C18">
      <w:pPr>
        <w:pStyle w:val="Rozdzia3"/>
        <w:rPr>
          <w:rFonts w:ascii="Lato" w:hAnsi="Lato"/>
        </w:rPr>
      </w:pPr>
      <w:bookmarkStart w:id="20" w:name="_Toc142469553"/>
      <w:r w:rsidRPr="00C758B1">
        <w:rPr>
          <w:rFonts w:ascii="Lato" w:hAnsi="Lato"/>
        </w:rPr>
        <w:t>Regionalna grupa ryzyka – północny wschód</w:t>
      </w:r>
      <w:bookmarkEnd w:id="20"/>
    </w:p>
    <w:p w14:paraId="169F0BFB" w14:textId="7B562676" w:rsidR="006E0A74" w:rsidRPr="007E38A1" w:rsidRDefault="006E0A74" w:rsidP="000A7C68">
      <w:pPr>
        <w:spacing w:before="120" w:after="60" w:line="276" w:lineRule="auto"/>
        <w:ind w:firstLine="567"/>
        <w:rPr>
          <w:rFonts w:ascii="Lato" w:eastAsia="Malgun Gothic" w:hAnsi="Lato"/>
          <w:szCs w:val="24"/>
        </w:rPr>
      </w:pPr>
      <w:r w:rsidRPr="007E38A1">
        <w:rPr>
          <w:rFonts w:ascii="Lato" w:eastAsia="Malgun Gothic" w:hAnsi="Lato"/>
          <w:szCs w:val="24"/>
        </w:rPr>
        <w:t>Do regionalnej północno</w:t>
      </w:r>
      <w:r w:rsidR="00860F99">
        <w:rPr>
          <w:rFonts w:ascii="Lato" w:eastAsia="Malgun Gothic" w:hAnsi="Lato"/>
          <w:szCs w:val="24"/>
        </w:rPr>
        <w:t>-</w:t>
      </w:r>
      <w:r w:rsidRPr="007E38A1">
        <w:rPr>
          <w:rFonts w:ascii="Lato" w:eastAsia="Malgun Gothic" w:hAnsi="Lato"/>
          <w:szCs w:val="24"/>
        </w:rPr>
        <w:t>wschodniej grupy ryzyka ze względu na dostawy gazu ziemnego z</w:t>
      </w:r>
      <w:r w:rsidR="00926586">
        <w:rPr>
          <w:rFonts w:ascii="Lato" w:eastAsia="Malgun Gothic" w:hAnsi="Lato"/>
          <w:szCs w:val="24"/>
        </w:rPr>
        <w:t xml:space="preserve"> kierunku wschodniego </w:t>
      </w:r>
      <w:r w:rsidRPr="007E38A1">
        <w:rPr>
          <w:rFonts w:ascii="Lato" w:eastAsia="Malgun Gothic" w:hAnsi="Lato"/>
          <w:szCs w:val="24"/>
        </w:rPr>
        <w:t>należą: Czechy, Dania, Niemcy, Estonia, Łotwa, Litwa, Polska, Słowacja, Finlandia oraz Szwecja.</w:t>
      </w:r>
    </w:p>
    <w:p w14:paraId="17D1AF85" w14:textId="613CEAB5" w:rsidR="00E53BC5" w:rsidRPr="00926586" w:rsidRDefault="006E0A74" w:rsidP="000A7C68">
      <w:pPr>
        <w:spacing w:after="60" w:line="276" w:lineRule="auto"/>
        <w:ind w:firstLine="567"/>
        <w:rPr>
          <w:rFonts w:ascii="Lato" w:eastAsia="Malgun Gothic" w:hAnsi="Lato"/>
          <w:szCs w:val="24"/>
        </w:rPr>
      </w:pPr>
      <w:r w:rsidRPr="00926586">
        <w:rPr>
          <w:rFonts w:ascii="Lato" w:eastAsia="Malgun Gothic" w:hAnsi="Lato"/>
          <w:szCs w:val="24"/>
        </w:rPr>
        <w:t>Polska stała się członkiem północno</w:t>
      </w:r>
      <w:r w:rsidR="00860F99">
        <w:rPr>
          <w:rFonts w:ascii="Lato" w:eastAsia="Malgun Gothic" w:hAnsi="Lato"/>
          <w:szCs w:val="24"/>
        </w:rPr>
        <w:t>-</w:t>
      </w:r>
      <w:r w:rsidRPr="00926586">
        <w:rPr>
          <w:rFonts w:ascii="Lato" w:eastAsia="Malgun Gothic" w:hAnsi="Lato"/>
          <w:szCs w:val="24"/>
        </w:rPr>
        <w:t xml:space="preserve">wschodniej grupy ryzyka </w:t>
      </w:r>
      <w:r w:rsidR="00860F99">
        <w:rPr>
          <w:rFonts w:ascii="Lato" w:eastAsia="Malgun Gothic" w:hAnsi="Lato"/>
          <w:szCs w:val="24"/>
        </w:rPr>
        <w:t xml:space="preserve">w 2022 r. </w:t>
      </w:r>
      <w:r w:rsidRPr="00926586">
        <w:rPr>
          <w:rFonts w:ascii="Lato" w:eastAsia="Malgun Gothic" w:hAnsi="Lato"/>
          <w:szCs w:val="24"/>
        </w:rPr>
        <w:t>w wyniku realizacji inwestycji łączącej polski i litewski system gazowy (gazociąg GIPL).</w:t>
      </w:r>
      <w:r w:rsidR="00926586">
        <w:rPr>
          <w:rFonts w:ascii="Lato" w:eastAsia="Malgun Gothic" w:hAnsi="Lato"/>
          <w:szCs w:val="24"/>
        </w:rPr>
        <w:t xml:space="preserve"> Tym samym </w:t>
      </w:r>
      <w:r w:rsidRPr="00926586">
        <w:rPr>
          <w:rFonts w:ascii="Lato" w:eastAsia="Malgun Gothic" w:hAnsi="Lato"/>
          <w:szCs w:val="24"/>
        </w:rPr>
        <w:t xml:space="preserve">dotychczasowi członkowie północno-wschodniej grupy ryzyka uzyskali bezpośredni dostęp do europejskiego systemu gazowego, co znacząco zwiększyło poziom bezpieczeństwa dostaw gazu ziemnego w grupie. Jedynym punktem, przez który odbywają się dostawy gazu ziemnego z kierunku wschodniego do europejskiego systemu gazowego jest punkt połączenia międzysystemowego Uzhgorod-Velke Kapusany. Innym punktem międzysystemowym, przez który odbywa się przesył gazu ziemnego, jest punkt na granicy litewsko-białoruskiej, jednak realizuje on wyłącznie tranzyt gazu ziemnego do Obwodu Królewieckiego. Dostawy gazu ziemnego dla członków grupy realizowane są głównie z kierunku północnego (Norwegia) oraz dostaw LNG. W związku z brakiem gazociągowych dostaw gazu ziemnego z kierunku wschodniego dla dotychczasowych członków grupy (Estonia, Łotwa, Litwa oraz Finlandia), wstrzymanie dostaw gazu ziemnego z kierunku wschodniego nie </w:t>
      </w:r>
      <w:r w:rsidR="00926586">
        <w:rPr>
          <w:rFonts w:ascii="Lato" w:eastAsia="Malgun Gothic" w:hAnsi="Lato"/>
          <w:szCs w:val="24"/>
        </w:rPr>
        <w:t>spowoduje</w:t>
      </w:r>
      <w:r w:rsidRPr="00926586">
        <w:rPr>
          <w:rFonts w:ascii="Lato" w:eastAsia="Malgun Gothic" w:hAnsi="Lato"/>
          <w:szCs w:val="24"/>
        </w:rPr>
        <w:t xml:space="preserve"> dla nich żadnych bezpośrednich skutków. Dzięki zwiększeniu możliwości importu LNG, a także połączeniu z europejskim systemem gazowym oraz zmniejszeniu zależności od dostaw gazu ziemnego z kierunku wschodniego, poziom bezpieczeństwa dostaw gazu ziemnego uległ wyraźnej poprawie.</w:t>
      </w:r>
    </w:p>
    <w:p w14:paraId="66C3A2A9" w14:textId="0C7FF3AA" w:rsidR="006E0A74" w:rsidRPr="00926586" w:rsidRDefault="006E0A74" w:rsidP="00983C18">
      <w:pPr>
        <w:pStyle w:val="Rozdzia3"/>
        <w:rPr>
          <w:rFonts w:ascii="Lato" w:hAnsi="Lato"/>
        </w:rPr>
      </w:pPr>
      <w:bookmarkStart w:id="21" w:name="_Toc142469554"/>
      <w:r w:rsidRPr="00C758B1">
        <w:rPr>
          <w:rFonts w:ascii="Lato" w:hAnsi="Lato"/>
        </w:rPr>
        <w:lastRenderedPageBreak/>
        <w:t xml:space="preserve">Regionalna grupa ryzyka – </w:t>
      </w:r>
      <w:r w:rsidR="003966F3" w:rsidRPr="00C758B1">
        <w:rPr>
          <w:rFonts w:ascii="Lato" w:hAnsi="Lato"/>
        </w:rPr>
        <w:t>Norwegia</w:t>
      </w:r>
      <w:bookmarkEnd w:id="21"/>
    </w:p>
    <w:p w14:paraId="2F0AC631" w14:textId="13C66479" w:rsidR="003966F3" w:rsidRPr="00926586" w:rsidRDefault="006E0A74" w:rsidP="000A7C68">
      <w:pPr>
        <w:spacing w:before="120" w:after="60" w:line="276" w:lineRule="auto"/>
        <w:ind w:firstLine="567"/>
        <w:rPr>
          <w:rFonts w:ascii="Lato" w:eastAsia="Malgun Gothic" w:hAnsi="Lato"/>
          <w:szCs w:val="24"/>
        </w:rPr>
      </w:pPr>
      <w:r w:rsidRPr="00926586">
        <w:rPr>
          <w:rFonts w:ascii="Lato" w:eastAsia="Malgun Gothic" w:hAnsi="Lato"/>
          <w:szCs w:val="24"/>
        </w:rPr>
        <w:t xml:space="preserve">Do </w:t>
      </w:r>
      <w:r w:rsidR="003966F3" w:rsidRPr="00926586">
        <w:rPr>
          <w:rFonts w:ascii="Lato" w:eastAsia="Malgun Gothic" w:hAnsi="Lato"/>
          <w:szCs w:val="24"/>
        </w:rPr>
        <w:t xml:space="preserve">regionalnej </w:t>
      </w:r>
      <w:r w:rsidR="007A5906">
        <w:rPr>
          <w:rFonts w:ascii="Lato" w:eastAsia="Malgun Gothic" w:hAnsi="Lato"/>
          <w:szCs w:val="24"/>
        </w:rPr>
        <w:t xml:space="preserve">norweskiej </w:t>
      </w:r>
      <w:r w:rsidR="003966F3" w:rsidRPr="00926586">
        <w:rPr>
          <w:rFonts w:ascii="Lato" w:eastAsia="Malgun Gothic" w:hAnsi="Lato"/>
          <w:szCs w:val="24"/>
        </w:rPr>
        <w:t>grupy ryzyka ze względu na dostawy gazu ziemnego z Morza Północnego należą: Belgia, Dania, Niemcy, Irlandia, Hiszpania, Francja, Włochy, Luksemburg, Niderlandy, Polska, Portugalia oraz Szwecja.</w:t>
      </w:r>
    </w:p>
    <w:p w14:paraId="4B6222A3" w14:textId="3592ED71" w:rsidR="003966F3" w:rsidRPr="00926586" w:rsidRDefault="003966F3" w:rsidP="000A7C68">
      <w:pPr>
        <w:spacing w:after="60" w:line="276" w:lineRule="auto"/>
        <w:ind w:firstLine="567"/>
        <w:rPr>
          <w:rFonts w:ascii="Lato" w:eastAsia="Malgun Gothic" w:hAnsi="Lato"/>
          <w:szCs w:val="24"/>
        </w:rPr>
      </w:pPr>
      <w:r w:rsidRPr="00926586">
        <w:rPr>
          <w:rFonts w:ascii="Lato" w:eastAsia="Malgun Gothic" w:hAnsi="Lato"/>
          <w:szCs w:val="24"/>
        </w:rPr>
        <w:t xml:space="preserve">Polska stała się członkiem </w:t>
      </w:r>
      <w:r w:rsidR="00926586">
        <w:rPr>
          <w:rFonts w:ascii="Lato" w:eastAsia="Malgun Gothic" w:hAnsi="Lato"/>
          <w:szCs w:val="24"/>
        </w:rPr>
        <w:t>n</w:t>
      </w:r>
      <w:r w:rsidRPr="00926586">
        <w:rPr>
          <w:rFonts w:ascii="Lato" w:eastAsia="Malgun Gothic" w:hAnsi="Lato"/>
          <w:szCs w:val="24"/>
        </w:rPr>
        <w:t xml:space="preserve">orweskiej grupy ryzyka w </w:t>
      </w:r>
      <w:r w:rsidR="00860F99">
        <w:rPr>
          <w:rFonts w:ascii="Lato" w:eastAsia="Malgun Gothic" w:hAnsi="Lato"/>
          <w:szCs w:val="24"/>
        </w:rPr>
        <w:t xml:space="preserve">2022 r. </w:t>
      </w:r>
      <w:r w:rsidR="00926586">
        <w:rPr>
          <w:rFonts w:ascii="Lato" w:eastAsia="Malgun Gothic" w:hAnsi="Lato"/>
          <w:szCs w:val="24"/>
        </w:rPr>
        <w:t xml:space="preserve">w </w:t>
      </w:r>
      <w:r w:rsidRPr="00926586">
        <w:rPr>
          <w:rFonts w:ascii="Lato" w:eastAsia="Malgun Gothic" w:hAnsi="Lato"/>
          <w:szCs w:val="24"/>
        </w:rPr>
        <w:t xml:space="preserve">wyniku realizacji inwestycji łączącej polski system gazowy </w:t>
      </w:r>
      <w:r w:rsidR="00EE2D0B">
        <w:rPr>
          <w:rFonts w:ascii="Lato" w:eastAsia="Malgun Gothic" w:hAnsi="Lato"/>
          <w:szCs w:val="24"/>
        </w:rPr>
        <w:t xml:space="preserve">- </w:t>
      </w:r>
      <w:r w:rsidRPr="00926586">
        <w:rPr>
          <w:rFonts w:ascii="Lato" w:eastAsia="Malgun Gothic" w:hAnsi="Lato"/>
          <w:szCs w:val="24"/>
        </w:rPr>
        <w:t>poprzez Danię</w:t>
      </w:r>
      <w:r w:rsidR="00EE2D0B">
        <w:rPr>
          <w:rFonts w:ascii="Lato" w:eastAsia="Malgun Gothic" w:hAnsi="Lato"/>
          <w:szCs w:val="24"/>
        </w:rPr>
        <w:t xml:space="preserve"> -</w:t>
      </w:r>
      <w:r w:rsidRPr="00926586">
        <w:rPr>
          <w:rFonts w:ascii="Lato" w:eastAsia="Malgun Gothic" w:hAnsi="Lato"/>
          <w:szCs w:val="24"/>
        </w:rPr>
        <w:t xml:space="preserve"> z gazociągiem EUROPIPE II (gazociąg Baltic Pipe), który dostarcza gaz ziemny z</w:t>
      </w:r>
      <w:r w:rsidR="00926586">
        <w:rPr>
          <w:rFonts w:ascii="Lato" w:eastAsia="Malgun Gothic" w:hAnsi="Lato"/>
          <w:szCs w:val="24"/>
        </w:rPr>
        <w:t>e</w:t>
      </w:r>
      <w:r w:rsidRPr="00926586">
        <w:rPr>
          <w:rFonts w:ascii="Lato" w:eastAsia="Malgun Gothic" w:hAnsi="Lato"/>
          <w:szCs w:val="24"/>
        </w:rPr>
        <w:t xml:space="preserve"> złóż znajdujących się na Norweskim Szelfie Kontynentalnym. </w:t>
      </w:r>
    </w:p>
    <w:p w14:paraId="01980445" w14:textId="2F2C1A09" w:rsidR="003966F3" w:rsidRPr="00926586" w:rsidRDefault="003966F3" w:rsidP="000A7C68">
      <w:pPr>
        <w:spacing w:after="60" w:line="276" w:lineRule="auto"/>
        <w:ind w:firstLine="567"/>
        <w:rPr>
          <w:rFonts w:ascii="Lato" w:eastAsia="Malgun Gothic" w:hAnsi="Lato"/>
          <w:szCs w:val="24"/>
        </w:rPr>
      </w:pPr>
      <w:r w:rsidRPr="00926586">
        <w:rPr>
          <w:rFonts w:ascii="Lato" w:eastAsia="Malgun Gothic" w:hAnsi="Lato"/>
          <w:szCs w:val="24"/>
        </w:rPr>
        <w:t xml:space="preserve">W 2021 r. całkowite zapotrzebowanie na gaz w </w:t>
      </w:r>
      <w:r w:rsidR="00926586">
        <w:rPr>
          <w:rFonts w:ascii="Lato" w:eastAsia="Malgun Gothic" w:hAnsi="Lato"/>
          <w:szCs w:val="24"/>
        </w:rPr>
        <w:t xml:space="preserve">tej </w:t>
      </w:r>
      <w:r w:rsidRPr="00926586">
        <w:rPr>
          <w:rFonts w:ascii="Lato" w:eastAsia="Malgun Gothic" w:hAnsi="Lato"/>
          <w:szCs w:val="24"/>
        </w:rPr>
        <w:t>grupie wyniosło 3665 TWh, czyli o ok</w:t>
      </w:r>
      <w:r w:rsidR="00926586">
        <w:rPr>
          <w:rFonts w:ascii="Lato" w:eastAsia="Malgun Gothic" w:hAnsi="Lato"/>
          <w:szCs w:val="24"/>
        </w:rPr>
        <w:t>.</w:t>
      </w:r>
      <w:r w:rsidRPr="00926586">
        <w:rPr>
          <w:rFonts w:ascii="Lato" w:eastAsia="Malgun Gothic" w:hAnsi="Lato"/>
          <w:szCs w:val="24"/>
        </w:rPr>
        <w:t xml:space="preserve"> 2,4% więcej niż średnia z poprzednich czterech lat i </w:t>
      </w:r>
      <w:r w:rsidR="00926586">
        <w:rPr>
          <w:rFonts w:ascii="Lato" w:eastAsia="Malgun Gothic" w:hAnsi="Lato"/>
          <w:szCs w:val="24"/>
        </w:rPr>
        <w:t xml:space="preserve">o </w:t>
      </w:r>
      <w:r w:rsidRPr="00926586">
        <w:rPr>
          <w:rFonts w:ascii="Lato" w:eastAsia="Malgun Gothic" w:hAnsi="Lato"/>
          <w:szCs w:val="24"/>
        </w:rPr>
        <w:t>3,5% więcej niż w 2020 r. W 2020 r. w obliczu spowolnienia gospodarczego wywołanego pandemią COVID-19, zużycie gazu ziemnego w przemyśle spadło o 3,7%, podczas gdy zużycie gazu ziemnego w gospodarstwach domowych spadło o 2,5%.</w:t>
      </w:r>
      <w:r w:rsidR="00926586">
        <w:rPr>
          <w:rFonts w:ascii="Lato" w:eastAsia="Malgun Gothic" w:hAnsi="Lato"/>
          <w:szCs w:val="24"/>
        </w:rPr>
        <w:t xml:space="preserve"> </w:t>
      </w:r>
      <w:r w:rsidRPr="00926586">
        <w:rPr>
          <w:rFonts w:ascii="Lato" w:eastAsia="Malgun Gothic" w:hAnsi="Lato"/>
          <w:szCs w:val="24"/>
        </w:rPr>
        <w:t>Łącznie zapotrzebowanie na gaz ziemny odbiorców przemysłowych i gospodarstw domowych wyniosło średnio ok</w:t>
      </w:r>
      <w:r w:rsidR="00926586">
        <w:rPr>
          <w:rFonts w:ascii="Lato" w:eastAsia="Malgun Gothic" w:hAnsi="Lato"/>
          <w:szCs w:val="24"/>
        </w:rPr>
        <w:t>.</w:t>
      </w:r>
      <w:r w:rsidRPr="00926586">
        <w:rPr>
          <w:rFonts w:ascii="Lato" w:eastAsia="Malgun Gothic" w:hAnsi="Lato"/>
          <w:szCs w:val="24"/>
        </w:rPr>
        <w:t xml:space="preserve"> 50% całkowitego rocznego zapotrzebowania w latach 2017-2020. Zapotrzebowanie na gaz ziemny dla wytwarzania ciepła w kogeneracji, wytwarzania energii elektrycznej oraz w sektorze usług i administracji, stanowił</w:t>
      </w:r>
      <w:r w:rsidR="00926586">
        <w:rPr>
          <w:rFonts w:ascii="Lato" w:eastAsia="Malgun Gothic" w:hAnsi="Lato"/>
          <w:szCs w:val="24"/>
        </w:rPr>
        <w:t>o</w:t>
      </w:r>
      <w:r w:rsidRPr="00926586">
        <w:rPr>
          <w:rFonts w:ascii="Lato" w:eastAsia="Malgun Gothic" w:hAnsi="Lato"/>
          <w:szCs w:val="24"/>
        </w:rPr>
        <w:t xml:space="preserve"> większość pozostałej konsumpcji gazu.</w:t>
      </w:r>
    </w:p>
    <w:p w14:paraId="55CCC659" w14:textId="3E6189DA" w:rsidR="003966F3" w:rsidRPr="00926586" w:rsidRDefault="003966F3" w:rsidP="000A7C68">
      <w:pPr>
        <w:spacing w:after="60" w:line="276" w:lineRule="auto"/>
        <w:ind w:firstLine="567"/>
        <w:rPr>
          <w:rFonts w:ascii="Lato" w:eastAsia="Malgun Gothic" w:hAnsi="Lato"/>
          <w:szCs w:val="24"/>
        </w:rPr>
      </w:pPr>
      <w:r w:rsidRPr="00926586">
        <w:rPr>
          <w:rFonts w:ascii="Lato" w:eastAsia="Malgun Gothic" w:hAnsi="Lato"/>
          <w:szCs w:val="24"/>
        </w:rPr>
        <w:t>Na koniec 2022 r. w grupie ryzyka funkcjonowało 19 terminali LNG o łącznej mocy regazyfikacyjnej ok</w:t>
      </w:r>
      <w:r w:rsidR="00926586">
        <w:rPr>
          <w:rFonts w:ascii="Lato" w:eastAsia="Malgun Gothic" w:hAnsi="Lato"/>
          <w:szCs w:val="24"/>
        </w:rPr>
        <w:t>.</w:t>
      </w:r>
      <w:r w:rsidRPr="00926586">
        <w:rPr>
          <w:rFonts w:ascii="Lato" w:eastAsia="Malgun Gothic" w:hAnsi="Lato"/>
          <w:szCs w:val="24"/>
        </w:rPr>
        <w:t xml:space="preserve"> 5,4 TWh/dobę.</w:t>
      </w:r>
      <w:r w:rsidR="00EE2D0B">
        <w:rPr>
          <w:rFonts w:ascii="Lato" w:eastAsia="Malgun Gothic" w:hAnsi="Lato"/>
          <w:szCs w:val="24"/>
        </w:rPr>
        <w:t xml:space="preserve"> </w:t>
      </w:r>
      <w:r w:rsidRPr="00926586">
        <w:rPr>
          <w:rFonts w:ascii="Lato" w:eastAsia="Malgun Gothic" w:hAnsi="Lato"/>
          <w:szCs w:val="24"/>
        </w:rPr>
        <w:t xml:space="preserve">Największym kierunkiem dostaw gazu ziemnego dla </w:t>
      </w:r>
      <w:r w:rsidR="00926586">
        <w:rPr>
          <w:rFonts w:ascii="Lato" w:eastAsia="Malgun Gothic" w:hAnsi="Lato"/>
          <w:szCs w:val="24"/>
        </w:rPr>
        <w:t>n</w:t>
      </w:r>
      <w:r w:rsidRPr="00926586">
        <w:rPr>
          <w:rFonts w:ascii="Lato" w:eastAsia="Malgun Gothic" w:hAnsi="Lato"/>
          <w:szCs w:val="24"/>
        </w:rPr>
        <w:t xml:space="preserve">orweskiej grupy ryzyka jest Norwegia oraz Algieria. Pozostałe źródła gazu obejmują Wielką Brytanię, Libię i region Morza Kaspijskiego. </w:t>
      </w:r>
    </w:p>
    <w:p w14:paraId="2BE22F8E" w14:textId="685DD8D3" w:rsidR="003966F3" w:rsidRPr="00926586" w:rsidRDefault="003966F3" w:rsidP="000A7C68">
      <w:pPr>
        <w:spacing w:after="60" w:line="276" w:lineRule="auto"/>
        <w:ind w:firstLine="567"/>
        <w:rPr>
          <w:rFonts w:ascii="Lato" w:eastAsia="Malgun Gothic" w:hAnsi="Lato"/>
          <w:szCs w:val="24"/>
        </w:rPr>
      </w:pPr>
      <w:r w:rsidRPr="00926586">
        <w:rPr>
          <w:rFonts w:ascii="Lato" w:eastAsia="Malgun Gothic" w:hAnsi="Lato"/>
          <w:szCs w:val="24"/>
        </w:rPr>
        <w:t>Wydobycie gazu ziemnego w państwach członkowskich grupy systematycznie spada i zmniejszyło się o połowę z blisko 700 TWh w 2017 r. do ok</w:t>
      </w:r>
      <w:r w:rsidR="00926586">
        <w:rPr>
          <w:rFonts w:ascii="Lato" w:eastAsia="Malgun Gothic" w:hAnsi="Lato"/>
          <w:szCs w:val="24"/>
        </w:rPr>
        <w:t>.</w:t>
      </w:r>
      <w:r w:rsidRPr="00926586">
        <w:rPr>
          <w:rFonts w:ascii="Lato" w:eastAsia="Malgun Gothic" w:hAnsi="Lato"/>
          <w:szCs w:val="24"/>
        </w:rPr>
        <w:t xml:space="preserve"> 355 TWh w 2021 r. W podanym okresie tylko Polska utrzymała względnie stabilną wielkość wydobycia gazu.</w:t>
      </w:r>
    </w:p>
    <w:p w14:paraId="598E0B31" w14:textId="4B00F435" w:rsidR="006E0A74" w:rsidRPr="00926586" w:rsidRDefault="003966F3" w:rsidP="000A7C68">
      <w:pPr>
        <w:spacing w:after="60" w:line="276" w:lineRule="auto"/>
        <w:ind w:firstLine="567"/>
        <w:rPr>
          <w:rFonts w:ascii="Lato" w:eastAsia="Malgun Gothic" w:hAnsi="Lato"/>
          <w:szCs w:val="24"/>
        </w:rPr>
      </w:pPr>
      <w:r w:rsidRPr="00926586">
        <w:rPr>
          <w:rFonts w:ascii="Lato" w:eastAsia="Malgun Gothic" w:hAnsi="Lato"/>
          <w:szCs w:val="24"/>
        </w:rPr>
        <w:t xml:space="preserve">W </w:t>
      </w:r>
      <w:r w:rsidR="00926586">
        <w:rPr>
          <w:rFonts w:ascii="Lato" w:eastAsia="Malgun Gothic" w:hAnsi="Lato"/>
          <w:szCs w:val="24"/>
        </w:rPr>
        <w:t>n</w:t>
      </w:r>
      <w:r w:rsidRPr="00926586">
        <w:rPr>
          <w:rFonts w:ascii="Lato" w:eastAsia="Malgun Gothic" w:hAnsi="Lato"/>
          <w:szCs w:val="24"/>
        </w:rPr>
        <w:t>orweskiej grupie ryzyka magazynowanie gazu ziemnego odgrywa kluczową rolę w zarządzaniu sezonowością popytu i dziennym bilansowaniu systemów gazowych w okresie zimowym. W 2022 r. pojemność podziemnych magazynów gazu ziemnego wyniosła ok. 800 TWh, co stanowiło ok</w:t>
      </w:r>
      <w:r w:rsidR="00926586">
        <w:rPr>
          <w:rFonts w:ascii="Lato" w:eastAsia="Malgun Gothic" w:hAnsi="Lato"/>
          <w:szCs w:val="24"/>
        </w:rPr>
        <w:t>.</w:t>
      </w:r>
      <w:r w:rsidRPr="00926586">
        <w:rPr>
          <w:rFonts w:ascii="Lato" w:eastAsia="Malgun Gothic" w:hAnsi="Lato"/>
          <w:szCs w:val="24"/>
        </w:rPr>
        <w:t xml:space="preserve"> 35% całkowitego zapotrzebowania na gaz ziemny w sezonie zimowym, natomiast w poszczególnych państwach członkowskich udział ten wahał się od 0% do 54%.</w:t>
      </w:r>
      <w:r w:rsidR="005577BE">
        <w:rPr>
          <w:rFonts w:ascii="Lato" w:eastAsia="Malgun Gothic" w:hAnsi="Lato"/>
          <w:szCs w:val="24"/>
        </w:rPr>
        <w:t xml:space="preserve"> </w:t>
      </w:r>
      <w:r w:rsidRPr="00926586">
        <w:rPr>
          <w:rFonts w:ascii="Lato" w:eastAsia="Malgun Gothic" w:hAnsi="Lato"/>
          <w:szCs w:val="24"/>
        </w:rPr>
        <w:t xml:space="preserve">W rozpatrywanym scenariuszu całkowitego braku dostaw gazu ziemnego z kierunku wschodniego wskaźnik N–1 w </w:t>
      </w:r>
      <w:r w:rsidR="00926586">
        <w:rPr>
          <w:rFonts w:ascii="Lato" w:eastAsia="Malgun Gothic" w:hAnsi="Lato"/>
          <w:szCs w:val="24"/>
        </w:rPr>
        <w:t>n</w:t>
      </w:r>
      <w:r w:rsidRPr="00926586">
        <w:rPr>
          <w:rFonts w:ascii="Lato" w:eastAsia="Malgun Gothic" w:hAnsi="Lato"/>
          <w:szCs w:val="24"/>
        </w:rPr>
        <w:t>orweskiej grupie ryzyka wynosi 168%.</w:t>
      </w:r>
    </w:p>
    <w:p w14:paraId="509DDDC9" w14:textId="4F2C1380" w:rsidR="006E0A74" w:rsidRPr="00926586" w:rsidRDefault="006E0A74" w:rsidP="00983C18">
      <w:pPr>
        <w:pStyle w:val="Rozdzia3"/>
        <w:rPr>
          <w:rFonts w:ascii="Lato" w:hAnsi="Lato"/>
        </w:rPr>
      </w:pPr>
      <w:bookmarkStart w:id="22" w:name="_Toc142469555"/>
      <w:r w:rsidRPr="00C758B1">
        <w:rPr>
          <w:rFonts w:ascii="Lato" w:hAnsi="Lato"/>
        </w:rPr>
        <w:t xml:space="preserve">Regionalna grupa ryzyka – </w:t>
      </w:r>
      <w:r w:rsidR="003966F3" w:rsidRPr="00C758B1">
        <w:rPr>
          <w:rFonts w:ascii="Lato" w:hAnsi="Lato"/>
        </w:rPr>
        <w:t>Dania</w:t>
      </w:r>
      <w:bookmarkEnd w:id="22"/>
    </w:p>
    <w:p w14:paraId="5C06AE6E" w14:textId="4D1BFA69" w:rsidR="003966F3" w:rsidRPr="00926586" w:rsidRDefault="003966F3" w:rsidP="000A7C68">
      <w:pPr>
        <w:spacing w:before="120" w:after="60" w:line="276" w:lineRule="auto"/>
        <w:ind w:firstLine="567"/>
        <w:rPr>
          <w:rFonts w:ascii="Lato" w:eastAsia="Malgun Gothic" w:hAnsi="Lato"/>
          <w:szCs w:val="24"/>
        </w:rPr>
      </w:pPr>
      <w:r w:rsidRPr="00926586">
        <w:rPr>
          <w:rFonts w:ascii="Lato" w:eastAsia="Malgun Gothic" w:hAnsi="Lato"/>
          <w:szCs w:val="24"/>
        </w:rPr>
        <w:t xml:space="preserve">Do regionalnej </w:t>
      </w:r>
      <w:r w:rsidR="00926586">
        <w:rPr>
          <w:rFonts w:ascii="Lato" w:eastAsia="Malgun Gothic" w:hAnsi="Lato"/>
          <w:szCs w:val="24"/>
        </w:rPr>
        <w:t>d</w:t>
      </w:r>
      <w:r w:rsidRPr="00926586">
        <w:rPr>
          <w:rFonts w:ascii="Lato" w:eastAsia="Malgun Gothic" w:hAnsi="Lato"/>
          <w:szCs w:val="24"/>
        </w:rPr>
        <w:t xml:space="preserve">uńskiej grupy ryzyka ze względu na dostawy gazu ziemnego z Morza Północnego należą: Dania, Niemcy, Luksemburg, Niderlandy, Polska oraz Szwecja. Polska stała się członkiem </w:t>
      </w:r>
      <w:r w:rsidR="00926586">
        <w:rPr>
          <w:rFonts w:ascii="Lato" w:eastAsia="Malgun Gothic" w:hAnsi="Lato"/>
          <w:szCs w:val="24"/>
        </w:rPr>
        <w:t>tej grupy</w:t>
      </w:r>
      <w:r w:rsidRPr="00926586">
        <w:rPr>
          <w:rFonts w:ascii="Lato" w:eastAsia="Malgun Gothic" w:hAnsi="Lato"/>
          <w:szCs w:val="24"/>
        </w:rPr>
        <w:t xml:space="preserve"> w wyniku realizacji inwestycji łączącej polski i duński system gazowy (gazociąg Baltic Pipe). </w:t>
      </w:r>
    </w:p>
    <w:p w14:paraId="6BC0E296" w14:textId="1F462315" w:rsidR="006E0A74" w:rsidRPr="00926586" w:rsidRDefault="003966F3" w:rsidP="00270AE5">
      <w:pPr>
        <w:spacing w:after="60" w:line="276" w:lineRule="auto"/>
        <w:ind w:firstLine="567"/>
        <w:rPr>
          <w:rFonts w:ascii="Lato" w:eastAsia="Malgun Gothic" w:hAnsi="Lato"/>
          <w:szCs w:val="24"/>
        </w:rPr>
      </w:pPr>
      <w:r w:rsidRPr="00926586">
        <w:rPr>
          <w:rFonts w:ascii="Lato" w:eastAsia="Malgun Gothic" w:hAnsi="Lato"/>
          <w:szCs w:val="24"/>
        </w:rPr>
        <w:t xml:space="preserve">Dla przyjętego scenariusza zakładającego brak dostaw gazu ziemnego z Federacji Rosyjskiej, wskaźnik N–1 w </w:t>
      </w:r>
      <w:r w:rsidR="00926586">
        <w:rPr>
          <w:rFonts w:ascii="Lato" w:eastAsia="Malgun Gothic" w:hAnsi="Lato"/>
          <w:szCs w:val="24"/>
        </w:rPr>
        <w:t>d</w:t>
      </w:r>
      <w:r w:rsidRPr="00926586">
        <w:rPr>
          <w:rFonts w:ascii="Lato" w:eastAsia="Malgun Gothic" w:hAnsi="Lato"/>
          <w:szCs w:val="24"/>
        </w:rPr>
        <w:t>uńskiej grupie ryzyka wynosi 175,7%.</w:t>
      </w:r>
      <w:r w:rsidR="002E0AC8">
        <w:rPr>
          <w:rFonts w:ascii="Lato" w:eastAsia="Malgun Gothic" w:hAnsi="Lato"/>
          <w:szCs w:val="24"/>
        </w:rPr>
        <w:t xml:space="preserve"> </w:t>
      </w:r>
      <w:r w:rsidRPr="00926586">
        <w:rPr>
          <w:rFonts w:ascii="Lato" w:eastAsia="Malgun Gothic" w:hAnsi="Lato"/>
          <w:szCs w:val="24"/>
        </w:rPr>
        <w:t xml:space="preserve">Na wartość wskaźnika </w:t>
      </w:r>
      <w:r w:rsidRPr="00926586">
        <w:rPr>
          <w:rFonts w:ascii="Lato" w:eastAsia="Malgun Gothic" w:hAnsi="Lato"/>
          <w:szCs w:val="24"/>
        </w:rPr>
        <w:lastRenderedPageBreak/>
        <w:t>N–1 wpływ ma przede wszystkim maksymalne dobowe zapotrzebowanie na gaz ziemny wynoszące 9,7 TWh/d</w:t>
      </w:r>
      <w:r w:rsidR="0047343C">
        <w:rPr>
          <w:rFonts w:ascii="Lato" w:eastAsia="Malgun Gothic" w:hAnsi="Lato"/>
          <w:szCs w:val="24"/>
        </w:rPr>
        <w:t>obę</w:t>
      </w:r>
      <w:r w:rsidRPr="00926586">
        <w:rPr>
          <w:rFonts w:ascii="Lato" w:eastAsia="Malgun Gothic" w:hAnsi="Lato"/>
          <w:szCs w:val="24"/>
        </w:rPr>
        <w:t xml:space="preserve"> oraz maksymalna zdolność odbioru gazu ziemnego z instalacji magazynowych wynosząca 10,3 TWh/d</w:t>
      </w:r>
      <w:r w:rsidR="0047343C">
        <w:rPr>
          <w:rFonts w:ascii="Lato" w:eastAsia="Malgun Gothic" w:hAnsi="Lato"/>
          <w:szCs w:val="24"/>
        </w:rPr>
        <w:t>obę</w:t>
      </w:r>
      <w:r w:rsidRPr="00926586">
        <w:rPr>
          <w:rFonts w:ascii="Lato" w:eastAsia="Malgun Gothic" w:hAnsi="Lato"/>
          <w:szCs w:val="24"/>
        </w:rPr>
        <w:t>. Źródła dostaw gaz ziemnego inne niż z kierunku wschodniego zapewniają możliwość importu 5,9 TWh/d</w:t>
      </w:r>
      <w:r w:rsidR="0047343C">
        <w:rPr>
          <w:rFonts w:ascii="Lato" w:eastAsia="Malgun Gothic" w:hAnsi="Lato"/>
          <w:szCs w:val="24"/>
        </w:rPr>
        <w:t>obę</w:t>
      </w:r>
      <w:r w:rsidRPr="00926586">
        <w:rPr>
          <w:rFonts w:ascii="Lato" w:eastAsia="Malgun Gothic" w:hAnsi="Lato"/>
          <w:szCs w:val="24"/>
        </w:rPr>
        <w:t>. Mniejsze znaczenie w grupie mają wydobycie gazu ziemnego przez członków grupy oraz import LNG, które moją odpowiednio wartość 0,8 TWh/d</w:t>
      </w:r>
      <w:r w:rsidR="0047343C">
        <w:rPr>
          <w:rFonts w:ascii="Lato" w:eastAsia="Malgun Gothic" w:hAnsi="Lato"/>
          <w:szCs w:val="24"/>
        </w:rPr>
        <w:t>obę</w:t>
      </w:r>
      <w:r w:rsidRPr="00926586">
        <w:rPr>
          <w:rFonts w:ascii="Lato" w:eastAsia="Malgun Gothic" w:hAnsi="Lato"/>
          <w:szCs w:val="24"/>
        </w:rPr>
        <w:t xml:space="preserve"> oraz 0,9 TWh/d</w:t>
      </w:r>
      <w:r w:rsidR="0047343C">
        <w:rPr>
          <w:rFonts w:ascii="Lato" w:eastAsia="Malgun Gothic" w:hAnsi="Lato"/>
          <w:szCs w:val="24"/>
        </w:rPr>
        <w:t>obę</w:t>
      </w:r>
      <w:r w:rsidRPr="00926586">
        <w:rPr>
          <w:rFonts w:ascii="Lato" w:eastAsia="Malgun Gothic" w:hAnsi="Lato"/>
          <w:szCs w:val="24"/>
        </w:rPr>
        <w:t>.</w:t>
      </w:r>
    </w:p>
    <w:p w14:paraId="029D87FE" w14:textId="77777777" w:rsidR="00B03DBA" w:rsidRPr="006E0158" w:rsidRDefault="00C7771E" w:rsidP="00983C18">
      <w:pPr>
        <w:pStyle w:val="Rozdzia2"/>
        <w:rPr>
          <w:rFonts w:ascii="Lato" w:hAnsi="Lato"/>
          <w:sz w:val="24"/>
          <w:szCs w:val="24"/>
        </w:rPr>
      </w:pPr>
      <w:bookmarkStart w:id="23" w:name="_Toc12953896"/>
      <w:bookmarkStart w:id="24" w:name="_Toc19782929"/>
      <w:bookmarkStart w:id="25" w:name="_Toc142469556"/>
      <w:r w:rsidRPr="006E0158">
        <w:rPr>
          <w:rFonts w:ascii="Lato" w:hAnsi="Lato"/>
          <w:sz w:val="24"/>
          <w:szCs w:val="24"/>
        </w:rPr>
        <w:t>Opis krajowego systemu gazowego – Polska</w:t>
      </w:r>
      <w:bookmarkEnd w:id="23"/>
      <w:bookmarkEnd w:id="24"/>
      <w:bookmarkEnd w:id="25"/>
    </w:p>
    <w:p w14:paraId="205098D3" w14:textId="38CE370E" w:rsidR="003966F3" w:rsidRPr="006E0158" w:rsidRDefault="00C7771E" w:rsidP="00983C18">
      <w:pPr>
        <w:pStyle w:val="Rozdzia3"/>
        <w:rPr>
          <w:rFonts w:ascii="Lato" w:hAnsi="Lato"/>
        </w:rPr>
      </w:pPr>
      <w:bookmarkStart w:id="26" w:name="_Toc12287736"/>
      <w:bookmarkStart w:id="27" w:name="_Toc12953897"/>
      <w:bookmarkStart w:id="28" w:name="_Toc19782930"/>
      <w:bookmarkStart w:id="29" w:name="_Toc142469557"/>
      <w:r w:rsidRPr="006E0158">
        <w:rPr>
          <w:rFonts w:ascii="Lato" w:hAnsi="Lato"/>
        </w:rPr>
        <w:t>Krajowe zu</w:t>
      </w:r>
      <w:r w:rsidRPr="006E0158">
        <w:rPr>
          <w:rFonts w:ascii="Lato" w:hAnsi="Lato" w:cs="Calibri"/>
        </w:rPr>
        <w:t>ż</w:t>
      </w:r>
      <w:r w:rsidRPr="006E0158">
        <w:rPr>
          <w:rFonts w:ascii="Lato" w:hAnsi="Lato"/>
        </w:rPr>
        <w:t>ycie gazu ziemnego oraz struktura sprzeda</w:t>
      </w:r>
      <w:r w:rsidRPr="006E0158">
        <w:rPr>
          <w:rFonts w:ascii="Lato" w:hAnsi="Lato" w:cs="Calibri"/>
        </w:rPr>
        <w:t>ż</w:t>
      </w:r>
      <w:r w:rsidRPr="006E0158">
        <w:rPr>
          <w:rFonts w:ascii="Lato" w:hAnsi="Lato"/>
        </w:rPr>
        <w:t>y gazu ziemnego do odbiorc</w:t>
      </w:r>
      <w:r w:rsidRPr="006E0158">
        <w:rPr>
          <w:rFonts w:ascii="Lato" w:hAnsi="Lato" w:cs="Malgun Gothic"/>
        </w:rPr>
        <w:t>ó</w:t>
      </w:r>
      <w:r w:rsidRPr="006E0158">
        <w:rPr>
          <w:rFonts w:ascii="Lato" w:hAnsi="Lato"/>
        </w:rPr>
        <w:t>w ko</w:t>
      </w:r>
      <w:r w:rsidRPr="006E0158">
        <w:rPr>
          <w:rFonts w:ascii="Lato" w:hAnsi="Lato" w:cs="Calibri"/>
        </w:rPr>
        <w:t>ń</w:t>
      </w:r>
      <w:r w:rsidRPr="006E0158">
        <w:rPr>
          <w:rFonts w:ascii="Lato" w:hAnsi="Lato"/>
        </w:rPr>
        <w:t>cowych</w:t>
      </w:r>
      <w:bookmarkEnd w:id="26"/>
      <w:bookmarkEnd w:id="27"/>
      <w:bookmarkEnd w:id="28"/>
      <w:bookmarkEnd w:id="29"/>
    </w:p>
    <w:p w14:paraId="357A8F87" w14:textId="77777777" w:rsidR="003966F3" w:rsidRPr="00D879FE" w:rsidRDefault="003966F3" w:rsidP="000A7C68">
      <w:pPr>
        <w:spacing w:before="120" w:after="60" w:line="276" w:lineRule="auto"/>
        <w:ind w:firstLine="567"/>
        <w:rPr>
          <w:rFonts w:ascii="Lato" w:eastAsia="Malgun Gothic" w:hAnsi="Lato"/>
          <w:szCs w:val="24"/>
        </w:rPr>
      </w:pPr>
      <w:r w:rsidRPr="00D879FE">
        <w:rPr>
          <w:rFonts w:ascii="Lato" w:eastAsia="Malgun Gothic" w:hAnsi="Lato"/>
          <w:szCs w:val="24"/>
        </w:rPr>
        <w:t>W 2022 r. krajowe zu</w:t>
      </w:r>
      <w:r w:rsidRPr="00D879FE">
        <w:rPr>
          <w:rFonts w:ascii="Lato" w:eastAsia="Malgun Gothic" w:hAnsi="Lato" w:cs="Calibri"/>
          <w:szCs w:val="24"/>
        </w:rPr>
        <w:t>ż</w:t>
      </w:r>
      <w:r w:rsidRPr="00D879FE">
        <w:rPr>
          <w:rFonts w:ascii="Lato" w:eastAsia="Malgun Gothic" w:hAnsi="Lato"/>
          <w:szCs w:val="24"/>
        </w:rPr>
        <w:t>ycie gazu ziemnego wynios</w:t>
      </w:r>
      <w:r w:rsidRPr="00D879FE">
        <w:rPr>
          <w:rFonts w:ascii="Lato" w:eastAsia="Malgun Gothic" w:hAnsi="Lato" w:cs="Malgun Gothic"/>
          <w:szCs w:val="24"/>
        </w:rPr>
        <w:t>ł</w:t>
      </w:r>
      <w:r w:rsidRPr="00D879FE">
        <w:rPr>
          <w:rFonts w:ascii="Lato" w:eastAsia="Malgun Gothic" w:hAnsi="Lato"/>
          <w:szCs w:val="24"/>
        </w:rPr>
        <w:t>o 16,62 mld m</w:t>
      </w:r>
      <w:r w:rsidRPr="00D879FE">
        <w:rPr>
          <w:rFonts w:ascii="Lato" w:eastAsia="Malgun Gothic" w:hAnsi="Lato"/>
          <w:szCs w:val="24"/>
          <w:vertAlign w:val="superscript"/>
        </w:rPr>
        <w:t>3</w:t>
      </w:r>
      <w:r w:rsidRPr="00D879FE">
        <w:rPr>
          <w:rFonts w:ascii="Lato" w:eastAsia="Malgun Gothic" w:hAnsi="Lato"/>
          <w:szCs w:val="24"/>
        </w:rPr>
        <w:t xml:space="preserve"> (189,5 TWh) i w porównaniu do roku poprzedniego spadło o 17,2%. Poprzez krajowe zu</w:t>
      </w:r>
      <w:r w:rsidRPr="00D879FE">
        <w:rPr>
          <w:rFonts w:ascii="Lato" w:eastAsia="Malgun Gothic" w:hAnsi="Lato" w:cs="Calibri"/>
          <w:szCs w:val="24"/>
        </w:rPr>
        <w:t>ż</w:t>
      </w:r>
      <w:r w:rsidRPr="00D879FE">
        <w:rPr>
          <w:rFonts w:ascii="Lato" w:eastAsia="Malgun Gothic" w:hAnsi="Lato"/>
          <w:szCs w:val="24"/>
        </w:rPr>
        <w:t>ycie gazu ziemnego rozumie si</w:t>
      </w:r>
      <w:r w:rsidRPr="00D879FE">
        <w:rPr>
          <w:rFonts w:ascii="Lato" w:eastAsia="Malgun Gothic" w:hAnsi="Lato" w:cs="Calibri"/>
          <w:szCs w:val="24"/>
        </w:rPr>
        <w:t>ę</w:t>
      </w:r>
      <w:r w:rsidRPr="00D879FE">
        <w:rPr>
          <w:rFonts w:ascii="Lato" w:eastAsia="Malgun Gothic" w:hAnsi="Lato"/>
          <w:szCs w:val="24"/>
        </w:rPr>
        <w:t xml:space="preserve"> sum</w:t>
      </w:r>
      <w:r w:rsidRPr="00D879FE">
        <w:rPr>
          <w:rFonts w:ascii="Lato" w:eastAsia="Malgun Gothic" w:hAnsi="Lato" w:cs="Calibri"/>
          <w:szCs w:val="24"/>
        </w:rPr>
        <w:t>ę</w:t>
      </w:r>
      <w:r w:rsidRPr="00D879FE">
        <w:rPr>
          <w:rFonts w:ascii="Lato" w:eastAsia="Malgun Gothic" w:hAnsi="Lato"/>
          <w:szCs w:val="24"/>
        </w:rPr>
        <w:t xml:space="preserve"> krajowego wydobycia i ca</w:t>
      </w:r>
      <w:r w:rsidRPr="00D879FE">
        <w:rPr>
          <w:rFonts w:ascii="Lato" w:eastAsia="Malgun Gothic" w:hAnsi="Lato" w:cs="Malgun Gothic"/>
          <w:szCs w:val="24"/>
        </w:rPr>
        <w:t>ł</w:t>
      </w:r>
      <w:r w:rsidRPr="00D879FE">
        <w:rPr>
          <w:rFonts w:ascii="Lato" w:eastAsia="Malgun Gothic" w:hAnsi="Lato"/>
          <w:szCs w:val="24"/>
        </w:rPr>
        <w:t>kowitego przywozu gazu ziemnego, pomniejszon</w:t>
      </w:r>
      <w:r w:rsidRPr="00D879FE">
        <w:rPr>
          <w:rFonts w:ascii="Lato" w:eastAsia="Malgun Gothic" w:hAnsi="Lato" w:cs="Calibri"/>
          <w:szCs w:val="24"/>
        </w:rPr>
        <w:t>ą</w:t>
      </w:r>
      <w:r w:rsidRPr="00D879FE">
        <w:rPr>
          <w:rFonts w:ascii="Lato" w:eastAsia="Malgun Gothic" w:hAnsi="Lato"/>
          <w:szCs w:val="24"/>
        </w:rPr>
        <w:t xml:space="preserve"> o eksport gazu ziemnego, straty i zu</w:t>
      </w:r>
      <w:r w:rsidRPr="00D879FE">
        <w:rPr>
          <w:rFonts w:ascii="Lato" w:eastAsia="Malgun Gothic" w:hAnsi="Lato" w:cs="Calibri"/>
          <w:szCs w:val="24"/>
        </w:rPr>
        <w:t>ż</w:t>
      </w:r>
      <w:r w:rsidRPr="00D879FE">
        <w:rPr>
          <w:rFonts w:ascii="Lato" w:eastAsia="Malgun Gothic" w:hAnsi="Lato"/>
          <w:szCs w:val="24"/>
        </w:rPr>
        <w:t>ycie w</w:t>
      </w:r>
      <w:r w:rsidRPr="00D879FE">
        <w:rPr>
          <w:rFonts w:ascii="Lato" w:eastAsia="Malgun Gothic" w:hAnsi="Lato" w:cs="Malgun Gothic"/>
          <w:szCs w:val="24"/>
        </w:rPr>
        <w:t>ł</w:t>
      </w:r>
      <w:r w:rsidRPr="00D879FE">
        <w:rPr>
          <w:rFonts w:ascii="Lato" w:eastAsia="Malgun Gothic" w:hAnsi="Lato"/>
          <w:szCs w:val="24"/>
        </w:rPr>
        <w:t>asne oraz o zmian</w:t>
      </w:r>
      <w:r w:rsidRPr="00D879FE">
        <w:rPr>
          <w:rFonts w:ascii="Lato" w:eastAsia="Malgun Gothic" w:hAnsi="Lato" w:cs="Calibri"/>
          <w:szCs w:val="24"/>
        </w:rPr>
        <w:t>ę</w:t>
      </w:r>
      <w:r w:rsidRPr="00D879FE">
        <w:rPr>
          <w:rFonts w:ascii="Lato" w:eastAsia="Malgun Gothic" w:hAnsi="Lato"/>
          <w:szCs w:val="24"/>
        </w:rPr>
        <w:t xml:space="preserve"> stanu zapas</w:t>
      </w:r>
      <w:r w:rsidRPr="00D879FE">
        <w:rPr>
          <w:rFonts w:ascii="Lato" w:eastAsia="Malgun Gothic" w:hAnsi="Lato" w:cs="Malgun Gothic"/>
          <w:szCs w:val="24"/>
        </w:rPr>
        <w:t>ó</w:t>
      </w:r>
      <w:r w:rsidRPr="00D879FE">
        <w:rPr>
          <w:rFonts w:ascii="Lato" w:eastAsia="Malgun Gothic" w:hAnsi="Lato"/>
          <w:szCs w:val="24"/>
        </w:rPr>
        <w:t>w w instalacjach magazynowych.</w:t>
      </w:r>
    </w:p>
    <w:p w14:paraId="39E0F321" w14:textId="16BFBAEE" w:rsidR="003966F3" w:rsidRPr="00C758B1" w:rsidRDefault="003966F3" w:rsidP="000A7C68">
      <w:pPr>
        <w:spacing w:after="60" w:line="276" w:lineRule="auto"/>
        <w:ind w:firstLine="567"/>
        <w:rPr>
          <w:rFonts w:ascii="Lato" w:eastAsia="Malgun Gothic" w:hAnsi="Lato"/>
          <w:sz w:val="20"/>
          <w:szCs w:val="20"/>
        </w:rPr>
      </w:pPr>
      <w:r w:rsidRPr="00D879FE">
        <w:rPr>
          <w:rFonts w:ascii="Lato" w:eastAsia="Malgun Gothic" w:hAnsi="Lato"/>
          <w:szCs w:val="24"/>
        </w:rPr>
        <w:t>W 2022 r. przedsi</w:t>
      </w:r>
      <w:r w:rsidRPr="00D879FE">
        <w:rPr>
          <w:rFonts w:ascii="Lato" w:eastAsia="Malgun Gothic" w:hAnsi="Lato" w:cs="Calibri"/>
          <w:szCs w:val="24"/>
        </w:rPr>
        <w:t>ę</w:t>
      </w:r>
      <w:r w:rsidRPr="00D879FE">
        <w:rPr>
          <w:rFonts w:ascii="Lato" w:eastAsia="Malgun Gothic" w:hAnsi="Lato"/>
          <w:szCs w:val="24"/>
        </w:rPr>
        <w:t>biorstwa energetyczne dostarczyły do ponad 7,5 mln odbiorców ko</w:t>
      </w:r>
      <w:r w:rsidRPr="00D879FE">
        <w:rPr>
          <w:rFonts w:ascii="Lato" w:eastAsia="Malgun Gothic" w:hAnsi="Lato" w:cs="Calibri"/>
          <w:szCs w:val="24"/>
        </w:rPr>
        <w:t>ń</w:t>
      </w:r>
      <w:r w:rsidRPr="00D879FE">
        <w:rPr>
          <w:rFonts w:ascii="Lato" w:eastAsia="Malgun Gothic" w:hAnsi="Lato"/>
          <w:szCs w:val="24"/>
        </w:rPr>
        <w:t>cowych 16,58 mld m</w:t>
      </w:r>
      <w:r w:rsidRPr="00D879FE">
        <w:rPr>
          <w:rFonts w:ascii="Lato" w:eastAsia="Malgun Gothic" w:hAnsi="Lato"/>
          <w:szCs w:val="24"/>
          <w:vertAlign w:val="superscript"/>
        </w:rPr>
        <w:t xml:space="preserve">3 </w:t>
      </w:r>
      <w:r w:rsidRPr="00D879FE">
        <w:rPr>
          <w:rFonts w:ascii="Lato" w:eastAsia="Malgun Gothic" w:hAnsi="Lato"/>
          <w:szCs w:val="24"/>
        </w:rPr>
        <w:t>(181,9 TWh) gazu ziemnego, co stanowi w porównaniu z 2021 r. spadek o 15,6%. Najwi</w:t>
      </w:r>
      <w:r w:rsidRPr="00D879FE">
        <w:rPr>
          <w:rFonts w:ascii="Lato" w:eastAsia="Malgun Gothic" w:hAnsi="Lato" w:cs="Calibri"/>
          <w:szCs w:val="24"/>
        </w:rPr>
        <w:t>ę</w:t>
      </w:r>
      <w:r w:rsidRPr="00D879FE">
        <w:rPr>
          <w:rFonts w:ascii="Lato" w:eastAsia="Malgun Gothic" w:hAnsi="Lato"/>
          <w:szCs w:val="24"/>
        </w:rPr>
        <w:t>cej, bo 9,61 mld m</w:t>
      </w:r>
      <w:r w:rsidRPr="00D879FE">
        <w:rPr>
          <w:rFonts w:ascii="Lato" w:eastAsia="Malgun Gothic" w:hAnsi="Lato"/>
          <w:szCs w:val="24"/>
          <w:vertAlign w:val="superscript"/>
        </w:rPr>
        <w:t>3</w:t>
      </w:r>
      <w:r w:rsidRPr="00D879FE">
        <w:rPr>
          <w:rFonts w:ascii="Lato" w:eastAsia="Malgun Gothic" w:hAnsi="Lato"/>
          <w:szCs w:val="24"/>
        </w:rPr>
        <w:t xml:space="preserve"> (105,4 TWh) gazu ziemnego zostało zużyte przez odbiorców przemysłowych (58,0%), natomiast 5,11 mld m</w:t>
      </w:r>
      <w:r w:rsidRPr="00D879FE">
        <w:rPr>
          <w:rFonts w:ascii="Lato" w:eastAsia="Malgun Gothic" w:hAnsi="Lato"/>
          <w:szCs w:val="24"/>
          <w:vertAlign w:val="superscript"/>
        </w:rPr>
        <w:t>3</w:t>
      </w:r>
      <w:r w:rsidRPr="00D879FE">
        <w:rPr>
          <w:rFonts w:ascii="Lato" w:eastAsia="Malgun Gothic" w:hAnsi="Lato"/>
          <w:szCs w:val="24"/>
        </w:rPr>
        <w:t xml:space="preserve"> (56,0 TWh) zostało skonsumowane przez odbiorców w gospodarstwach domowych (30,8%). Odbiorcy działający w sektorze usług, stanowiący jednocześnie drugą po gospodarstwach domowych najliczniejszą grupę odbiorców, zużyli w 2022 r. 1,24 mld m</w:t>
      </w:r>
      <w:r w:rsidRPr="00D879FE">
        <w:rPr>
          <w:rFonts w:ascii="Lato" w:eastAsia="Malgun Gothic" w:hAnsi="Lato"/>
          <w:szCs w:val="24"/>
          <w:vertAlign w:val="superscript"/>
        </w:rPr>
        <w:t xml:space="preserve">3 </w:t>
      </w:r>
      <w:r w:rsidRPr="00D879FE">
        <w:rPr>
          <w:rFonts w:ascii="Lato" w:eastAsia="Malgun Gothic" w:hAnsi="Lato"/>
          <w:szCs w:val="24"/>
        </w:rPr>
        <w:t>(13,6 TWh), czyli nieco ponad dwa razy więcej niż odbiorcy w sektorze użyteczności publicznej 0,57 mld m</w:t>
      </w:r>
      <w:r w:rsidRPr="00D879FE">
        <w:rPr>
          <w:rFonts w:ascii="Lato" w:eastAsia="Malgun Gothic" w:hAnsi="Lato"/>
          <w:szCs w:val="24"/>
          <w:vertAlign w:val="superscript"/>
        </w:rPr>
        <w:t xml:space="preserve">3 </w:t>
      </w:r>
      <w:r w:rsidRPr="00D879FE">
        <w:rPr>
          <w:rFonts w:ascii="Lato" w:eastAsia="Malgun Gothic" w:hAnsi="Lato"/>
          <w:szCs w:val="24"/>
        </w:rPr>
        <w:t xml:space="preserve">(6,3 TWh). Najmniej liczną oraz zużywającą najmniej gazu ziemnego grupą odbiorców w Polsce są odbiorcy należący do sektora rolnictwa, </w:t>
      </w:r>
      <w:r w:rsidR="00926586">
        <w:rPr>
          <w:rFonts w:ascii="Lato" w:eastAsia="Malgun Gothic" w:hAnsi="Lato"/>
          <w:szCs w:val="24"/>
        </w:rPr>
        <w:t>którzy</w:t>
      </w:r>
      <w:r w:rsidRPr="00D879FE">
        <w:rPr>
          <w:rFonts w:ascii="Lato" w:eastAsia="Malgun Gothic" w:hAnsi="Lato"/>
          <w:szCs w:val="24"/>
        </w:rPr>
        <w:t xml:space="preserve"> zużyli w 2022 r. jedynie 0,04 mld m</w:t>
      </w:r>
      <w:r w:rsidRPr="00D879FE">
        <w:rPr>
          <w:rFonts w:ascii="Lato" w:eastAsia="Malgun Gothic" w:hAnsi="Lato"/>
          <w:szCs w:val="24"/>
          <w:vertAlign w:val="superscript"/>
        </w:rPr>
        <w:t xml:space="preserve">3 </w:t>
      </w:r>
      <w:r w:rsidRPr="00D879FE">
        <w:rPr>
          <w:rFonts w:ascii="Lato" w:eastAsia="Malgun Gothic" w:hAnsi="Lato"/>
          <w:szCs w:val="24"/>
        </w:rPr>
        <w:t>(0,5 TWh).</w:t>
      </w:r>
    </w:p>
    <w:p w14:paraId="74EAEB4A" w14:textId="77777777" w:rsidR="0067393E" w:rsidRDefault="0067393E" w:rsidP="00270AE5">
      <w:pPr>
        <w:pStyle w:val="Legenda"/>
        <w:keepNext/>
        <w:spacing w:after="240" w:line="276" w:lineRule="auto"/>
        <w:rPr>
          <w:rFonts w:ascii="Lato" w:eastAsia="Malgun Gothic" w:hAnsi="Lato"/>
          <w:sz w:val="24"/>
          <w:szCs w:val="24"/>
        </w:rPr>
      </w:pPr>
    </w:p>
    <w:p w14:paraId="05DBFE9A" w14:textId="19FF5EF7" w:rsidR="003966F3" w:rsidRPr="001B1D8F" w:rsidRDefault="003966F3" w:rsidP="00270AE5">
      <w:pPr>
        <w:pStyle w:val="Legenda"/>
        <w:keepNext/>
        <w:spacing w:after="240" w:line="276" w:lineRule="auto"/>
        <w:rPr>
          <w:rFonts w:ascii="Lato" w:eastAsia="Malgun Gothic" w:hAnsi="Lato"/>
          <w:b w:val="0"/>
          <w:sz w:val="24"/>
          <w:szCs w:val="24"/>
        </w:rPr>
      </w:pPr>
      <w:r w:rsidRPr="001B1D8F">
        <w:rPr>
          <w:rFonts w:ascii="Lato" w:eastAsia="Malgun Gothic" w:hAnsi="Lato"/>
          <w:sz w:val="24"/>
          <w:szCs w:val="24"/>
        </w:rPr>
        <w:t xml:space="preserve">Rysunek </w:t>
      </w:r>
      <w:r w:rsidRPr="001B1D8F">
        <w:rPr>
          <w:rFonts w:ascii="Lato" w:eastAsia="Malgun Gothic" w:hAnsi="Lato"/>
          <w:sz w:val="24"/>
          <w:szCs w:val="24"/>
        </w:rPr>
        <w:fldChar w:fldCharType="begin"/>
      </w:r>
      <w:r w:rsidRPr="001B1D8F">
        <w:rPr>
          <w:rFonts w:ascii="Lato" w:eastAsia="Malgun Gothic" w:hAnsi="Lato"/>
          <w:sz w:val="24"/>
          <w:szCs w:val="24"/>
        </w:rPr>
        <w:instrText xml:space="preserve"> SEQ Rysunek \* ARABIC </w:instrText>
      </w:r>
      <w:r w:rsidRPr="001B1D8F">
        <w:rPr>
          <w:rFonts w:ascii="Lato" w:eastAsia="Malgun Gothic" w:hAnsi="Lato"/>
          <w:sz w:val="24"/>
          <w:szCs w:val="24"/>
        </w:rPr>
        <w:fldChar w:fldCharType="separate"/>
      </w:r>
      <w:r w:rsidR="00D520CA">
        <w:rPr>
          <w:rFonts w:ascii="Lato" w:eastAsia="Malgun Gothic" w:hAnsi="Lato"/>
          <w:noProof/>
          <w:sz w:val="24"/>
          <w:szCs w:val="24"/>
        </w:rPr>
        <w:t>1</w:t>
      </w:r>
      <w:r w:rsidRPr="001B1D8F">
        <w:rPr>
          <w:rFonts w:ascii="Lato" w:eastAsia="Malgun Gothic" w:hAnsi="Lato"/>
          <w:sz w:val="24"/>
          <w:szCs w:val="24"/>
        </w:rPr>
        <w:fldChar w:fldCharType="end"/>
      </w:r>
      <w:r w:rsidRPr="001B1D8F">
        <w:rPr>
          <w:rFonts w:ascii="Lato" w:eastAsia="Malgun Gothic" w:hAnsi="Lato"/>
          <w:sz w:val="24"/>
          <w:szCs w:val="24"/>
        </w:rPr>
        <w:t>.</w:t>
      </w:r>
      <w:r w:rsidR="00926586" w:rsidRPr="001B1D8F">
        <w:rPr>
          <w:rFonts w:ascii="Lato" w:eastAsia="Malgun Gothic" w:hAnsi="Lato"/>
          <w:sz w:val="24"/>
          <w:szCs w:val="24"/>
        </w:rPr>
        <w:t xml:space="preserve"> </w:t>
      </w:r>
      <w:r w:rsidRPr="001B1D8F">
        <w:rPr>
          <w:rFonts w:ascii="Lato" w:eastAsia="Malgun Gothic" w:hAnsi="Lato"/>
          <w:sz w:val="24"/>
          <w:szCs w:val="24"/>
        </w:rPr>
        <w:t xml:space="preserve">Udział w zużyciu gazu ziemnego w podziale na sektory </w:t>
      </w:r>
    </w:p>
    <w:p w14:paraId="63C3039B" w14:textId="77777777" w:rsidR="003966F3" w:rsidRPr="00C758B1" w:rsidRDefault="003966F3" w:rsidP="00983C18">
      <w:pPr>
        <w:spacing w:line="276" w:lineRule="auto"/>
        <w:jc w:val="center"/>
        <w:rPr>
          <w:rFonts w:ascii="Lato" w:eastAsia="Malgun Gothic" w:hAnsi="Lato" w:cs="Calibri"/>
          <w:i/>
          <w:sz w:val="20"/>
          <w:szCs w:val="20"/>
        </w:rPr>
      </w:pPr>
      <w:r w:rsidRPr="00C758B1">
        <w:rPr>
          <w:rFonts w:ascii="Lato" w:hAnsi="Lato"/>
          <w:noProof/>
          <w:sz w:val="20"/>
          <w:szCs w:val="20"/>
        </w:rPr>
        <w:drawing>
          <wp:inline distT="0" distB="0" distL="0" distR="0" wp14:anchorId="2C2A8288" wp14:editId="45A7CEBE">
            <wp:extent cx="4006850" cy="2908300"/>
            <wp:effectExtent l="0" t="0" r="0" b="635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6E2AD9" w14:textId="6FEB2754" w:rsidR="003966F3" w:rsidRPr="00C758B1" w:rsidRDefault="003966F3" w:rsidP="002E0AC8">
      <w:pPr>
        <w:spacing w:line="276" w:lineRule="auto"/>
        <w:rPr>
          <w:rFonts w:ascii="Lato" w:eastAsia="Malgun Gothic" w:hAnsi="Lato"/>
          <w:i/>
          <w:sz w:val="20"/>
          <w:szCs w:val="20"/>
        </w:rPr>
      </w:pPr>
      <w:r w:rsidRPr="00C758B1">
        <w:rPr>
          <w:rFonts w:ascii="Lato" w:eastAsia="Malgun Gothic" w:hAnsi="Lato" w:cs="Calibri"/>
          <w:i/>
          <w:sz w:val="20"/>
          <w:szCs w:val="20"/>
        </w:rPr>
        <w:t>Ź</w:t>
      </w:r>
      <w:r w:rsidRPr="00C758B1">
        <w:rPr>
          <w:rFonts w:ascii="Lato" w:eastAsia="Malgun Gothic" w:hAnsi="Lato"/>
          <w:i/>
          <w:sz w:val="20"/>
          <w:szCs w:val="20"/>
        </w:rPr>
        <w:t>r</w:t>
      </w:r>
      <w:r w:rsidRPr="00C758B1">
        <w:rPr>
          <w:rFonts w:ascii="Lato" w:eastAsia="Malgun Gothic" w:hAnsi="Lato" w:cs="Malgun Gothic"/>
          <w:i/>
          <w:sz w:val="20"/>
          <w:szCs w:val="20"/>
        </w:rPr>
        <w:t>ó</w:t>
      </w:r>
      <w:r w:rsidRPr="00C758B1">
        <w:rPr>
          <w:rFonts w:ascii="Lato" w:eastAsia="Malgun Gothic" w:hAnsi="Lato"/>
          <w:i/>
          <w:sz w:val="20"/>
          <w:szCs w:val="20"/>
        </w:rPr>
        <w:t>d</w:t>
      </w:r>
      <w:r w:rsidRPr="00C758B1">
        <w:rPr>
          <w:rFonts w:ascii="Lato" w:eastAsia="Malgun Gothic" w:hAnsi="Lato" w:cs="Malgun Gothic"/>
          <w:i/>
          <w:sz w:val="20"/>
          <w:szCs w:val="20"/>
        </w:rPr>
        <w:t>ł</w:t>
      </w:r>
      <w:r w:rsidRPr="00C758B1">
        <w:rPr>
          <w:rFonts w:ascii="Lato" w:eastAsia="Malgun Gothic" w:hAnsi="Lato"/>
          <w:i/>
          <w:sz w:val="20"/>
          <w:szCs w:val="20"/>
        </w:rPr>
        <w:t>o: Badania statystyczne Ministra Klimatu i Środowiska</w:t>
      </w:r>
    </w:p>
    <w:p w14:paraId="5C6EA2FE" w14:textId="0B452180" w:rsidR="003966F3" w:rsidRDefault="003966F3" w:rsidP="00983C18">
      <w:pPr>
        <w:spacing w:line="276" w:lineRule="auto"/>
        <w:ind w:firstLine="426"/>
        <w:rPr>
          <w:rFonts w:ascii="Lato" w:eastAsia="Malgun Gothic" w:hAnsi="Lato"/>
          <w:szCs w:val="24"/>
        </w:rPr>
      </w:pPr>
      <w:r w:rsidRPr="004F0DBF">
        <w:rPr>
          <w:rFonts w:ascii="Lato" w:eastAsia="Malgun Gothic" w:hAnsi="Lato"/>
          <w:szCs w:val="24"/>
        </w:rPr>
        <w:t>Szczytowe zapotrzebowanie odbiorców na gaz ziemny w 2022 r. wyst</w:t>
      </w:r>
      <w:r w:rsidRPr="004F0DBF">
        <w:rPr>
          <w:rFonts w:ascii="Lato" w:eastAsia="Malgun Gothic" w:hAnsi="Lato" w:cs="Calibri"/>
          <w:szCs w:val="24"/>
        </w:rPr>
        <w:t>ą</w:t>
      </w:r>
      <w:r w:rsidRPr="004F0DBF">
        <w:rPr>
          <w:rFonts w:ascii="Lato" w:eastAsia="Malgun Gothic" w:hAnsi="Lato"/>
          <w:szCs w:val="24"/>
        </w:rPr>
        <w:t>pi</w:t>
      </w:r>
      <w:r w:rsidRPr="004F0DBF">
        <w:rPr>
          <w:rFonts w:ascii="Lato" w:eastAsia="Malgun Gothic" w:hAnsi="Lato" w:cs="Malgun Gothic"/>
          <w:szCs w:val="24"/>
        </w:rPr>
        <w:t>ł</w:t>
      </w:r>
      <w:r w:rsidRPr="004F0DBF">
        <w:rPr>
          <w:rFonts w:ascii="Lato" w:eastAsia="Malgun Gothic" w:hAnsi="Lato"/>
          <w:szCs w:val="24"/>
        </w:rPr>
        <w:t>o w dniu 11 stycznia 2022 r. i wyniosło ok. 77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(867,1 GWh/dob</w:t>
      </w:r>
      <w:r w:rsidRPr="004F0DBF">
        <w:rPr>
          <w:rFonts w:ascii="Lato" w:eastAsia="Malgun Gothic" w:hAnsi="Lato" w:cs="Calibri"/>
          <w:szCs w:val="24"/>
        </w:rPr>
        <w:t>ę</w:t>
      </w:r>
      <w:r w:rsidRPr="004F0DBF">
        <w:rPr>
          <w:rFonts w:ascii="Lato" w:eastAsia="Malgun Gothic" w:hAnsi="Lato"/>
          <w:szCs w:val="24"/>
        </w:rPr>
        <w:t>), przy czym nie przekroczyło dotychczasowego największego historycznego zapotrzebowania odnotowanego w dniu 18 stycznia 2021 r.</w:t>
      </w:r>
      <w:r w:rsidR="005830B3">
        <w:rPr>
          <w:rFonts w:ascii="Lato" w:eastAsia="Malgun Gothic" w:hAnsi="Lato"/>
          <w:szCs w:val="24"/>
        </w:rPr>
        <w:t xml:space="preserve">, tj. </w:t>
      </w:r>
      <w:r w:rsidRPr="004F0DBF">
        <w:rPr>
          <w:rFonts w:ascii="Lato" w:eastAsia="Malgun Gothic" w:hAnsi="Lato"/>
          <w:szCs w:val="24"/>
        </w:rPr>
        <w:t xml:space="preserve">89,3 mln m³/dobę (1007,5 GWh). </w:t>
      </w:r>
    </w:p>
    <w:p w14:paraId="10BC0BDD" w14:textId="4D70AE1D" w:rsidR="005B7DD8" w:rsidRPr="005B7DD8" w:rsidRDefault="005B7DD8" w:rsidP="00983C18">
      <w:pPr>
        <w:pStyle w:val="Rozdzia3"/>
        <w:ind w:left="0" w:firstLine="0"/>
        <w:rPr>
          <w:rFonts w:ascii="Lato" w:hAnsi="Lato"/>
        </w:rPr>
      </w:pPr>
      <w:bookmarkStart w:id="30" w:name="_Toc142469558"/>
      <w:r w:rsidRPr="005B7DD8">
        <w:rPr>
          <w:rFonts w:ascii="Lato" w:hAnsi="Lato"/>
        </w:rPr>
        <w:t>Charakterystyka krajowego systemu gazowego</w:t>
      </w:r>
      <w:bookmarkEnd w:id="30"/>
      <w:r w:rsidRPr="005B7DD8">
        <w:rPr>
          <w:rFonts w:ascii="Lato" w:hAnsi="Lato"/>
        </w:rPr>
        <w:t xml:space="preserve"> </w:t>
      </w:r>
    </w:p>
    <w:p w14:paraId="72568BC4" w14:textId="3F6E55A9" w:rsidR="00B03DBA" w:rsidRPr="00223D99" w:rsidRDefault="00C7771E" w:rsidP="005577BE">
      <w:pPr>
        <w:pStyle w:val="Rozdzia4"/>
        <w:spacing w:after="120"/>
        <w:rPr>
          <w:rFonts w:ascii="Lato" w:hAnsi="Lato"/>
        </w:rPr>
      </w:pPr>
      <w:bookmarkStart w:id="31" w:name="_Toc12287738"/>
      <w:r w:rsidRPr="00223D99">
        <w:rPr>
          <w:rFonts w:ascii="Lato" w:hAnsi="Lato"/>
        </w:rPr>
        <w:t>Krajowy system przesyłowy</w:t>
      </w:r>
      <w:bookmarkEnd w:id="31"/>
    </w:p>
    <w:p w14:paraId="7D3CDD0E" w14:textId="3D093160" w:rsidR="00B03DBA" w:rsidRPr="00C758B1" w:rsidRDefault="005830B3" w:rsidP="005577BE">
      <w:pPr>
        <w:pStyle w:val="Tekstzwyky"/>
        <w:contextualSpacing/>
        <w:rPr>
          <w:rFonts w:ascii="Lato" w:hAnsi="Lato"/>
        </w:rPr>
      </w:pPr>
      <w:r w:rsidRPr="005830B3">
        <w:rPr>
          <w:rFonts w:ascii="Lato" w:eastAsia="Malgun Gothic" w:hAnsi="Lato" w:cstheme="minorBidi"/>
          <w:color w:val="auto"/>
        </w:rPr>
        <w:tab/>
      </w:r>
      <w:r w:rsidR="00C7771E" w:rsidRPr="005830B3">
        <w:rPr>
          <w:rFonts w:ascii="Lato" w:eastAsia="Malgun Gothic" w:hAnsi="Lato" w:cstheme="minorBidi"/>
          <w:color w:val="auto"/>
        </w:rPr>
        <w:t>Krajowy system przesyłowy składa się z gazociągów przesyłowych o łącznej długości</w:t>
      </w:r>
      <w:r w:rsidR="00C7771E" w:rsidRPr="00C758B1">
        <w:rPr>
          <w:rFonts w:ascii="Lato" w:hAnsi="Lato"/>
        </w:rPr>
        <w:t xml:space="preserve"> ok. </w:t>
      </w:r>
      <w:r w:rsidR="0047343C">
        <w:rPr>
          <w:rFonts w:ascii="Lato" w:hAnsi="Lato"/>
        </w:rPr>
        <w:t>1</w:t>
      </w:r>
      <w:r w:rsidR="00EF5F7F">
        <w:rPr>
          <w:rFonts w:ascii="Lato" w:hAnsi="Lato"/>
        </w:rPr>
        <w:t>2 </w:t>
      </w:r>
      <w:r w:rsidR="00EB68F1">
        <w:rPr>
          <w:rFonts w:ascii="Lato" w:hAnsi="Lato"/>
        </w:rPr>
        <w:t xml:space="preserve">476 </w:t>
      </w:r>
      <w:r w:rsidR="00C7771E" w:rsidRPr="00C758B1">
        <w:rPr>
          <w:rFonts w:ascii="Lato" w:hAnsi="Lato"/>
        </w:rPr>
        <w:t>km (</w:t>
      </w:r>
      <w:r w:rsidR="00C7771E" w:rsidRPr="00C758B1">
        <w:rPr>
          <w:rFonts w:ascii="Lato" w:hAnsi="Lato"/>
          <w:bCs/>
          <w:lang w:eastAsia="pl-PL"/>
        </w:rPr>
        <w:t>według stanu na dzień 31 grudnia 20</w:t>
      </w:r>
      <w:r w:rsidR="00486B32" w:rsidRPr="00C758B1">
        <w:rPr>
          <w:rFonts w:ascii="Lato" w:hAnsi="Lato"/>
          <w:bCs/>
          <w:lang w:eastAsia="pl-PL"/>
        </w:rPr>
        <w:t>2</w:t>
      </w:r>
      <w:r w:rsidR="003966F3" w:rsidRPr="00C758B1">
        <w:rPr>
          <w:rFonts w:ascii="Lato" w:hAnsi="Lato"/>
          <w:bCs/>
          <w:lang w:eastAsia="pl-PL"/>
        </w:rPr>
        <w:t>2</w:t>
      </w:r>
      <w:r w:rsidR="00C7771E" w:rsidRPr="00C758B1">
        <w:rPr>
          <w:rFonts w:ascii="Lato" w:hAnsi="Lato"/>
          <w:bCs/>
          <w:lang w:eastAsia="pl-PL"/>
        </w:rPr>
        <w:t xml:space="preserve"> r.)</w:t>
      </w:r>
      <w:r>
        <w:rPr>
          <w:rFonts w:ascii="Lato" w:hAnsi="Lato"/>
        </w:rPr>
        <w:t>, z czego</w:t>
      </w:r>
      <w:r w:rsidR="00223D99">
        <w:rPr>
          <w:rFonts w:ascii="Lato" w:hAnsi="Lato"/>
        </w:rPr>
        <w:t>:</w:t>
      </w:r>
    </w:p>
    <w:p w14:paraId="63E3FCE6" w14:textId="5AE1E2BB" w:rsidR="00706DE4" w:rsidRPr="00EF5F7F" w:rsidRDefault="003966F3">
      <w:pPr>
        <w:pStyle w:val="TekstWypunktowany"/>
        <w:numPr>
          <w:ilvl w:val="0"/>
          <w:numId w:val="19"/>
        </w:numPr>
        <w:rPr>
          <w:rFonts w:ascii="Lato" w:hAnsi="Lato"/>
        </w:rPr>
      </w:pPr>
      <w:r w:rsidRPr="00C758B1">
        <w:rPr>
          <w:rFonts w:ascii="Lato" w:hAnsi="Lato"/>
        </w:rPr>
        <w:t xml:space="preserve">11 </w:t>
      </w:r>
      <w:r w:rsidR="00EF5F7F">
        <w:rPr>
          <w:rFonts w:ascii="Lato" w:hAnsi="Lato"/>
        </w:rPr>
        <w:t>792</w:t>
      </w:r>
      <w:r w:rsidR="00EF5F7F" w:rsidRPr="00C758B1">
        <w:rPr>
          <w:rFonts w:ascii="Lato" w:hAnsi="Lato"/>
        </w:rPr>
        <w:t xml:space="preserve"> </w:t>
      </w:r>
      <w:r w:rsidR="00C7771E" w:rsidRPr="00C758B1">
        <w:rPr>
          <w:rFonts w:ascii="Lato" w:hAnsi="Lato"/>
        </w:rPr>
        <w:t>km sieci gazu wysokometanowego E</w:t>
      </w:r>
      <w:r w:rsidR="00EF5F7F">
        <w:rPr>
          <w:rFonts w:ascii="Lato" w:hAnsi="Lato"/>
        </w:rPr>
        <w:t xml:space="preserve"> oraz </w:t>
      </w:r>
      <w:r w:rsidR="00C7771E" w:rsidRPr="00EF5F7F">
        <w:rPr>
          <w:rFonts w:ascii="Lato" w:hAnsi="Lato"/>
        </w:rPr>
        <w:t>gazu zaazotowanego Lw,</w:t>
      </w:r>
    </w:p>
    <w:p w14:paraId="38C279BE" w14:textId="67CFF842" w:rsidR="00B03DBA" w:rsidRPr="00706DE4" w:rsidRDefault="00C7771E">
      <w:pPr>
        <w:pStyle w:val="TekstWypunktowany"/>
        <w:numPr>
          <w:ilvl w:val="0"/>
          <w:numId w:val="19"/>
        </w:numPr>
        <w:spacing w:after="120"/>
        <w:contextualSpacing w:val="0"/>
        <w:rPr>
          <w:rFonts w:ascii="Lato" w:hAnsi="Lato"/>
        </w:rPr>
      </w:pPr>
      <w:r w:rsidRPr="00706DE4">
        <w:rPr>
          <w:rFonts w:ascii="Lato" w:hAnsi="Lato"/>
        </w:rPr>
        <w:t xml:space="preserve">systemu gazociągów tranzytowych o długości </w:t>
      </w:r>
      <w:r w:rsidR="00EB68F1" w:rsidRPr="00706DE4">
        <w:rPr>
          <w:rFonts w:ascii="Lato" w:hAnsi="Lato"/>
        </w:rPr>
        <w:t>68</w:t>
      </w:r>
      <w:r w:rsidR="00EB68F1">
        <w:rPr>
          <w:rFonts w:ascii="Lato" w:hAnsi="Lato"/>
        </w:rPr>
        <w:t>4</w:t>
      </w:r>
      <w:r w:rsidR="00EB68F1" w:rsidRPr="00706DE4">
        <w:rPr>
          <w:rFonts w:ascii="Lato" w:hAnsi="Lato"/>
        </w:rPr>
        <w:t xml:space="preserve"> </w:t>
      </w:r>
      <w:r w:rsidRPr="00706DE4">
        <w:rPr>
          <w:rFonts w:ascii="Lato" w:hAnsi="Lato"/>
        </w:rPr>
        <w:t>km.</w:t>
      </w:r>
    </w:p>
    <w:p w14:paraId="353C1B20" w14:textId="63595360" w:rsidR="003966F3" w:rsidRPr="00CE72DC" w:rsidRDefault="003966F3" w:rsidP="005577BE">
      <w:pPr>
        <w:spacing w:after="120" w:line="276" w:lineRule="auto"/>
        <w:rPr>
          <w:rFonts w:ascii="Lato" w:eastAsia="Malgun Gothic" w:hAnsi="Lato"/>
          <w:iCs/>
          <w:szCs w:val="24"/>
        </w:rPr>
      </w:pPr>
      <w:r w:rsidRPr="00CE72DC">
        <w:rPr>
          <w:rFonts w:ascii="Lato" w:eastAsia="Malgun Gothic" w:hAnsi="Lato"/>
          <w:szCs w:val="24"/>
        </w:rPr>
        <w:t>Krajowy s</w:t>
      </w:r>
      <w:r w:rsidRPr="00CE72DC">
        <w:rPr>
          <w:rFonts w:ascii="Lato" w:eastAsia="Malgun Gothic" w:hAnsi="Lato"/>
          <w:iCs/>
          <w:szCs w:val="24"/>
        </w:rPr>
        <w:t>ystem przesyłowy gazu wysokometanowego zarz</w:t>
      </w:r>
      <w:r w:rsidRPr="00CE72DC">
        <w:rPr>
          <w:rFonts w:ascii="Lato" w:eastAsia="Malgun Gothic" w:hAnsi="Lato" w:cs="Calibri"/>
          <w:iCs/>
          <w:szCs w:val="24"/>
        </w:rPr>
        <w:t>ą</w:t>
      </w:r>
      <w:r w:rsidRPr="00CE72DC">
        <w:rPr>
          <w:rFonts w:ascii="Lato" w:eastAsia="Malgun Gothic" w:hAnsi="Lato"/>
          <w:iCs/>
          <w:szCs w:val="24"/>
        </w:rPr>
        <w:t>dzany przez OGP GAZ-SYSTEM S.A. zasilany jest przez punkty wej</w:t>
      </w:r>
      <w:r w:rsidRPr="00CE72DC">
        <w:rPr>
          <w:rFonts w:ascii="Lato" w:eastAsia="Malgun Gothic" w:hAnsi="Lato" w:cs="Calibri"/>
          <w:iCs/>
          <w:szCs w:val="24"/>
        </w:rPr>
        <w:t>ś</w:t>
      </w:r>
      <w:r w:rsidRPr="00CE72DC">
        <w:rPr>
          <w:rFonts w:ascii="Lato" w:eastAsia="Malgun Gothic" w:hAnsi="Lato"/>
          <w:iCs/>
          <w:szCs w:val="24"/>
        </w:rPr>
        <w:t>cia zwi</w:t>
      </w:r>
      <w:r w:rsidRPr="00CE72DC">
        <w:rPr>
          <w:rFonts w:ascii="Lato" w:eastAsia="Malgun Gothic" w:hAnsi="Lato" w:cs="Calibri"/>
          <w:iCs/>
          <w:szCs w:val="24"/>
        </w:rPr>
        <w:t>ą</w:t>
      </w:r>
      <w:r w:rsidRPr="00CE72DC">
        <w:rPr>
          <w:rFonts w:ascii="Lato" w:eastAsia="Malgun Gothic" w:hAnsi="Lato"/>
          <w:iCs/>
          <w:szCs w:val="24"/>
        </w:rPr>
        <w:t>zane z:</w:t>
      </w:r>
    </w:p>
    <w:p w14:paraId="5DE95BD0" w14:textId="77777777" w:rsidR="003966F3" w:rsidRPr="00CE72DC" w:rsidRDefault="003966F3">
      <w:pPr>
        <w:numPr>
          <w:ilvl w:val="0"/>
          <w:numId w:val="8"/>
        </w:numPr>
        <w:tabs>
          <w:tab w:val="num" w:pos="0"/>
        </w:tabs>
        <w:spacing w:after="120" w:line="276" w:lineRule="auto"/>
        <w:ind w:hanging="720"/>
        <w:jc w:val="left"/>
        <w:rPr>
          <w:rFonts w:ascii="Lato" w:eastAsia="Malgun Gothic" w:hAnsi="Lato"/>
          <w:szCs w:val="24"/>
          <w:u w:val="single"/>
        </w:rPr>
      </w:pPr>
      <w:r w:rsidRPr="00CE72DC">
        <w:rPr>
          <w:rFonts w:ascii="Lato" w:eastAsia="Malgun Gothic" w:hAnsi="Lato"/>
          <w:szCs w:val="24"/>
          <w:u w:val="single"/>
        </w:rPr>
        <w:t>przywozem gazu ziemnego:</w:t>
      </w:r>
    </w:p>
    <w:p w14:paraId="5C741573" w14:textId="6C0E88D9" w:rsidR="003966F3" w:rsidRPr="00CE72DC" w:rsidRDefault="00A43906">
      <w:pPr>
        <w:numPr>
          <w:ilvl w:val="0"/>
          <w:numId w:val="3"/>
        </w:numPr>
        <w:spacing w:after="120" w:line="276" w:lineRule="auto"/>
        <w:ind w:left="1134" w:hanging="567"/>
        <w:contextualSpacing/>
        <w:jc w:val="left"/>
        <w:rPr>
          <w:rFonts w:ascii="Lato" w:eastAsia="Malgun Gothic" w:hAnsi="Lato"/>
          <w:szCs w:val="24"/>
        </w:rPr>
      </w:pPr>
      <w:r>
        <w:rPr>
          <w:rFonts w:ascii="Lato" w:eastAsia="Malgun Gothic" w:hAnsi="Lato"/>
          <w:szCs w:val="24"/>
        </w:rPr>
        <w:t>GCP</w:t>
      </w:r>
      <w:r w:rsidR="003966F3" w:rsidRPr="00CE72DC">
        <w:rPr>
          <w:rFonts w:ascii="Lato" w:eastAsia="Malgun Gothic" w:hAnsi="Lato"/>
          <w:szCs w:val="24"/>
        </w:rPr>
        <w:t xml:space="preserve"> Gaz-System/UA TSO (Drozdowicze - granica polsko-ukrai</w:t>
      </w:r>
      <w:r w:rsidR="003966F3" w:rsidRPr="00CE72DC">
        <w:rPr>
          <w:rFonts w:ascii="Lato" w:eastAsia="Malgun Gothic" w:hAnsi="Lato" w:cs="Calibri"/>
          <w:szCs w:val="24"/>
        </w:rPr>
        <w:t>ń</w:t>
      </w:r>
      <w:r w:rsidR="003966F3" w:rsidRPr="00CE72DC">
        <w:rPr>
          <w:rFonts w:ascii="Lato" w:eastAsia="Malgun Gothic" w:hAnsi="Lato"/>
          <w:szCs w:val="24"/>
        </w:rPr>
        <w:t>ska),</w:t>
      </w:r>
    </w:p>
    <w:p w14:paraId="6C67C347" w14:textId="77777777" w:rsidR="003966F3" w:rsidRPr="00CE72DC" w:rsidRDefault="003966F3">
      <w:pPr>
        <w:numPr>
          <w:ilvl w:val="0"/>
          <w:numId w:val="3"/>
        </w:numPr>
        <w:spacing w:after="120" w:line="276" w:lineRule="auto"/>
        <w:ind w:left="1134" w:hanging="567"/>
        <w:contextualSpacing/>
        <w:rPr>
          <w:rFonts w:ascii="Lato" w:eastAsia="Malgun Gothic" w:hAnsi="Lato"/>
          <w:szCs w:val="24"/>
        </w:rPr>
      </w:pPr>
      <w:r w:rsidRPr="00CE72DC">
        <w:rPr>
          <w:rFonts w:ascii="Lato" w:eastAsia="Malgun Gothic" w:hAnsi="Lato"/>
          <w:szCs w:val="24"/>
        </w:rPr>
        <w:t>Faxe – Baltic Pipe (połączenie Polska – Dania),</w:t>
      </w:r>
    </w:p>
    <w:p w14:paraId="63BB6736" w14:textId="77777777" w:rsidR="003966F3" w:rsidRPr="00CE72DC" w:rsidRDefault="003966F3">
      <w:pPr>
        <w:numPr>
          <w:ilvl w:val="0"/>
          <w:numId w:val="3"/>
        </w:numPr>
        <w:spacing w:after="120" w:line="276" w:lineRule="auto"/>
        <w:ind w:left="1134" w:hanging="567"/>
        <w:contextualSpacing/>
        <w:rPr>
          <w:rFonts w:ascii="Lato" w:eastAsia="Malgun Gothic" w:hAnsi="Lato"/>
          <w:szCs w:val="24"/>
        </w:rPr>
      </w:pPr>
      <w:r w:rsidRPr="00CE72DC">
        <w:rPr>
          <w:rFonts w:ascii="Lato" w:eastAsia="Malgun Gothic" w:hAnsi="Lato"/>
          <w:szCs w:val="24"/>
        </w:rPr>
        <w:t>Santaka (granica polsko-litewska),</w:t>
      </w:r>
    </w:p>
    <w:p w14:paraId="27737C87" w14:textId="77777777" w:rsidR="003966F3" w:rsidRPr="00CE72DC" w:rsidRDefault="003966F3">
      <w:pPr>
        <w:numPr>
          <w:ilvl w:val="0"/>
          <w:numId w:val="3"/>
        </w:numPr>
        <w:spacing w:after="120" w:line="276" w:lineRule="auto"/>
        <w:ind w:left="1134" w:hanging="567"/>
        <w:contextualSpacing/>
        <w:rPr>
          <w:rFonts w:ascii="Lato" w:eastAsia="Malgun Gothic" w:hAnsi="Lato"/>
          <w:szCs w:val="24"/>
        </w:rPr>
      </w:pPr>
      <w:r w:rsidRPr="00CE72DC">
        <w:rPr>
          <w:rFonts w:ascii="Lato" w:eastAsia="Malgun Gothic" w:hAnsi="Lato"/>
          <w:szCs w:val="24"/>
        </w:rPr>
        <w:t>Vyrava (granica polsko-słowacka),</w:t>
      </w:r>
    </w:p>
    <w:p w14:paraId="147D0ED4" w14:textId="04A4D476" w:rsidR="003966F3" w:rsidRPr="00CE72DC" w:rsidRDefault="00A43906">
      <w:pPr>
        <w:numPr>
          <w:ilvl w:val="0"/>
          <w:numId w:val="3"/>
        </w:numPr>
        <w:spacing w:after="0" w:line="276" w:lineRule="auto"/>
        <w:ind w:left="1134" w:hanging="567"/>
        <w:contextualSpacing/>
        <w:rPr>
          <w:rFonts w:ascii="Lato" w:eastAsia="Malgun Gothic" w:hAnsi="Lato"/>
          <w:szCs w:val="24"/>
        </w:rPr>
      </w:pPr>
      <w:r>
        <w:rPr>
          <w:rFonts w:ascii="Lato" w:eastAsia="Malgun Gothic" w:hAnsi="Lato"/>
          <w:szCs w:val="24"/>
        </w:rPr>
        <w:t>GCP</w:t>
      </w:r>
      <w:r w:rsidR="003966F3" w:rsidRPr="00CE72DC">
        <w:rPr>
          <w:rFonts w:ascii="Lato" w:eastAsia="Malgun Gothic" w:hAnsi="Lato"/>
          <w:szCs w:val="24"/>
        </w:rPr>
        <w:t xml:space="preserve"> Gaz-System/ONTRAS (Lasów – granica polsko-niemiecka),</w:t>
      </w:r>
    </w:p>
    <w:p w14:paraId="1CAE8EF2" w14:textId="77777777" w:rsidR="003966F3" w:rsidRPr="00CE72DC" w:rsidRDefault="003966F3">
      <w:pPr>
        <w:numPr>
          <w:ilvl w:val="0"/>
          <w:numId w:val="3"/>
        </w:numPr>
        <w:spacing w:after="0" w:line="276" w:lineRule="auto"/>
        <w:ind w:left="1134" w:hanging="567"/>
        <w:contextualSpacing/>
        <w:rPr>
          <w:rFonts w:ascii="Lato" w:eastAsia="Malgun Gothic" w:hAnsi="Lato"/>
          <w:szCs w:val="24"/>
        </w:rPr>
      </w:pPr>
      <w:r w:rsidRPr="00CE72DC">
        <w:rPr>
          <w:rFonts w:ascii="Lato" w:eastAsia="Malgun Gothic" w:hAnsi="Lato"/>
          <w:szCs w:val="24"/>
        </w:rPr>
        <w:t>Cieszyn (granica polsko-czeska),</w:t>
      </w:r>
    </w:p>
    <w:p w14:paraId="6FAE88AB" w14:textId="77777777" w:rsidR="003966F3" w:rsidRPr="00CE72DC" w:rsidRDefault="003966F3">
      <w:pPr>
        <w:pStyle w:val="Akapitzlist"/>
        <w:numPr>
          <w:ilvl w:val="0"/>
          <w:numId w:val="3"/>
        </w:numPr>
        <w:spacing w:after="0" w:line="276" w:lineRule="auto"/>
        <w:ind w:left="1134" w:hanging="567"/>
        <w:rPr>
          <w:rFonts w:ascii="Lato" w:eastAsia="Malgun Gothic" w:hAnsi="Lato"/>
          <w:szCs w:val="24"/>
        </w:rPr>
      </w:pPr>
      <w:r w:rsidRPr="00CE72DC">
        <w:rPr>
          <w:rFonts w:ascii="Lato" w:eastAsia="Malgun Gothic" w:hAnsi="Lato"/>
          <w:szCs w:val="24"/>
        </w:rPr>
        <w:lastRenderedPageBreak/>
        <w:t>System Gazoci</w:t>
      </w:r>
      <w:r w:rsidRPr="00CE72DC">
        <w:rPr>
          <w:rFonts w:ascii="Lato" w:eastAsia="Malgun Gothic" w:hAnsi="Lato" w:cs="Calibri"/>
          <w:szCs w:val="24"/>
        </w:rPr>
        <w:t>ą</w:t>
      </w:r>
      <w:r w:rsidRPr="00CE72DC">
        <w:rPr>
          <w:rFonts w:ascii="Lato" w:eastAsia="Malgun Gothic" w:hAnsi="Lato"/>
          <w:szCs w:val="24"/>
        </w:rPr>
        <w:t>g</w:t>
      </w:r>
      <w:r w:rsidRPr="00CE72DC">
        <w:rPr>
          <w:rFonts w:ascii="Lato" w:eastAsia="Malgun Gothic" w:hAnsi="Lato" w:cs="Malgun Gothic"/>
          <w:szCs w:val="24"/>
        </w:rPr>
        <w:t>ó</w:t>
      </w:r>
      <w:r w:rsidRPr="00CE72DC">
        <w:rPr>
          <w:rFonts w:ascii="Lato" w:eastAsia="Malgun Gothic" w:hAnsi="Lato"/>
          <w:szCs w:val="24"/>
        </w:rPr>
        <w:t>w Tranzytowych (polski odcinek gazoci</w:t>
      </w:r>
      <w:r w:rsidRPr="00CE72DC">
        <w:rPr>
          <w:rFonts w:ascii="Lato" w:eastAsia="Malgun Gothic" w:hAnsi="Lato" w:cs="Calibri"/>
          <w:szCs w:val="24"/>
        </w:rPr>
        <w:t>ą</w:t>
      </w:r>
      <w:r w:rsidRPr="00CE72DC">
        <w:rPr>
          <w:rFonts w:ascii="Lato" w:eastAsia="Malgun Gothic" w:hAnsi="Lato"/>
          <w:szCs w:val="24"/>
        </w:rPr>
        <w:t>gu Jama</w:t>
      </w:r>
      <w:r w:rsidRPr="00CE72DC">
        <w:rPr>
          <w:rFonts w:ascii="Lato" w:eastAsia="Malgun Gothic" w:hAnsi="Lato" w:cs="Malgun Gothic"/>
          <w:szCs w:val="24"/>
        </w:rPr>
        <w:t>ł</w:t>
      </w:r>
      <w:r w:rsidRPr="00CE72DC">
        <w:rPr>
          <w:rFonts w:ascii="Lato" w:eastAsia="Malgun Gothic" w:hAnsi="Lato"/>
          <w:szCs w:val="24"/>
        </w:rPr>
        <w:t>-Europa):</w:t>
      </w:r>
    </w:p>
    <w:p w14:paraId="15BDEF27" w14:textId="77777777" w:rsidR="003966F3" w:rsidRPr="00CE72DC" w:rsidRDefault="003966F3">
      <w:pPr>
        <w:numPr>
          <w:ilvl w:val="0"/>
          <w:numId w:val="4"/>
        </w:numPr>
        <w:tabs>
          <w:tab w:val="left" w:pos="1560"/>
        </w:tabs>
        <w:spacing w:after="0" w:line="276" w:lineRule="auto"/>
        <w:ind w:left="1560"/>
        <w:contextualSpacing/>
        <w:rPr>
          <w:rFonts w:ascii="Lato" w:eastAsia="Malgun Gothic" w:hAnsi="Lato"/>
          <w:szCs w:val="24"/>
        </w:rPr>
      </w:pPr>
      <w:r w:rsidRPr="00CE72DC">
        <w:rPr>
          <w:rFonts w:ascii="Lato" w:eastAsia="Malgun Gothic" w:hAnsi="Lato"/>
          <w:szCs w:val="24"/>
        </w:rPr>
        <w:t>Punkt Wzajemnego Poł</w:t>
      </w:r>
      <w:r w:rsidRPr="00CE72DC">
        <w:rPr>
          <w:rFonts w:ascii="Lato" w:eastAsia="Malgun Gothic" w:hAnsi="Lato" w:cs="Calibri"/>
          <w:szCs w:val="24"/>
        </w:rPr>
        <w:t>ą</w:t>
      </w:r>
      <w:r w:rsidRPr="00CE72DC">
        <w:rPr>
          <w:rFonts w:ascii="Lato" w:eastAsia="Malgun Gothic" w:hAnsi="Lato"/>
          <w:szCs w:val="24"/>
        </w:rPr>
        <w:t>czenia (fizyczne punkty wej</w:t>
      </w:r>
      <w:r w:rsidRPr="00CE72DC">
        <w:rPr>
          <w:rFonts w:ascii="Lato" w:eastAsia="Malgun Gothic" w:hAnsi="Lato" w:cs="Calibri"/>
          <w:szCs w:val="24"/>
        </w:rPr>
        <w:t>ś</w:t>
      </w:r>
      <w:r w:rsidRPr="00CE72DC">
        <w:rPr>
          <w:rFonts w:ascii="Lato" w:eastAsia="Malgun Gothic" w:hAnsi="Lato"/>
          <w:szCs w:val="24"/>
        </w:rPr>
        <w:t>cia we W</w:t>
      </w:r>
      <w:r w:rsidRPr="00CE72DC">
        <w:rPr>
          <w:rFonts w:ascii="Lato" w:eastAsia="Malgun Gothic" w:hAnsi="Lato" w:cs="Malgun Gothic"/>
          <w:szCs w:val="24"/>
        </w:rPr>
        <w:t>ł</w:t>
      </w:r>
      <w:r w:rsidRPr="00CE72DC">
        <w:rPr>
          <w:rFonts w:ascii="Lato" w:eastAsia="Malgun Gothic" w:hAnsi="Lato"/>
          <w:szCs w:val="24"/>
        </w:rPr>
        <w:t>oc</w:t>
      </w:r>
      <w:r w:rsidRPr="00CE72DC">
        <w:rPr>
          <w:rFonts w:ascii="Lato" w:eastAsia="Malgun Gothic" w:hAnsi="Lato" w:cs="Malgun Gothic"/>
          <w:szCs w:val="24"/>
        </w:rPr>
        <w:t>ł</w:t>
      </w:r>
      <w:r w:rsidRPr="00CE72DC">
        <w:rPr>
          <w:rFonts w:ascii="Lato" w:eastAsia="Malgun Gothic" w:hAnsi="Lato"/>
          <w:szCs w:val="24"/>
        </w:rPr>
        <w:t>awku i</w:t>
      </w:r>
      <w:r w:rsidRPr="00CE72DC">
        <w:rPr>
          <w:rFonts w:ascii="Lato" w:eastAsia="Malgun Gothic" w:hAnsi="Lato" w:cs="Malgun Gothic"/>
          <w:szCs w:val="24"/>
        </w:rPr>
        <w:t> </w:t>
      </w:r>
      <w:r w:rsidRPr="00CE72DC">
        <w:rPr>
          <w:rFonts w:ascii="Lato" w:eastAsia="Malgun Gothic" w:hAnsi="Lato"/>
          <w:szCs w:val="24"/>
        </w:rPr>
        <w:t>Lw</w:t>
      </w:r>
      <w:r w:rsidRPr="00CE72DC">
        <w:rPr>
          <w:rFonts w:ascii="Lato" w:eastAsia="Malgun Gothic" w:hAnsi="Lato" w:cs="Malgun Gothic"/>
          <w:szCs w:val="24"/>
        </w:rPr>
        <w:t>ó</w:t>
      </w:r>
      <w:r w:rsidRPr="00CE72DC">
        <w:rPr>
          <w:rFonts w:ascii="Lato" w:eastAsia="Malgun Gothic" w:hAnsi="Lato"/>
          <w:szCs w:val="24"/>
        </w:rPr>
        <w:t>wku),</w:t>
      </w:r>
    </w:p>
    <w:p w14:paraId="328C555B" w14:textId="77777777" w:rsidR="003966F3" w:rsidRPr="00CE72DC" w:rsidRDefault="003966F3">
      <w:pPr>
        <w:numPr>
          <w:ilvl w:val="0"/>
          <w:numId w:val="4"/>
        </w:numPr>
        <w:tabs>
          <w:tab w:val="left" w:pos="1560"/>
        </w:tabs>
        <w:spacing w:after="120" w:line="276" w:lineRule="auto"/>
        <w:ind w:left="1560"/>
        <w:contextualSpacing/>
        <w:rPr>
          <w:rFonts w:ascii="Lato" w:eastAsia="Malgun Gothic" w:hAnsi="Lato"/>
          <w:szCs w:val="24"/>
        </w:rPr>
      </w:pPr>
      <w:r w:rsidRPr="00CE72DC">
        <w:rPr>
          <w:rFonts w:ascii="Lato" w:eastAsia="Malgun Gothic" w:hAnsi="Lato"/>
          <w:szCs w:val="24"/>
        </w:rPr>
        <w:t>Mallnow (punkt wejścia do SGT z kierunku Niemiec),</w:t>
      </w:r>
    </w:p>
    <w:p w14:paraId="4CB341A6" w14:textId="77777777" w:rsidR="003966F3" w:rsidRPr="00CE72DC" w:rsidRDefault="003966F3">
      <w:pPr>
        <w:numPr>
          <w:ilvl w:val="0"/>
          <w:numId w:val="3"/>
        </w:numPr>
        <w:spacing w:after="120" w:line="276" w:lineRule="auto"/>
        <w:ind w:left="1134" w:hanging="567"/>
        <w:contextualSpacing/>
        <w:rPr>
          <w:rFonts w:ascii="Lato" w:eastAsia="Malgun Gothic" w:hAnsi="Lato"/>
          <w:szCs w:val="24"/>
        </w:rPr>
      </w:pPr>
      <w:r w:rsidRPr="00CE72DC">
        <w:rPr>
          <w:rFonts w:ascii="Lato" w:eastAsia="Malgun Gothic" w:hAnsi="Lato"/>
          <w:szCs w:val="24"/>
        </w:rPr>
        <w:t>poł</w:t>
      </w:r>
      <w:r w:rsidRPr="00CE72DC">
        <w:rPr>
          <w:rFonts w:ascii="Lato" w:eastAsia="Malgun Gothic" w:hAnsi="Lato" w:cs="Calibri"/>
          <w:szCs w:val="24"/>
        </w:rPr>
        <w:t>ą</w:t>
      </w:r>
      <w:r w:rsidRPr="00CE72DC">
        <w:rPr>
          <w:rFonts w:ascii="Lato" w:eastAsia="Malgun Gothic" w:hAnsi="Lato"/>
          <w:szCs w:val="24"/>
        </w:rPr>
        <w:t>czenia realizuj</w:t>
      </w:r>
      <w:r w:rsidRPr="00CE72DC">
        <w:rPr>
          <w:rFonts w:ascii="Lato" w:eastAsia="Malgun Gothic" w:hAnsi="Lato" w:cs="Calibri"/>
          <w:szCs w:val="24"/>
        </w:rPr>
        <w:t>ą</w:t>
      </w:r>
      <w:r w:rsidRPr="00CE72DC">
        <w:rPr>
          <w:rFonts w:ascii="Lato" w:eastAsia="Malgun Gothic" w:hAnsi="Lato"/>
          <w:szCs w:val="24"/>
        </w:rPr>
        <w:t>ce import lokalny:</w:t>
      </w:r>
    </w:p>
    <w:p w14:paraId="13EA62FC" w14:textId="42776E6F" w:rsidR="003966F3" w:rsidRPr="00CE72DC" w:rsidRDefault="00A43906">
      <w:pPr>
        <w:numPr>
          <w:ilvl w:val="0"/>
          <w:numId w:val="5"/>
        </w:numPr>
        <w:tabs>
          <w:tab w:val="left" w:pos="1560"/>
        </w:tabs>
        <w:spacing w:after="120" w:line="276" w:lineRule="auto"/>
        <w:ind w:left="1560"/>
        <w:contextualSpacing/>
        <w:rPr>
          <w:rFonts w:ascii="Lato" w:eastAsia="Malgun Gothic" w:hAnsi="Lato"/>
          <w:szCs w:val="24"/>
        </w:rPr>
      </w:pPr>
      <w:r>
        <w:rPr>
          <w:rFonts w:ascii="Lato" w:eastAsia="Malgun Gothic" w:hAnsi="Lato"/>
          <w:szCs w:val="24"/>
        </w:rPr>
        <w:t>GCP</w:t>
      </w:r>
      <w:r w:rsidR="003966F3" w:rsidRPr="00CE72DC">
        <w:rPr>
          <w:rFonts w:ascii="Lato" w:eastAsia="Malgun Gothic" w:hAnsi="Lato"/>
          <w:szCs w:val="24"/>
        </w:rPr>
        <w:t xml:space="preserve"> Gaz-System/ONTRAS (Gubin - granica polsko-niemiecka),</w:t>
      </w:r>
    </w:p>
    <w:p w14:paraId="21E423AF" w14:textId="77777777" w:rsidR="003966F3" w:rsidRPr="00CE72DC" w:rsidRDefault="003966F3">
      <w:pPr>
        <w:numPr>
          <w:ilvl w:val="0"/>
          <w:numId w:val="5"/>
        </w:numPr>
        <w:tabs>
          <w:tab w:val="left" w:pos="1560"/>
        </w:tabs>
        <w:spacing w:after="120" w:line="276" w:lineRule="auto"/>
        <w:ind w:left="1560"/>
        <w:contextualSpacing/>
        <w:rPr>
          <w:rFonts w:ascii="Lato" w:eastAsia="Malgun Gothic" w:hAnsi="Lato"/>
          <w:szCs w:val="24"/>
        </w:rPr>
      </w:pPr>
      <w:r w:rsidRPr="00CE72DC">
        <w:rPr>
          <w:rFonts w:ascii="Lato" w:eastAsia="Malgun Gothic" w:hAnsi="Lato"/>
          <w:szCs w:val="24"/>
        </w:rPr>
        <w:t>Branice (granica polsko-czeska),</w:t>
      </w:r>
    </w:p>
    <w:p w14:paraId="4839A4A6" w14:textId="77777777" w:rsidR="003966F3" w:rsidRPr="00CE72DC" w:rsidRDefault="003966F3">
      <w:pPr>
        <w:numPr>
          <w:ilvl w:val="0"/>
          <w:numId w:val="3"/>
        </w:numPr>
        <w:spacing w:after="120" w:line="276" w:lineRule="auto"/>
        <w:ind w:left="1134" w:hanging="567"/>
        <w:rPr>
          <w:rFonts w:ascii="Lato" w:eastAsia="Malgun Gothic" w:hAnsi="Lato"/>
          <w:szCs w:val="24"/>
        </w:rPr>
      </w:pPr>
      <w:r w:rsidRPr="00CE72DC">
        <w:rPr>
          <w:rFonts w:ascii="Lato" w:eastAsia="Malgun Gothic" w:hAnsi="Lato"/>
          <w:szCs w:val="24"/>
        </w:rPr>
        <w:t>punkt wej</w:t>
      </w:r>
      <w:r w:rsidRPr="00CE72DC">
        <w:rPr>
          <w:rFonts w:ascii="Lato" w:eastAsia="Malgun Gothic" w:hAnsi="Lato" w:cs="Calibri"/>
          <w:szCs w:val="24"/>
        </w:rPr>
        <w:t>ś</w:t>
      </w:r>
      <w:r w:rsidRPr="00CE72DC">
        <w:rPr>
          <w:rFonts w:ascii="Lato" w:eastAsia="Malgun Gothic" w:hAnsi="Lato"/>
          <w:szCs w:val="24"/>
        </w:rPr>
        <w:t xml:space="preserve">cia z terminalu LNG w </w:t>
      </w:r>
      <w:r w:rsidRPr="00CE72DC">
        <w:rPr>
          <w:rFonts w:ascii="Lato" w:eastAsia="Malgun Gothic" w:hAnsi="Lato" w:cs="Calibri"/>
          <w:szCs w:val="24"/>
        </w:rPr>
        <w:t>Ś</w:t>
      </w:r>
      <w:r w:rsidRPr="00CE72DC">
        <w:rPr>
          <w:rFonts w:ascii="Lato" w:eastAsia="Malgun Gothic" w:hAnsi="Lato"/>
          <w:szCs w:val="24"/>
        </w:rPr>
        <w:t>winouj</w:t>
      </w:r>
      <w:r w:rsidRPr="00CE72DC">
        <w:rPr>
          <w:rFonts w:ascii="Lato" w:eastAsia="Malgun Gothic" w:hAnsi="Lato" w:cs="Calibri"/>
          <w:szCs w:val="24"/>
        </w:rPr>
        <w:t>ś</w:t>
      </w:r>
      <w:r w:rsidRPr="00CE72DC">
        <w:rPr>
          <w:rFonts w:ascii="Lato" w:eastAsia="Malgun Gothic" w:hAnsi="Lato"/>
          <w:szCs w:val="24"/>
        </w:rPr>
        <w:t xml:space="preserve">ciu. </w:t>
      </w:r>
    </w:p>
    <w:p w14:paraId="666E575C" w14:textId="77777777" w:rsidR="003966F3" w:rsidRPr="00CE72DC" w:rsidRDefault="003966F3">
      <w:pPr>
        <w:numPr>
          <w:ilvl w:val="0"/>
          <w:numId w:val="8"/>
        </w:numPr>
        <w:spacing w:after="120" w:line="276" w:lineRule="auto"/>
        <w:ind w:hanging="720"/>
        <w:rPr>
          <w:rFonts w:ascii="Lato" w:eastAsia="Malgun Gothic" w:hAnsi="Lato"/>
          <w:szCs w:val="24"/>
        </w:rPr>
      </w:pPr>
      <w:r w:rsidRPr="00CE72DC">
        <w:rPr>
          <w:rFonts w:ascii="Lato" w:eastAsia="Malgun Gothic" w:hAnsi="Lato"/>
          <w:szCs w:val="24"/>
          <w:u w:val="single"/>
        </w:rPr>
        <w:t>zło</w:t>
      </w:r>
      <w:r w:rsidRPr="00CE72DC">
        <w:rPr>
          <w:rFonts w:ascii="Lato" w:eastAsia="Malgun Gothic" w:hAnsi="Lato" w:cs="Calibri"/>
          <w:szCs w:val="24"/>
          <w:u w:val="single"/>
        </w:rPr>
        <w:t>ż</w:t>
      </w:r>
      <w:r w:rsidRPr="00CE72DC">
        <w:rPr>
          <w:rFonts w:ascii="Lato" w:eastAsia="Malgun Gothic" w:hAnsi="Lato"/>
          <w:szCs w:val="24"/>
          <w:u w:val="single"/>
        </w:rPr>
        <w:t>ami krajowymi:</w:t>
      </w:r>
    </w:p>
    <w:p w14:paraId="321A4335" w14:textId="77777777" w:rsidR="003966F3" w:rsidRPr="00CE72DC" w:rsidRDefault="003966F3">
      <w:pPr>
        <w:numPr>
          <w:ilvl w:val="0"/>
          <w:numId w:val="9"/>
        </w:numPr>
        <w:tabs>
          <w:tab w:val="left" w:pos="1134"/>
        </w:tabs>
        <w:spacing w:after="120" w:line="276" w:lineRule="auto"/>
        <w:ind w:left="1134" w:hanging="567"/>
        <w:contextualSpacing/>
        <w:rPr>
          <w:rFonts w:ascii="Lato" w:eastAsia="Malgun Gothic" w:hAnsi="Lato"/>
          <w:szCs w:val="24"/>
        </w:rPr>
      </w:pPr>
      <w:r w:rsidRPr="00CE72DC">
        <w:rPr>
          <w:rFonts w:ascii="Lato" w:eastAsia="Malgun Gothic" w:hAnsi="Lato"/>
          <w:szCs w:val="24"/>
        </w:rPr>
        <w:t>kopalnie w systemie gazu ziemnego wysokometanowego,</w:t>
      </w:r>
    </w:p>
    <w:p w14:paraId="3491197A" w14:textId="77777777" w:rsidR="003966F3" w:rsidRPr="00CE72DC" w:rsidRDefault="003966F3">
      <w:pPr>
        <w:numPr>
          <w:ilvl w:val="0"/>
          <w:numId w:val="9"/>
        </w:numPr>
        <w:tabs>
          <w:tab w:val="left" w:pos="1134"/>
        </w:tabs>
        <w:spacing w:after="120" w:line="276" w:lineRule="auto"/>
        <w:ind w:left="1134" w:hanging="567"/>
        <w:contextualSpacing/>
        <w:rPr>
          <w:rFonts w:ascii="Lato" w:eastAsia="Malgun Gothic" w:hAnsi="Lato"/>
          <w:szCs w:val="24"/>
        </w:rPr>
      </w:pPr>
      <w:r w:rsidRPr="00CE72DC">
        <w:rPr>
          <w:rFonts w:ascii="Lato" w:eastAsia="Malgun Gothic" w:hAnsi="Lato"/>
          <w:szCs w:val="24"/>
        </w:rPr>
        <w:t>odazotownie KRIO Odolanów i Grodzisk,</w:t>
      </w:r>
    </w:p>
    <w:p w14:paraId="3D8B3343" w14:textId="77777777" w:rsidR="003966F3" w:rsidRPr="00CE72DC" w:rsidRDefault="003966F3">
      <w:pPr>
        <w:numPr>
          <w:ilvl w:val="0"/>
          <w:numId w:val="9"/>
        </w:numPr>
        <w:tabs>
          <w:tab w:val="left" w:pos="1134"/>
        </w:tabs>
        <w:spacing w:after="120" w:line="276" w:lineRule="auto"/>
        <w:ind w:left="1134" w:hanging="567"/>
        <w:rPr>
          <w:rFonts w:ascii="Lato" w:eastAsia="Malgun Gothic" w:hAnsi="Lato"/>
          <w:szCs w:val="24"/>
        </w:rPr>
      </w:pPr>
      <w:r w:rsidRPr="00CE72DC">
        <w:rPr>
          <w:rFonts w:ascii="Lato" w:eastAsia="Malgun Gothic" w:hAnsi="Lato"/>
          <w:szCs w:val="24"/>
        </w:rPr>
        <w:t>kopalnie w systemie gazu ziemnego zaazotowanego.</w:t>
      </w:r>
    </w:p>
    <w:p w14:paraId="203A784B" w14:textId="77777777" w:rsidR="003966F3" w:rsidRPr="00CE72DC" w:rsidRDefault="003966F3">
      <w:pPr>
        <w:numPr>
          <w:ilvl w:val="0"/>
          <w:numId w:val="8"/>
        </w:numPr>
        <w:spacing w:after="120" w:line="276" w:lineRule="auto"/>
        <w:ind w:left="714" w:hanging="714"/>
        <w:rPr>
          <w:rFonts w:ascii="Lato" w:eastAsia="Malgun Gothic" w:hAnsi="Lato"/>
          <w:szCs w:val="24"/>
        </w:rPr>
      </w:pPr>
      <w:r w:rsidRPr="00CE72DC">
        <w:rPr>
          <w:rFonts w:ascii="Lato" w:eastAsia="Malgun Gothic" w:hAnsi="Lato"/>
          <w:szCs w:val="24"/>
          <w:u w:val="single"/>
        </w:rPr>
        <w:t>PMG</w:t>
      </w:r>
      <w:r w:rsidRPr="00CE72DC">
        <w:rPr>
          <w:rFonts w:ascii="Lato" w:eastAsia="Malgun Gothic" w:hAnsi="Lato"/>
          <w:szCs w:val="24"/>
        </w:rPr>
        <w:t xml:space="preserve"> – 7 instalacji magazynowych w systemie gazu wysokometanowego, które podczas realizacji odbioru gazu stanowi</w:t>
      </w:r>
      <w:r w:rsidRPr="00CE72DC">
        <w:rPr>
          <w:rFonts w:ascii="Lato" w:eastAsia="Malgun Gothic" w:hAnsi="Lato" w:cs="Calibri"/>
          <w:szCs w:val="24"/>
        </w:rPr>
        <w:t>ą</w:t>
      </w:r>
      <w:r w:rsidRPr="00CE72DC">
        <w:rPr>
          <w:rFonts w:ascii="Lato" w:eastAsia="Malgun Gothic" w:hAnsi="Lato"/>
          <w:szCs w:val="24"/>
        </w:rPr>
        <w:t xml:space="preserve"> punkty wej</w:t>
      </w:r>
      <w:r w:rsidRPr="00CE72DC">
        <w:rPr>
          <w:rFonts w:ascii="Lato" w:eastAsia="Malgun Gothic" w:hAnsi="Lato" w:cs="Calibri"/>
          <w:szCs w:val="24"/>
        </w:rPr>
        <w:t>ś</w:t>
      </w:r>
      <w:r w:rsidRPr="00CE72DC">
        <w:rPr>
          <w:rFonts w:ascii="Lato" w:eastAsia="Malgun Gothic" w:hAnsi="Lato"/>
          <w:szCs w:val="24"/>
        </w:rPr>
        <w:t>cia do systemu przesy</w:t>
      </w:r>
      <w:r w:rsidRPr="00CE72DC">
        <w:rPr>
          <w:rFonts w:ascii="Lato" w:eastAsia="Malgun Gothic" w:hAnsi="Lato" w:cs="Malgun Gothic"/>
          <w:szCs w:val="24"/>
        </w:rPr>
        <w:t>ł</w:t>
      </w:r>
      <w:r w:rsidRPr="00CE72DC">
        <w:rPr>
          <w:rFonts w:ascii="Lato" w:eastAsia="Malgun Gothic" w:hAnsi="Lato"/>
          <w:szCs w:val="24"/>
        </w:rPr>
        <w:t xml:space="preserve">owego: </w:t>
      </w:r>
    </w:p>
    <w:p w14:paraId="7E259EBF" w14:textId="77777777" w:rsidR="003966F3" w:rsidRPr="00CE72DC" w:rsidRDefault="003966F3">
      <w:pPr>
        <w:numPr>
          <w:ilvl w:val="0"/>
          <w:numId w:val="10"/>
        </w:numPr>
        <w:tabs>
          <w:tab w:val="left" w:pos="1134"/>
        </w:tabs>
        <w:spacing w:after="120" w:line="276" w:lineRule="auto"/>
        <w:ind w:left="1134" w:hanging="567"/>
        <w:contextualSpacing/>
        <w:rPr>
          <w:rFonts w:ascii="Lato" w:eastAsia="Malgun Gothic" w:hAnsi="Lato"/>
          <w:szCs w:val="24"/>
        </w:rPr>
      </w:pPr>
      <w:r w:rsidRPr="00CE72DC">
        <w:rPr>
          <w:rFonts w:ascii="Lato" w:eastAsia="Malgun Gothic" w:hAnsi="Lato"/>
          <w:szCs w:val="24"/>
        </w:rPr>
        <w:t>GIM Sanok – obejmuj</w:t>
      </w:r>
      <w:r w:rsidRPr="00CE72DC">
        <w:rPr>
          <w:rFonts w:ascii="Lato" w:eastAsia="Malgun Gothic" w:hAnsi="Lato" w:cs="Calibri"/>
          <w:szCs w:val="24"/>
        </w:rPr>
        <w:t>ą</w:t>
      </w:r>
      <w:r w:rsidRPr="00CE72DC">
        <w:rPr>
          <w:rFonts w:ascii="Lato" w:eastAsia="Malgun Gothic" w:hAnsi="Lato"/>
          <w:szCs w:val="24"/>
        </w:rPr>
        <w:t>ca instalacje magazynowe PMG Hus</w:t>
      </w:r>
      <w:r w:rsidRPr="00CE72DC">
        <w:rPr>
          <w:rFonts w:ascii="Lato" w:eastAsia="Malgun Gothic" w:hAnsi="Lato" w:cs="Malgun Gothic"/>
          <w:szCs w:val="24"/>
        </w:rPr>
        <w:t>ó</w:t>
      </w:r>
      <w:r w:rsidRPr="00CE72DC">
        <w:rPr>
          <w:rFonts w:ascii="Lato" w:eastAsia="Malgun Gothic" w:hAnsi="Lato"/>
          <w:szCs w:val="24"/>
        </w:rPr>
        <w:t>w, PMG Strachocina, PMG Swarz</w:t>
      </w:r>
      <w:r w:rsidRPr="00CE72DC">
        <w:rPr>
          <w:rFonts w:ascii="Lato" w:eastAsia="Malgun Gothic" w:hAnsi="Lato" w:cs="Malgun Gothic"/>
          <w:szCs w:val="24"/>
        </w:rPr>
        <w:t>ó</w:t>
      </w:r>
      <w:r w:rsidRPr="00CE72DC">
        <w:rPr>
          <w:rFonts w:ascii="Lato" w:eastAsia="Malgun Gothic" w:hAnsi="Lato"/>
          <w:szCs w:val="24"/>
        </w:rPr>
        <w:t>w i PMG Brze</w:t>
      </w:r>
      <w:r w:rsidRPr="00CE72DC">
        <w:rPr>
          <w:rFonts w:ascii="Lato" w:eastAsia="Malgun Gothic" w:hAnsi="Lato" w:cs="Calibri"/>
          <w:szCs w:val="24"/>
        </w:rPr>
        <w:t>ź</w:t>
      </w:r>
      <w:r w:rsidRPr="00CE72DC">
        <w:rPr>
          <w:rFonts w:ascii="Lato" w:eastAsia="Malgun Gothic" w:hAnsi="Lato"/>
          <w:szCs w:val="24"/>
        </w:rPr>
        <w:t>nica,</w:t>
      </w:r>
    </w:p>
    <w:p w14:paraId="04480CDC" w14:textId="77777777" w:rsidR="003966F3" w:rsidRPr="00CE72DC" w:rsidRDefault="003966F3">
      <w:pPr>
        <w:numPr>
          <w:ilvl w:val="0"/>
          <w:numId w:val="10"/>
        </w:numPr>
        <w:tabs>
          <w:tab w:val="left" w:pos="1134"/>
        </w:tabs>
        <w:spacing w:after="120" w:line="276" w:lineRule="auto"/>
        <w:ind w:left="1134" w:hanging="567"/>
        <w:contextualSpacing/>
        <w:rPr>
          <w:rFonts w:ascii="Lato" w:eastAsia="Malgun Gothic" w:hAnsi="Lato"/>
          <w:szCs w:val="24"/>
        </w:rPr>
      </w:pPr>
      <w:r w:rsidRPr="00CE72DC">
        <w:rPr>
          <w:rFonts w:ascii="Lato" w:eastAsia="Malgun Gothic" w:hAnsi="Lato"/>
          <w:szCs w:val="24"/>
        </w:rPr>
        <w:t>GIM Kawerna – obejmuj</w:t>
      </w:r>
      <w:r w:rsidRPr="00CE72DC">
        <w:rPr>
          <w:rFonts w:ascii="Lato" w:eastAsia="Malgun Gothic" w:hAnsi="Lato" w:cs="Calibri"/>
          <w:szCs w:val="24"/>
        </w:rPr>
        <w:t>ą</w:t>
      </w:r>
      <w:r w:rsidRPr="00CE72DC">
        <w:rPr>
          <w:rFonts w:ascii="Lato" w:eastAsia="Malgun Gothic" w:hAnsi="Lato"/>
          <w:szCs w:val="24"/>
        </w:rPr>
        <w:t>ca instalacje magazynowe KPMG Mogilno oraz KPMG Kosakowo,</w:t>
      </w:r>
    </w:p>
    <w:p w14:paraId="74E68A61" w14:textId="621E80B3" w:rsidR="00DF3AC8" w:rsidRDefault="003966F3">
      <w:pPr>
        <w:numPr>
          <w:ilvl w:val="0"/>
          <w:numId w:val="10"/>
        </w:numPr>
        <w:tabs>
          <w:tab w:val="left" w:pos="1134"/>
        </w:tabs>
        <w:spacing w:after="120" w:line="276" w:lineRule="auto"/>
        <w:ind w:left="1134" w:hanging="567"/>
        <w:contextualSpacing/>
        <w:rPr>
          <w:rFonts w:ascii="Lato" w:eastAsia="Malgun Gothic" w:hAnsi="Lato"/>
          <w:szCs w:val="24"/>
        </w:rPr>
      </w:pPr>
      <w:r w:rsidRPr="00CE72DC">
        <w:rPr>
          <w:rFonts w:ascii="Lato" w:eastAsia="Malgun Gothic" w:hAnsi="Lato"/>
          <w:szCs w:val="24"/>
        </w:rPr>
        <w:t>PMG Wierzchowice.</w:t>
      </w:r>
    </w:p>
    <w:p w14:paraId="2253AC33" w14:textId="77777777" w:rsidR="00381EF8" w:rsidRDefault="00381EF8" w:rsidP="006E0158">
      <w:pPr>
        <w:spacing w:line="276" w:lineRule="auto"/>
        <w:jc w:val="left"/>
        <w:rPr>
          <w:rFonts w:ascii="Lato" w:hAnsi="Lato"/>
          <w:b/>
          <w:bCs/>
        </w:rPr>
      </w:pPr>
    </w:p>
    <w:p w14:paraId="3473C0E1" w14:textId="77777777" w:rsidR="0067393E" w:rsidRDefault="0067393E" w:rsidP="00270AE5">
      <w:pPr>
        <w:spacing w:after="240" w:line="276" w:lineRule="auto"/>
        <w:jc w:val="left"/>
        <w:rPr>
          <w:rFonts w:ascii="Lato" w:hAnsi="Lato"/>
          <w:b/>
          <w:bCs/>
        </w:rPr>
      </w:pPr>
    </w:p>
    <w:p w14:paraId="45D407DB" w14:textId="77777777" w:rsidR="0067393E" w:rsidRDefault="0067393E" w:rsidP="00270AE5">
      <w:pPr>
        <w:spacing w:after="240" w:line="276" w:lineRule="auto"/>
        <w:jc w:val="left"/>
        <w:rPr>
          <w:rFonts w:ascii="Lato" w:hAnsi="Lato"/>
          <w:b/>
          <w:bCs/>
        </w:rPr>
      </w:pPr>
    </w:p>
    <w:p w14:paraId="21D3E2EB" w14:textId="57BB41B1" w:rsidR="00706DE4" w:rsidRPr="006E0158" w:rsidRDefault="00C7771E" w:rsidP="00270AE5">
      <w:pPr>
        <w:spacing w:after="240" w:line="276" w:lineRule="auto"/>
        <w:jc w:val="left"/>
        <w:rPr>
          <w:rFonts w:ascii="Lato" w:eastAsia="Malgun Gothic" w:hAnsi="Lato" w:cs="Times New Roman"/>
          <w:b/>
          <w:bCs/>
          <w:sz w:val="32"/>
          <w:szCs w:val="32"/>
          <w:lang w:eastAsia="pl-PL"/>
        </w:rPr>
      </w:pPr>
      <w:r w:rsidRPr="00DF3AC8">
        <w:rPr>
          <w:rFonts w:ascii="Lato" w:hAnsi="Lato"/>
          <w:b/>
          <w:bCs/>
        </w:rPr>
        <w:t>Rysunek 2. System przesyłowy gazu ziemnego</w:t>
      </w:r>
    </w:p>
    <w:p w14:paraId="727ACD19" w14:textId="3F3902BE" w:rsidR="003966F3" w:rsidRPr="00706DE4" w:rsidRDefault="311F0184" w:rsidP="004A3020">
      <w:pPr>
        <w:pStyle w:val="Tabela"/>
        <w:jc w:val="center"/>
        <w:rPr>
          <w:rFonts w:ascii="Lato" w:hAnsi="Lato"/>
          <w:b w:val="0"/>
        </w:rPr>
      </w:pPr>
      <w:r>
        <w:rPr>
          <w:noProof/>
        </w:rPr>
        <w:lastRenderedPageBreak/>
        <w:drawing>
          <wp:inline distT="0" distB="0" distL="0" distR="0" wp14:anchorId="6642EA4A" wp14:editId="1E5DED5D">
            <wp:extent cx="5185375" cy="3575713"/>
            <wp:effectExtent l="0" t="0" r="0" b="5715"/>
            <wp:docPr id="106" name="Obraz 106" descr="Obraz zawierający tekst, mapa, diagram,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pic:nvPicPr>
                  <pic:blipFill>
                    <a:blip r:embed="rId9">
                      <a:extLst>
                        <a:ext uri="{28A0092B-C50C-407E-A947-70E740481C1C}">
                          <a14:useLocalDpi xmlns:a14="http://schemas.microsoft.com/office/drawing/2010/main" val="0"/>
                        </a:ext>
                      </a:extLst>
                    </a:blip>
                    <a:stretch>
                      <a:fillRect/>
                    </a:stretch>
                  </pic:blipFill>
                  <pic:spPr>
                    <a:xfrm>
                      <a:off x="0" y="0"/>
                      <a:ext cx="5185375" cy="3575713"/>
                    </a:xfrm>
                    <a:prstGeom prst="rect">
                      <a:avLst/>
                    </a:prstGeom>
                  </pic:spPr>
                </pic:pic>
              </a:graphicData>
            </a:graphic>
          </wp:inline>
        </w:drawing>
      </w:r>
    </w:p>
    <w:p w14:paraId="6DCAF16A" w14:textId="2587DBAA" w:rsidR="0005315C" w:rsidRPr="005577BE" w:rsidRDefault="00C7771E" w:rsidP="005577BE">
      <w:pPr>
        <w:tabs>
          <w:tab w:val="left" w:pos="10440"/>
        </w:tabs>
        <w:spacing w:after="120" w:line="276" w:lineRule="auto"/>
        <w:ind w:right="23"/>
        <w:rPr>
          <w:rFonts w:ascii="Lato" w:eastAsia="Malgun Gothic" w:hAnsi="Lato" w:cs="Times New Roman"/>
          <w:b/>
          <w:szCs w:val="24"/>
          <w:lang w:eastAsia="pl-PL"/>
        </w:rPr>
      </w:pPr>
      <w:r w:rsidRPr="004020C8">
        <w:rPr>
          <w:rFonts w:ascii="Lato" w:hAnsi="Lato"/>
          <w:i/>
          <w:sz w:val="20"/>
          <w:szCs w:val="20"/>
        </w:rPr>
        <w:t>Źródło: OGP Gaz-System S.A.</w:t>
      </w:r>
    </w:p>
    <w:p w14:paraId="024C362E" w14:textId="3CB9BEA2" w:rsidR="006E2831" w:rsidRPr="00CE72DC" w:rsidRDefault="006E2831" w:rsidP="005577BE">
      <w:pPr>
        <w:pStyle w:val="Legenda"/>
        <w:keepNext/>
        <w:spacing w:before="240" w:after="120" w:line="276" w:lineRule="auto"/>
        <w:jc w:val="both"/>
        <w:rPr>
          <w:rFonts w:ascii="Lato" w:hAnsi="Lato"/>
          <w:b w:val="0"/>
          <w:sz w:val="24"/>
          <w:szCs w:val="24"/>
        </w:rPr>
      </w:pPr>
      <w:r w:rsidRPr="00CE72DC">
        <w:rPr>
          <w:rFonts w:ascii="Lato" w:hAnsi="Lato"/>
          <w:sz w:val="24"/>
          <w:szCs w:val="24"/>
        </w:rPr>
        <w:t xml:space="preserve">Tabela </w:t>
      </w:r>
      <w:r w:rsidRPr="00CE72DC">
        <w:rPr>
          <w:rFonts w:ascii="Lato" w:hAnsi="Lato"/>
          <w:sz w:val="24"/>
          <w:szCs w:val="24"/>
        </w:rPr>
        <w:fldChar w:fldCharType="begin"/>
      </w:r>
      <w:r w:rsidRPr="00CE72DC">
        <w:rPr>
          <w:rFonts w:ascii="Lato" w:hAnsi="Lato"/>
          <w:sz w:val="24"/>
          <w:szCs w:val="24"/>
        </w:rPr>
        <w:instrText xml:space="preserve"> SEQ Tabela \* ARABIC </w:instrText>
      </w:r>
      <w:r w:rsidRPr="00CE72DC">
        <w:rPr>
          <w:rFonts w:ascii="Lato" w:hAnsi="Lato"/>
          <w:sz w:val="24"/>
          <w:szCs w:val="24"/>
        </w:rPr>
        <w:fldChar w:fldCharType="separate"/>
      </w:r>
      <w:r w:rsidR="00D520CA">
        <w:rPr>
          <w:rFonts w:ascii="Lato" w:hAnsi="Lato"/>
          <w:noProof/>
          <w:sz w:val="24"/>
          <w:szCs w:val="24"/>
        </w:rPr>
        <w:t>2</w:t>
      </w:r>
      <w:r w:rsidRPr="00CE72DC">
        <w:rPr>
          <w:rFonts w:ascii="Lato" w:hAnsi="Lato"/>
          <w:sz w:val="24"/>
          <w:szCs w:val="24"/>
        </w:rPr>
        <w:fldChar w:fldCharType="end"/>
      </w:r>
      <w:r w:rsidRPr="00CE72DC">
        <w:rPr>
          <w:rFonts w:ascii="Lato" w:hAnsi="Lato"/>
          <w:sz w:val="24"/>
          <w:szCs w:val="24"/>
        </w:rPr>
        <w:t>. Zdolności techniczne w punktach wejścia z innych systemów przesyłowych i terminalu LNG</w:t>
      </w:r>
    </w:p>
    <w:tbl>
      <w:tblPr>
        <w:tblW w:w="51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2414"/>
        <w:gridCol w:w="1698"/>
        <w:gridCol w:w="3403"/>
      </w:tblGrid>
      <w:tr w:rsidR="006E2831" w:rsidRPr="00C758B1" w14:paraId="0F6AD5BB" w14:textId="77777777" w:rsidTr="000A7C68">
        <w:trPr>
          <w:trHeight w:val="113"/>
          <w:jc w:val="center"/>
        </w:trPr>
        <w:tc>
          <w:tcPr>
            <w:tcW w:w="1043" w:type="pct"/>
            <w:shd w:val="clear" w:color="auto" w:fill="D9D9D9"/>
            <w:vAlign w:val="center"/>
          </w:tcPr>
          <w:p w14:paraId="40C74612" w14:textId="77777777" w:rsidR="006E2831" w:rsidRPr="005577BE" w:rsidRDefault="006E2831" w:rsidP="00983C18">
            <w:pPr>
              <w:spacing w:line="276" w:lineRule="auto"/>
              <w:ind w:left="142"/>
              <w:jc w:val="center"/>
              <w:rPr>
                <w:rFonts w:ascii="Lato" w:eastAsia="Malgun Gothic" w:hAnsi="Lato"/>
                <w:b/>
                <w:sz w:val="20"/>
                <w:szCs w:val="20"/>
              </w:rPr>
            </w:pPr>
            <w:r w:rsidRPr="005577BE">
              <w:rPr>
                <w:rFonts w:ascii="Lato" w:eastAsia="Malgun Gothic" w:hAnsi="Lato"/>
                <w:b/>
                <w:sz w:val="20"/>
                <w:szCs w:val="20"/>
              </w:rPr>
              <w:t>Punkt</w:t>
            </w:r>
          </w:p>
        </w:tc>
        <w:tc>
          <w:tcPr>
            <w:tcW w:w="1271" w:type="pct"/>
            <w:shd w:val="clear" w:color="auto" w:fill="D9D9D9"/>
            <w:vAlign w:val="center"/>
          </w:tcPr>
          <w:p w14:paraId="37D805B2" w14:textId="77777777" w:rsidR="006E2831" w:rsidRPr="005577BE" w:rsidRDefault="006E2831" w:rsidP="00983C18">
            <w:pPr>
              <w:spacing w:after="0" w:line="276" w:lineRule="auto"/>
              <w:jc w:val="center"/>
              <w:rPr>
                <w:rFonts w:ascii="Lato" w:eastAsia="Malgun Gothic" w:hAnsi="Lato"/>
                <w:b/>
                <w:sz w:val="20"/>
                <w:szCs w:val="20"/>
              </w:rPr>
            </w:pPr>
            <w:r w:rsidRPr="005577BE">
              <w:rPr>
                <w:rFonts w:ascii="Lato" w:eastAsia="Malgun Gothic" w:hAnsi="Lato"/>
                <w:b/>
                <w:sz w:val="20"/>
                <w:szCs w:val="20"/>
              </w:rPr>
              <w:t>Zdolno</w:t>
            </w:r>
            <w:r w:rsidRPr="005577BE">
              <w:rPr>
                <w:rFonts w:ascii="Lato" w:eastAsia="Malgun Gothic" w:hAnsi="Lato" w:cs="Calibri"/>
                <w:b/>
                <w:sz w:val="20"/>
                <w:szCs w:val="20"/>
              </w:rPr>
              <w:t>ść</w:t>
            </w:r>
            <w:r w:rsidRPr="005577BE">
              <w:rPr>
                <w:rFonts w:ascii="Lato" w:eastAsia="Malgun Gothic" w:hAnsi="Lato"/>
                <w:b/>
                <w:sz w:val="20"/>
                <w:szCs w:val="20"/>
              </w:rPr>
              <w:t xml:space="preserve"> techniczna</w:t>
            </w:r>
          </w:p>
          <w:p w14:paraId="755F5062" w14:textId="77777777" w:rsidR="006E2831" w:rsidRPr="005577BE" w:rsidRDefault="006E2831" w:rsidP="00983C18">
            <w:pPr>
              <w:spacing w:after="0" w:line="276" w:lineRule="auto"/>
              <w:ind w:left="-108" w:right="-104"/>
              <w:jc w:val="center"/>
              <w:rPr>
                <w:rFonts w:ascii="Lato" w:eastAsia="Malgun Gothic" w:hAnsi="Lato"/>
                <w:b/>
                <w:sz w:val="20"/>
                <w:szCs w:val="20"/>
              </w:rPr>
            </w:pPr>
            <w:r w:rsidRPr="005577BE">
              <w:rPr>
                <w:rFonts w:ascii="Lato" w:eastAsia="Malgun Gothic" w:hAnsi="Lato"/>
                <w:b/>
                <w:sz w:val="20"/>
                <w:szCs w:val="20"/>
              </w:rPr>
              <w:t>na zasadach ci</w:t>
            </w:r>
            <w:r w:rsidRPr="005577BE">
              <w:rPr>
                <w:rFonts w:ascii="Lato" w:eastAsia="Malgun Gothic" w:hAnsi="Lato" w:cs="Calibri"/>
                <w:b/>
                <w:sz w:val="20"/>
                <w:szCs w:val="20"/>
              </w:rPr>
              <w:t>ą</w:t>
            </w:r>
            <w:r w:rsidRPr="005577BE">
              <w:rPr>
                <w:rFonts w:ascii="Lato" w:eastAsia="Malgun Gothic" w:hAnsi="Lato"/>
                <w:b/>
                <w:sz w:val="20"/>
                <w:szCs w:val="20"/>
              </w:rPr>
              <w:t>g</w:t>
            </w:r>
            <w:r w:rsidRPr="005577BE">
              <w:rPr>
                <w:rFonts w:ascii="Lato" w:eastAsia="Malgun Gothic" w:hAnsi="Lato" w:cs="Malgun Gothic"/>
                <w:b/>
                <w:sz w:val="20"/>
                <w:szCs w:val="20"/>
              </w:rPr>
              <w:t>ł</w:t>
            </w:r>
            <w:r w:rsidRPr="005577BE">
              <w:rPr>
                <w:rFonts w:ascii="Lato" w:eastAsia="Malgun Gothic" w:hAnsi="Lato"/>
                <w:b/>
                <w:sz w:val="20"/>
                <w:szCs w:val="20"/>
              </w:rPr>
              <w:t>ych mln m</w:t>
            </w:r>
            <w:r w:rsidRPr="005577BE">
              <w:rPr>
                <w:rFonts w:ascii="Lato" w:eastAsia="Malgun Gothic" w:hAnsi="Lato"/>
                <w:b/>
                <w:sz w:val="20"/>
                <w:szCs w:val="20"/>
                <w:vertAlign w:val="superscript"/>
              </w:rPr>
              <w:t>3</w:t>
            </w:r>
            <w:r w:rsidRPr="005577BE">
              <w:rPr>
                <w:rFonts w:ascii="Lato" w:eastAsia="Malgun Gothic" w:hAnsi="Lato"/>
                <w:b/>
                <w:sz w:val="20"/>
                <w:szCs w:val="20"/>
              </w:rPr>
              <w:t>/d (GWh/d)</w:t>
            </w:r>
          </w:p>
        </w:tc>
        <w:tc>
          <w:tcPr>
            <w:tcW w:w="894" w:type="pct"/>
            <w:shd w:val="clear" w:color="auto" w:fill="D9D9D9"/>
            <w:vAlign w:val="center"/>
          </w:tcPr>
          <w:p w14:paraId="649BADD2" w14:textId="77777777" w:rsidR="006E2831" w:rsidRPr="005577BE" w:rsidRDefault="006E2831" w:rsidP="00983C18">
            <w:pPr>
              <w:spacing w:line="276" w:lineRule="auto"/>
              <w:jc w:val="center"/>
              <w:rPr>
                <w:rFonts w:ascii="Lato" w:eastAsia="Malgun Gothic" w:hAnsi="Lato"/>
                <w:b/>
                <w:bCs/>
                <w:sz w:val="20"/>
                <w:szCs w:val="20"/>
              </w:rPr>
            </w:pPr>
            <w:r w:rsidRPr="005577BE">
              <w:rPr>
                <w:rFonts w:ascii="Lato" w:eastAsia="Malgun Gothic" w:hAnsi="Lato"/>
                <w:b/>
                <w:bCs/>
                <w:sz w:val="20"/>
                <w:szCs w:val="20"/>
              </w:rPr>
              <w:t>Z kraju</w:t>
            </w:r>
          </w:p>
        </w:tc>
        <w:tc>
          <w:tcPr>
            <w:tcW w:w="1793" w:type="pct"/>
            <w:shd w:val="clear" w:color="auto" w:fill="D9D9D9"/>
            <w:vAlign w:val="center"/>
          </w:tcPr>
          <w:p w14:paraId="4368329F" w14:textId="77777777" w:rsidR="006E2831" w:rsidRPr="005577BE" w:rsidRDefault="006E2831" w:rsidP="00983C18">
            <w:pPr>
              <w:spacing w:line="276" w:lineRule="auto"/>
              <w:jc w:val="center"/>
              <w:rPr>
                <w:rFonts w:ascii="Lato" w:eastAsia="Malgun Gothic" w:hAnsi="Lato"/>
                <w:b/>
                <w:sz w:val="20"/>
                <w:szCs w:val="20"/>
              </w:rPr>
            </w:pPr>
            <w:r w:rsidRPr="005577BE">
              <w:rPr>
                <w:rFonts w:ascii="Lato" w:eastAsia="Malgun Gothic" w:hAnsi="Lato"/>
                <w:b/>
                <w:sz w:val="20"/>
                <w:szCs w:val="20"/>
              </w:rPr>
              <w:t>Uwagi</w:t>
            </w:r>
          </w:p>
        </w:tc>
      </w:tr>
      <w:tr w:rsidR="006E2831" w:rsidRPr="00C758B1" w14:paraId="2C4CFDC9" w14:textId="77777777" w:rsidTr="000A7C68">
        <w:trPr>
          <w:trHeight w:val="113"/>
          <w:jc w:val="center"/>
        </w:trPr>
        <w:tc>
          <w:tcPr>
            <w:tcW w:w="1043" w:type="pct"/>
            <w:shd w:val="clear" w:color="auto" w:fill="D9D9D9"/>
            <w:vAlign w:val="center"/>
          </w:tcPr>
          <w:p w14:paraId="109623DB" w14:textId="77777777"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GCP GAZ-SYSTEM/UA TSO (Drozdowicze)</w:t>
            </w:r>
          </w:p>
        </w:tc>
        <w:tc>
          <w:tcPr>
            <w:tcW w:w="1271" w:type="pct"/>
            <w:vAlign w:val="center"/>
          </w:tcPr>
          <w:p w14:paraId="6AEA2F85"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12,0 (135,6)</w:t>
            </w:r>
          </w:p>
        </w:tc>
        <w:tc>
          <w:tcPr>
            <w:tcW w:w="894" w:type="pct"/>
            <w:vAlign w:val="center"/>
          </w:tcPr>
          <w:p w14:paraId="352DEC8A" w14:textId="77777777" w:rsidR="006E2831" w:rsidRPr="005577BE" w:rsidRDefault="006E2831" w:rsidP="000A7C68">
            <w:pPr>
              <w:spacing w:line="276" w:lineRule="auto"/>
              <w:jc w:val="center"/>
              <w:rPr>
                <w:rFonts w:ascii="Lato" w:eastAsia="Malgun Gothic" w:hAnsi="Lato"/>
                <w:b/>
                <w:bCs/>
                <w:sz w:val="20"/>
                <w:szCs w:val="20"/>
              </w:rPr>
            </w:pPr>
            <w:r w:rsidRPr="005577BE">
              <w:rPr>
                <w:rFonts w:ascii="Lato" w:eastAsia="Malgun Gothic" w:hAnsi="Lato"/>
                <w:sz w:val="20"/>
                <w:szCs w:val="20"/>
              </w:rPr>
              <w:t>Ukraina</w:t>
            </w:r>
          </w:p>
        </w:tc>
        <w:tc>
          <w:tcPr>
            <w:tcW w:w="1793" w:type="pct"/>
            <w:vAlign w:val="center"/>
          </w:tcPr>
          <w:p w14:paraId="3DD84146" w14:textId="77777777" w:rsidR="006E2831" w:rsidRPr="005577BE" w:rsidRDefault="006E2831" w:rsidP="000A7C68">
            <w:pPr>
              <w:spacing w:line="276" w:lineRule="auto"/>
              <w:jc w:val="center"/>
              <w:rPr>
                <w:rFonts w:ascii="Lato" w:eastAsia="Malgun Gothic" w:hAnsi="Lato"/>
                <w:sz w:val="20"/>
                <w:szCs w:val="20"/>
              </w:rPr>
            </w:pPr>
          </w:p>
        </w:tc>
      </w:tr>
      <w:tr w:rsidR="006E2831" w:rsidRPr="00C758B1" w14:paraId="5A9DF600" w14:textId="77777777" w:rsidTr="000A7C68">
        <w:trPr>
          <w:trHeight w:val="455"/>
          <w:jc w:val="center"/>
        </w:trPr>
        <w:tc>
          <w:tcPr>
            <w:tcW w:w="1043" w:type="pct"/>
            <w:shd w:val="clear" w:color="auto" w:fill="D9D9D9"/>
            <w:vAlign w:val="center"/>
          </w:tcPr>
          <w:p w14:paraId="20B0DC51" w14:textId="77777777"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Terminal LNG</w:t>
            </w:r>
          </w:p>
        </w:tc>
        <w:tc>
          <w:tcPr>
            <w:tcW w:w="1271" w:type="pct"/>
            <w:vAlign w:val="center"/>
          </w:tcPr>
          <w:p w14:paraId="3C00D02A"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19,7 (227,3)</w:t>
            </w:r>
          </w:p>
        </w:tc>
        <w:tc>
          <w:tcPr>
            <w:tcW w:w="894" w:type="pct"/>
            <w:vAlign w:val="center"/>
          </w:tcPr>
          <w:p w14:paraId="063EB2B4" w14:textId="77777777" w:rsidR="006E2831" w:rsidRPr="005577BE" w:rsidRDefault="006E2831" w:rsidP="000A7C68">
            <w:pPr>
              <w:spacing w:line="276" w:lineRule="auto"/>
              <w:jc w:val="center"/>
              <w:rPr>
                <w:rFonts w:ascii="Lato" w:eastAsia="Malgun Gothic" w:hAnsi="Lato"/>
                <w:sz w:val="20"/>
                <w:szCs w:val="20"/>
              </w:rPr>
            </w:pPr>
          </w:p>
        </w:tc>
        <w:tc>
          <w:tcPr>
            <w:tcW w:w="1793" w:type="pct"/>
            <w:vAlign w:val="center"/>
          </w:tcPr>
          <w:p w14:paraId="2E5A55E5"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zdolno</w:t>
            </w:r>
            <w:r w:rsidRPr="005577BE">
              <w:rPr>
                <w:rFonts w:ascii="Lato" w:eastAsia="Malgun Gothic" w:hAnsi="Lato" w:cs="Calibri"/>
                <w:sz w:val="20"/>
                <w:szCs w:val="20"/>
              </w:rPr>
              <w:t>ść</w:t>
            </w:r>
            <w:r w:rsidRPr="005577BE">
              <w:rPr>
                <w:rFonts w:ascii="Lato" w:eastAsia="Malgun Gothic" w:hAnsi="Lato"/>
                <w:sz w:val="20"/>
                <w:szCs w:val="20"/>
              </w:rPr>
              <w:t xml:space="preserve"> techniczna regazyfikacji</w:t>
            </w:r>
          </w:p>
        </w:tc>
      </w:tr>
      <w:tr w:rsidR="006E2831" w:rsidRPr="00C758B1" w14:paraId="50C88BCF" w14:textId="77777777" w:rsidTr="000A7C68">
        <w:trPr>
          <w:trHeight w:val="113"/>
          <w:jc w:val="center"/>
        </w:trPr>
        <w:tc>
          <w:tcPr>
            <w:tcW w:w="1043" w:type="pct"/>
            <w:shd w:val="clear" w:color="auto" w:fill="D9D9D9"/>
            <w:vAlign w:val="center"/>
          </w:tcPr>
          <w:p w14:paraId="78F34699" w14:textId="77777777"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Punkt Wzajemnego Poł</w:t>
            </w:r>
            <w:r w:rsidRPr="005577BE">
              <w:rPr>
                <w:rFonts w:ascii="Lato" w:eastAsia="Malgun Gothic" w:hAnsi="Lato" w:cs="Calibri"/>
                <w:sz w:val="20"/>
                <w:szCs w:val="20"/>
              </w:rPr>
              <w:t>ą</w:t>
            </w:r>
            <w:r w:rsidRPr="005577BE">
              <w:rPr>
                <w:rFonts w:ascii="Lato" w:eastAsia="Malgun Gothic" w:hAnsi="Lato"/>
                <w:sz w:val="20"/>
                <w:szCs w:val="20"/>
              </w:rPr>
              <w:t>czenia</w:t>
            </w:r>
          </w:p>
        </w:tc>
        <w:tc>
          <w:tcPr>
            <w:tcW w:w="1271" w:type="pct"/>
            <w:vAlign w:val="center"/>
          </w:tcPr>
          <w:p w14:paraId="27E84B4D"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25,0 (277,6)</w:t>
            </w:r>
          </w:p>
        </w:tc>
        <w:tc>
          <w:tcPr>
            <w:tcW w:w="894" w:type="pct"/>
            <w:vAlign w:val="center"/>
          </w:tcPr>
          <w:p w14:paraId="159D9C39"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Polska (SGT)</w:t>
            </w:r>
          </w:p>
        </w:tc>
        <w:tc>
          <w:tcPr>
            <w:tcW w:w="1793" w:type="pct"/>
            <w:vAlign w:val="center"/>
          </w:tcPr>
          <w:p w14:paraId="5A7EE29D"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dostawy do PWP mog</w:t>
            </w:r>
            <w:r w:rsidRPr="005577BE">
              <w:rPr>
                <w:rFonts w:ascii="Lato" w:eastAsia="Malgun Gothic" w:hAnsi="Lato" w:cs="Calibri"/>
                <w:sz w:val="20"/>
                <w:szCs w:val="20"/>
              </w:rPr>
              <w:t>ą</w:t>
            </w:r>
            <w:r w:rsidRPr="005577BE">
              <w:rPr>
                <w:rFonts w:ascii="Lato" w:eastAsia="Malgun Gothic" w:hAnsi="Lato"/>
                <w:sz w:val="20"/>
                <w:szCs w:val="20"/>
              </w:rPr>
              <w:t xml:space="preserve"> by</w:t>
            </w:r>
            <w:r w:rsidRPr="005577BE">
              <w:rPr>
                <w:rFonts w:ascii="Lato" w:eastAsia="Malgun Gothic" w:hAnsi="Lato" w:cs="Calibri"/>
                <w:sz w:val="20"/>
                <w:szCs w:val="20"/>
              </w:rPr>
              <w:t>ć</w:t>
            </w:r>
            <w:r w:rsidRPr="005577BE">
              <w:rPr>
                <w:rFonts w:ascii="Lato" w:eastAsia="Malgun Gothic" w:hAnsi="Lato"/>
                <w:sz w:val="20"/>
                <w:szCs w:val="20"/>
              </w:rPr>
              <w:t xml:space="preserve"> realizowane poprzez Mallnow Rewers z kierunku Niemiec</w:t>
            </w:r>
          </w:p>
        </w:tc>
      </w:tr>
      <w:tr w:rsidR="006E2831" w:rsidRPr="00C758B1" w14:paraId="2FB9473D" w14:textId="77777777" w:rsidTr="000A7C68">
        <w:trPr>
          <w:trHeight w:val="113"/>
          <w:jc w:val="center"/>
        </w:trPr>
        <w:tc>
          <w:tcPr>
            <w:tcW w:w="1043" w:type="pct"/>
            <w:shd w:val="clear" w:color="auto" w:fill="D9D9D9"/>
            <w:vAlign w:val="center"/>
          </w:tcPr>
          <w:p w14:paraId="38A857D2" w14:textId="77777777"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GCP GAZ-SYSTEM/ONTRAS</w:t>
            </w:r>
          </w:p>
        </w:tc>
        <w:tc>
          <w:tcPr>
            <w:tcW w:w="1271" w:type="pct"/>
            <w:vAlign w:val="center"/>
          </w:tcPr>
          <w:p w14:paraId="2D3DE20A"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4,4 (48,7)</w:t>
            </w:r>
          </w:p>
        </w:tc>
        <w:tc>
          <w:tcPr>
            <w:tcW w:w="894" w:type="pct"/>
            <w:vAlign w:val="center"/>
          </w:tcPr>
          <w:p w14:paraId="3A156FCD"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Niemcy</w:t>
            </w:r>
          </w:p>
        </w:tc>
        <w:tc>
          <w:tcPr>
            <w:tcW w:w="1793" w:type="pct"/>
            <w:vAlign w:val="center"/>
          </w:tcPr>
          <w:p w14:paraId="636EE0F7"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Lasów, Gubin, Kamminke (wyjście)</w:t>
            </w:r>
          </w:p>
        </w:tc>
      </w:tr>
      <w:tr w:rsidR="006E2831" w:rsidRPr="00C758B1" w14:paraId="586497C0" w14:textId="77777777" w:rsidTr="000A7C68">
        <w:trPr>
          <w:trHeight w:val="113"/>
          <w:jc w:val="center"/>
        </w:trPr>
        <w:tc>
          <w:tcPr>
            <w:tcW w:w="1043" w:type="pct"/>
            <w:shd w:val="clear" w:color="auto" w:fill="D9D9D9"/>
            <w:vAlign w:val="center"/>
          </w:tcPr>
          <w:p w14:paraId="71EEAB06" w14:textId="77777777"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Cieszyn</w:t>
            </w:r>
          </w:p>
        </w:tc>
        <w:tc>
          <w:tcPr>
            <w:tcW w:w="1271" w:type="pct"/>
            <w:vAlign w:val="center"/>
          </w:tcPr>
          <w:p w14:paraId="6C240A66"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2,5/0,4 (28,0/4,3)</w:t>
            </w:r>
          </w:p>
        </w:tc>
        <w:tc>
          <w:tcPr>
            <w:tcW w:w="894" w:type="pct"/>
            <w:vAlign w:val="center"/>
          </w:tcPr>
          <w:p w14:paraId="3DAFE9C2"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Czechy</w:t>
            </w:r>
          </w:p>
        </w:tc>
        <w:tc>
          <w:tcPr>
            <w:tcW w:w="1793" w:type="pct"/>
            <w:vAlign w:val="center"/>
          </w:tcPr>
          <w:p w14:paraId="20A79750"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pa</w:t>
            </w:r>
            <w:r w:rsidRPr="005577BE">
              <w:rPr>
                <w:rFonts w:ascii="Lato" w:eastAsia="Malgun Gothic" w:hAnsi="Lato" w:cs="Calibri"/>
                <w:sz w:val="20"/>
                <w:szCs w:val="20"/>
              </w:rPr>
              <w:t>ź</w:t>
            </w:r>
            <w:r w:rsidRPr="005577BE">
              <w:rPr>
                <w:rFonts w:ascii="Lato" w:eastAsia="Malgun Gothic" w:hAnsi="Lato"/>
                <w:sz w:val="20"/>
                <w:szCs w:val="20"/>
              </w:rPr>
              <w:t>dziernik-kwiecie</w:t>
            </w:r>
            <w:r w:rsidRPr="005577BE">
              <w:rPr>
                <w:rFonts w:ascii="Lato" w:eastAsia="Malgun Gothic" w:hAnsi="Lato" w:cs="Calibri"/>
                <w:sz w:val="20"/>
                <w:szCs w:val="20"/>
              </w:rPr>
              <w:t>ń</w:t>
            </w:r>
            <w:r w:rsidRPr="005577BE">
              <w:rPr>
                <w:rFonts w:ascii="Lato" w:eastAsia="Malgun Gothic" w:hAnsi="Lato"/>
                <w:sz w:val="20"/>
                <w:szCs w:val="20"/>
              </w:rPr>
              <w:t>/maj-wrzesie</w:t>
            </w:r>
            <w:r w:rsidRPr="005577BE">
              <w:rPr>
                <w:rFonts w:ascii="Lato" w:eastAsia="Malgun Gothic" w:hAnsi="Lato" w:cs="Calibri"/>
                <w:sz w:val="20"/>
                <w:szCs w:val="20"/>
              </w:rPr>
              <w:t>ń</w:t>
            </w:r>
          </w:p>
        </w:tc>
      </w:tr>
      <w:tr w:rsidR="006E2831" w:rsidRPr="00C758B1" w14:paraId="03D5F563" w14:textId="77777777" w:rsidTr="000A7C68">
        <w:trPr>
          <w:trHeight w:val="410"/>
          <w:jc w:val="center"/>
        </w:trPr>
        <w:tc>
          <w:tcPr>
            <w:tcW w:w="1043" w:type="pct"/>
            <w:shd w:val="clear" w:color="auto" w:fill="D9D9D9"/>
            <w:vAlign w:val="center"/>
          </w:tcPr>
          <w:p w14:paraId="261E89BA" w14:textId="1561DD6D"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Faxe</w:t>
            </w:r>
          </w:p>
        </w:tc>
        <w:tc>
          <w:tcPr>
            <w:tcW w:w="1271" w:type="pct"/>
            <w:shd w:val="clear" w:color="auto" w:fill="auto"/>
            <w:vAlign w:val="center"/>
          </w:tcPr>
          <w:p w14:paraId="7C966A66"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27,4 (321,9)</w:t>
            </w:r>
          </w:p>
        </w:tc>
        <w:tc>
          <w:tcPr>
            <w:tcW w:w="894" w:type="pct"/>
            <w:shd w:val="clear" w:color="auto" w:fill="auto"/>
            <w:vAlign w:val="center"/>
          </w:tcPr>
          <w:p w14:paraId="317CD659"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Dania</w:t>
            </w:r>
          </w:p>
        </w:tc>
        <w:tc>
          <w:tcPr>
            <w:tcW w:w="1793" w:type="pct"/>
            <w:shd w:val="clear" w:color="auto" w:fill="auto"/>
            <w:vAlign w:val="center"/>
          </w:tcPr>
          <w:p w14:paraId="1D37E196" w14:textId="77777777" w:rsidR="006E2831" w:rsidRPr="005577BE" w:rsidRDefault="006E2831" w:rsidP="000A7C68">
            <w:pPr>
              <w:spacing w:line="276" w:lineRule="auto"/>
              <w:jc w:val="center"/>
              <w:rPr>
                <w:rFonts w:ascii="Lato" w:eastAsia="Malgun Gothic" w:hAnsi="Lato"/>
                <w:sz w:val="20"/>
                <w:szCs w:val="20"/>
              </w:rPr>
            </w:pPr>
          </w:p>
        </w:tc>
      </w:tr>
      <w:tr w:rsidR="006E2831" w:rsidRPr="00C758B1" w14:paraId="7F0AF097" w14:textId="77777777" w:rsidTr="000A7C68">
        <w:trPr>
          <w:trHeight w:val="421"/>
          <w:jc w:val="center"/>
        </w:trPr>
        <w:tc>
          <w:tcPr>
            <w:tcW w:w="1043" w:type="pct"/>
            <w:shd w:val="clear" w:color="auto" w:fill="D9D9D9"/>
            <w:vAlign w:val="center"/>
          </w:tcPr>
          <w:p w14:paraId="42338BCA" w14:textId="66785CA3"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Santaka</w:t>
            </w:r>
          </w:p>
        </w:tc>
        <w:tc>
          <w:tcPr>
            <w:tcW w:w="1271" w:type="pct"/>
            <w:shd w:val="clear" w:color="auto" w:fill="auto"/>
            <w:vAlign w:val="center"/>
          </w:tcPr>
          <w:p w14:paraId="4E86A065"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5,2 (58,1)</w:t>
            </w:r>
          </w:p>
        </w:tc>
        <w:tc>
          <w:tcPr>
            <w:tcW w:w="894" w:type="pct"/>
            <w:shd w:val="clear" w:color="auto" w:fill="auto"/>
            <w:vAlign w:val="center"/>
          </w:tcPr>
          <w:p w14:paraId="1DC41EA1"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Litwa</w:t>
            </w:r>
          </w:p>
        </w:tc>
        <w:tc>
          <w:tcPr>
            <w:tcW w:w="1793" w:type="pct"/>
            <w:shd w:val="clear" w:color="auto" w:fill="auto"/>
            <w:vAlign w:val="center"/>
          </w:tcPr>
          <w:p w14:paraId="07D7DB76" w14:textId="77777777" w:rsidR="006E2831" w:rsidRPr="005577BE" w:rsidRDefault="006E2831" w:rsidP="000A7C68">
            <w:pPr>
              <w:spacing w:line="276" w:lineRule="auto"/>
              <w:jc w:val="center"/>
              <w:rPr>
                <w:rFonts w:ascii="Lato" w:eastAsia="Malgun Gothic" w:hAnsi="Lato"/>
                <w:sz w:val="20"/>
                <w:szCs w:val="20"/>
              </w:rPr>
            </w:pPr>
          </w:p>
        </w:tc>
      </w:tr>
      <w:tr w:rsidR="006E2831" w:rsidRPr="00C758B1" w14:paraId="118B666A" w14:textId="77777777" w:rsidTr="000A7C68">
        <w:trPr>
          <w:trHeight w:val="383"/>
          <w:jc w:val="center"/>
        </w:trPr>
        <w:tc>
          <w:tcPr>
            <w:tcW w:w="1043" w:type="pct"/>
            <w:shd w:val="clear" w:color="auto" w:fill="D9D9D9"/>
            <w:vAlign w:val="center"/>
          </w:tcPr>
          <w:p w14:paraId="61BCCFEF" w14:textId="3286C257" w:rsidR="006E2831" w:rsidRPr="005577BE" w:rsidRDefault="006E2831" w:rsidP="000A7C68">
            <w:pPr>
              <w:spacing w:line="276" w:lineRule="auto"/>
              <w:ind w:left="-113"/>
              <w:jc w:val="center"/>
              <w:rPr>
                <w:rFonts w:ascii="Lato" w:eastAsia="Malgun Gothic" w:hAnsi="Lato"/>
                <w:sz w:val="20"/>
                <w:szCs w:val="20"/>
              </w:rPr>
            </w:pPr>
            <w:r w:rsidRPr="005577BE">
              <w:rPr>
                <w:rFonts w:ascii="Lato" w:eastAsia="Malgun Gothic" w:hAnsi="Lato"/>
                <w:sz w:val="20"/>
                <w:szCs w:val="20"/>
              </w:rPr>
              <w:t>Vyrava</w:t>
            </w:r>
          </w:p>
        </w:tc>
        <w:tc>
          <w:tcPr>
            <w:tcW w:w="1271" w:type="pct"/>
            <w:shd w:val="clear" w:color="auto" w:fill="auto"/>
            <w:vAlign w:val="center"/>
          </w:tcPr>
          <w:p w14:paraId="2381E010"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15,6 (173,9)</w:t>
            </w:r>
          </w:p>
        </w:tc>
        <w:tc>
          <w:tcPr>
            <w:tcW w:w="894" w:type="pct"/>
            <w:shd w:val="clear" w:color="auto" w:fill="auto"/>
            <w:vAlign w:val="center"/>
          </w:tcPr>
          <w:p w14:paraId="487D904B" w14:textId="77777777" w:rsidR="006E2831" w:rsidRPr="005577BE" w:rsidRDefault="006E2831" w:rsidP="000A7C68">
            <w:pPr>
              <w:spacing w:line="276" w:lineRule="auto"/>
              <w:jc w:val="center"/>
              <w:rPr>
                <w:rFonts w:ascii="Lato" w:eastAsia="Malgun Gothic" w:hAnsi="Lato"/>
                <w:sz w:val="20"/>
                <w:szCs w:val="20"/>
              </w:rPr>
            </w:pPr>
            <w:r w:rsidRPr="005577BE">
              <w:rPr>
                <w:rFonts w:ascii="Lato" w:eastAsia="Malgun Gothic" w:hAnsi="Lato"/>
                <w:sz w:val="20"/>
                <w:szCs w:val="20"/>
              </w:rPr>
              <w:t>Słowacja</w:t>
            </w:r>
          </w:p>
        </w:tc>
        <w:tc>
          <w:tcPr>
            <w:tcW w:w="1793" w:type="pct"/>
            <w:shd w:val="clear" w:color="auto" w:fill="auto"/>
            <w:vAlign w:val="center"/>
          </w:tcPr>
          <w:p w14:paraId="141555DB" w14:textId="77777777" w:rsidR="006E2831" w:rsidRPr="005577BE" w:rsidRDefault="006E2831" w:rsidP="000A7C68">
            <w:pPr>
              <w:spacing w:line="276" w:lineRule="auto"/>
              <w:jc w:val="center"/>
              <w:rPr>
                <w:rFonts w:ascii="Lato" w:eastAsia="Malgun Gothic" w:hAnsi="Lato"/>
                <w:sz w:val="20"/>
                <w:szCs w:val="20"/>
              </w:rPr>
            </w:pPr>
          </w:p>
        </w:tc>
      </w:tr>
      <w:tr w:rsidR="006E2831" w:rsidRPr="00C758B1" w14:paraId="077835BE" w14:textId="77777777" w:rsidTr="000A7C68">
        <w:trPr>
          <w:trHeight w:val="629"/>
          <w:jc w:val="center"/>
        </w:trPr>
        <w:tc>
          <w:tcPr>
            <w:tcW w:w="1043" w:type="pct"/>
            <w:shd w:val="clear" w:color="auto" w:fill="D9D9D9"/>
            <w:vAlign w:val="center"/>
          </w:tcPr>
          <w:p w14:paraId="2BE4984C" w14:textId="77777777" w:rsidR="006E2831" w:rsidRPr="005577BE" w:rsidRDefault="006E2831" w:rsidP="000A7C68">
            <w:pPr>
              <w:spacing w:line="276" w:lineRule="auto"/>
              <w:ind w:left="-113"/>
              <w:jc w:val="center"/>
              <w:rPr>
                <w:rFonts w:ascii="Lato" w:eastAsia="Malgun Gothic" w:hAnsi="Lato"/>
                <w:b/>
                <w:sz w:val="20"/>
                <w:szCs w:val="20"/>
              </w:rPr>
            </w:pPr>
            <w:r w:rsidRPr="005577BE">
              <w:rPr>
                <w:rFonts w:ascii="Lato" w:eastAsia="Malgun Gothic" w:hAnsi="Lato"/>
                <w:b/>
                <w:sz w:val="20"/>
                <w:szCs w:val="20"/>
              </w:rPr>
              <w:t>SUMA</w:t>
            </w:r>
          </w:p>
        </w:tc>
        <w:tc>
          <w:tcPr>
            <w:tcW w:w="1271" w:type="pct"/>
            <w:shd w:val="clear" w:color="auto" w:fill="D9D9D9"/>
            <w:vAlign w:val="center"/>
          </w:tcPr>
          <w:p w14:paraId="7BB36064" w14:textId="77777777" w:rsidR="006E2831" w:rsidRPr="005577BE" w:rsidRDefault="006E2831" w:rsidP="000A7C68">
            <w:pPr>
              <w:spacing w:line="276" w:lineRule="auto"/>
              <w:jc w:val="center"/>
              <w:rPr>
                <w:rFonts w:ascii="Lato" w:eastAsia="Malgun Gothic" w:hAnsi="Lato"/>
                <w:b/>
                <w:sz w:val="20"/>
                <w:szCs w:val="20"/>
              </w:rPr>
            </w:pPr>
            <w:r w:rsidRPr="005577BE">
              <w:rPr>
                <w:rFonts w:ascii="Lato" w:eastAsia="Malgun Gothic" w:hAnsi="Lato"/>
                <w:b/>
                <w:sz w:val="20"/>
                <w:szCs w:val="20"/>
              </w:rPr>
              <w:t>111,8/109,7 (1 271,1/1 247,4)</w:t>
            </w:r>
          </w:p>
        </w:tc>
        <w:tc>
          <w:tcPr>
            <w:tcW w:w="894" w:type="pct"/>
            <w:shd w:val="clear" w:color="auto" w:fill="D9D9D9"/>
            <w:vAlign w:val="center"/>
          </w:tcPr>
          <w:p w14:paraId="2B85D2CB" w14:textId="77777777" w:rsidR="006E2831" w:rsidRPr="005577BE" w:rsidRDefault="006E2831" w:rsidP="000A7C68">
            <w:pPr>
              <w:spacing w:line="276" w:lineRule="auto"/>
              <w:jc w:val="center"/>
              <w:rPr>
                <w:rFonts w:ascii="Lato" w:eastAsia="Malgun Gothic" w:hAnsi="Lato"/>
                <w:sz w:val="20"/>
                <w:szCs w:val="20"/>
              </w:rPr>
            </w:pPr>
          </w:p>
        </w:tc>
        <w:tc>
          <w:tcPr>
            <w:tcW w:w="1793" w:type="pct"/>
            <w:shd w:val="clear" w:color="auto" w:fill="D9D9D9"/>
            <w:vAlign w:val="center"/>
          </w:tcPr>
          <w:p w14:paraId="47F46FF7" w14:textId="77777777" w:rsidR="006E2831" w:rsidRPr="005577BE" w:rsidRDefault="006E2831" w:rsidP="000A7C68">
            <w:pPr>
              <w:spacing w:line="276" w:lineRule="auto"/>
              <w:jc w:val="center"/>
              <w:rPr>
                <w:rFonts w:ascii="Lato" w:eastAsia="Malgun Gothic" w:hAnsi="Lato"/>
                <w:sz w:val="20"/>
                <w:szCs w:val="20"/>
              </w:rPr>
            </w:pPr>
          </w:p>
        </w:tc>
      </w:tr>
    </w:tbl>
    <w:p w14:paraId="01103872" w14:textId="31C84825" w:rsidR="006E2831" w:rsidRPr="006E0158" w:rsidRDefault="006E2831" w:rsidP="005577BE">
      <w:pPr>
        <w:tabs>
          <w:tab w:val="left" w:pos="10440"/>
        </w:tabs>
        <w:spacing w:before="120" w:line="276" w:lineRule="auto"/>
        <w:ind w:right="23"/>
        <w:rPr>
          <w:rFonts w:ascii="Lato" w:eastAsia="Malgun Gothic" w:hAnsi="Lato"/>
          <w:i/>
          <w:sz w:val="20"/>
          <w:szCs w:val="20"/>
        </w:rPr>
      </w:pPr>
      <w:r w:rsidRPr="006E0158">
        <w:rPr>
          <w:rFonts w:ascii="Lato" w:eastAsia="Malgun Gothic" w:hAnsi="Lato" w:cs="Calibri"/>
          <w:i/>
          <w:sz w:val="20"/>
          <w:szCs w:val="20"/>
        </w:rPr>
        <w:lastRenderedPageBreak/>
        <w:t>Ź</w:t>
      </w:r>
      <w:r w:rsidRPr="006E0158">
        <w:rPr>
          <w:rFonts w:ascii="Lato" w:eastAsia="Malgun Gothic" w:hAnsi="Lato"/>
          <w:i/>
          <w:sz w:val="20"/>
          <w:szCs w:val="20"/>
        </w:rPr>
        <w:t>r</w:t>
      </w:r>
      <w:r w:rsidRPr="006E0158">
        <w:rPr>
          <w:rFonts w:ascii="Lato" w:eastAsia="Malgun Gothic" w:hAnsi="Lato" w:cs="Malgun Gothic"/>
          <w:i/>
          <w:sz w:val="20"/>
          <w:szCs w:val="20"/>
        </w:rPr>
        <w:t>ó</w:t>
      </w:r>
      <w:r w:rsidRPr="006E0158">
        <w:rPr>
          <w:rFonts w:ascii="Lato" w:eastAsia="Malgun Gothic" w:hAnsi="Lato"/>
          <w:i/>
          <w:sz w:val="20"/>
          <w:szCs w:val="20"/>
        </w:rPr>
        <w:t>d</w:t>
      </w:r>
      <w:r w:rsidRPr="006E0158">
        <w:rPr>
          <w:rFonts w:ascii="Lato" w:eastAsia="Malgun Gothic" w:hAnsi="Lato" w:cs="Malgun Gothic"/>
          <w:i/>
          <w:sz w:val="20"/>
          <w:szCs w:val="20"/>
        </w:rPr>
        <w:t>ł</w:t>
      </w:r>
      <w:r w:rsidRPr="006E0158">
        <w:rPr>
          <w:rFonts w:ascii="Lato" w:eastAsia="Malgun Gothic" w:hAnsi="Lato"/>
          <w:i/>
          <w:sz w:val="20"/>
          <w:szCs w:val="20"/>
        </w:rPr>
        <w:t>o: OGP GAZ-SYSTEM S.A.</w:t>
      </w:r>
    </w:p>
    <w:p w14:paraId="283492FD" w14:textId="33F4E09A" w:rsidR="0005315C" w:rsidRDefault="0047343C" w:rsidP="0005315C">
      <w:pPr>
        <w:pStyle w:val="Tekstzwyky"/>
        <w:rPr>
          <w:rFonts w:ascii="Lato" w:hAnsi="Lato"/>
        </w:rPr>
      </w:pPr>
      <w:r>
        <w:rPr>
          <w:rFonts w:ascii="Lato" w:hAnsi="Lato"/>
        </w:rPr>
        <w:tab/>
      </w:r>
      <w:r w:rsidR="006E2831" w:rsidRPr="00223D99">
        <w:rPr>
          <w:rFonts w:ascii="Lato" w:hAnsi="Lato"/>
        </w:rPr>
        <w:t xml:space="preserve">Krajowy system przesyłowy jest zróżnicowany pod względem parametrów technicznych, w szczególności różnorodne są średnice gazociągów i ich ciśnienia robocze w różnych częściach kraju. W minionym okresie </w:t>
      </w:r>
      <w:r w:rsidR="683A52F1" w:rsidRPr="00223D99">
        <w:rPr>
          <w:rFonts w:ascii="Lato" w:hAnsi="Lato"/>
        </w:rPr>
        <w:t xml:space="preserve">wśród </w:t>
      </w:r>
      <w:r w:rsidR="683A52F1" w:rsidRPr="62640F13">
        <w:rPr>
          <w:rFonts w:ascii="Lato" w:hAnsi="Lato"/>
        </w:rPr>
        <w:t>gazociągów wysokiego</w:t>
      </w:r>
      <w:r w:rsidR="683A52F1" w:rsidRPr="00223D99">
        <w:rPr>
          <w:rFonts w:ascii="Lato" w:hAnsi="Lato"/>
        </w:rPr>
        <w:t xml:space="preserve"> </w:t>
      </w:r>
      <w:r w:rsidR="00F34545">
        <w:rPr>
          <w:rFonts w:ascii="Lato" w:hAnsi="Lato"/>
        </w:rPr>
        <w:t xml:space="preserve">ciśnienia </w:t>
      </w:r>
      <w:r w:rsidR="006E2831" w:rsidRPr="00223D99">
        <w:rPr>
          <w:rFonts w:ascii="Lato" w:hAnsi="Lato"/>
        </w:rPr>
        <w:t xml:space="preserve">znacząco wzrósł udział gazociągów </w:t>
      </w:r>
      <w:r w:rsidR="5AE879B7" w:rsidRPr="60BE6E36">
        <w:rPr>
          <w:rFonts w:ascii="Lato" w:hAnsi="Lato"/>
        </w:rPr>
        <w:t xml:space="preserve">o </w:t>
      </w:r>
      <w:r w:rsidR="00F34545">
        <w:rPr>
          <w:rFonts w:ascii="Lato" w:hAnsi="Lato"/>
        </w:rPr>
        <w:t xml:space="preserve">ciśnieniu </w:t>
      </w:r>
      <w:r w:rsidR="006E2831" w:rsidRPr="00223D99">
        <w:rPr>
          <w:rFonts w:ascii="Lato" w:hAnsi="Lato"/>
        </w:rPr>
        <w:t>MOP 8,4MPa, obecnie gazociągi te stanowią 20% długości całego systemu</w:t>
      </w:r>
      <w:r w:rsidR="0011070D" w:rsidRPr="00223D99">
        <w:rPr>
          <w:rFonts w:ascii="Lato" w:hAnsi="Lato"/>
        </w:rPr>
        <w:t xml:space="preserve"> przesyłowego</w:t>
      </w:r>
      <w:r w:rsidR="722BEDA2" w:rsidRPr="275D2828">
        <w:rPr>
          <w:rFonts w:ascii="Lato" w:hAnsi="Lato"/>
        </w:rPr>
        <w:t xml:space="preserve">, podczas </w:t>
      </w:r>
      <w:r w:rsidR="722BEDA2" w:rsidRPr="1A87F36C">
        <w:rPr>
          <w:rFonts w:ascii="Lato" w:hAnsi="Lato"/>
        </w:rPr>
        <w:t>gdy</w:t>
      </w:r>
      <w:r w:rsidR="0011070D" w:rsidRPr="00223D99">
        <w:rPr>
          <w:rFonts w:ascii="Lato" w:hAnsi="Lato"/>
        </w:rPr>
        <w:t xml:space="preserve"> w 2009 r.</w:t>
      </w:r>
      <w:r w:rsidR="23328EBC" w:rsidRPr="36E96012">
        <w:rPr>
          <w:rFonts w:ascii="Lato" w:hAnsi="Lato"/>
        </w:rPr>
        <w:t xml:space="preserve"> </w:t>
      </w:r>
      <w:r w:rsidR="23328EBC" w:rsidRPr="013061BB">
        <w:rPr>
          <w:rFonts w:ascii="Lato" w:hAnsi="Lato"/>
        </w:rPr>
        <w:t>było to</w:t>
      </w:r>
      <w:r w:rsidR="23328EBC" w:rsidRPr="36E96012">
        <w:rPr>
          <w:rFonts w:ascii="Lato" w:hAnsi="Lato"/>
        </w:rPr>
        <w:t xml:space="preserve"> </w:t>
      </w:r>
      <w:r w:rsidR="23328EBC" w:rsidRPr="1D87E69F">
        <w:rPr>
          <w:rFonts w:ascii="Lato" w:hAnsi="Lato"/>
        </w:rPr>
        <w:t>niecałe 5</w:t>
      </w:r>
      <w:r w:rsidR="23328EBC" w:rsidRPr="086796A5">
        <w:rPr>
          <w:rFonts w:ascii="Lato" w:hAnsi="Lato"/>
        </w:rPr>
        <w:t>%</w:t>
      </w:r>
      <w:r w:rsidR="007D2566">
        <w:rPr>
          <w:rFonts w:ascii="Lato" w:hAnsi="Lato"/>
        </w:rPr>
        <w:t>.</w:t>
      </w:r>
    </w:p>
    <w:p w14:paraId="78439F95" w14:textId="05C0F471" w:rsidR="00FB1BA4" w:rsidRDefault="00FB1BA4">
      <w:pPr>
        <w:spacing w:line="259" w:lineRule="auto"/>
        <w:jc w:val="left"/>
        <w:rPr>
          <w:rFonts w:ascii="Lato" w:eastAsia="Malgun Gothic" w:hAnsi="Lato" w:cs="Times New Roman"/>
          <w:color w:val="000000" w:themeColor="text1"/>
          <w:szCs w:val="24"/>
        </w:rPr>
      </w:pPr>
      <w:r>
        <w:rPr>
          <w:rFonts w:ascii="Lato" w:eastAsia="Malgun Gothic" w:hAnsi="Lato"/>
        </w:rPr>
        <w:br w:type="page"/>
      </w:r>
    </w:p>
    <w:p w14:paraId="09623E32" w14:textId="77777777" w:rsidR="00CE72DC" w:rsidRDefault="00CE72DC" w:rsidP="00CE63C5">
      <w:pPr>
        <w:pStyle w:val="Tekstzwyky"/>
        <w:rPr>
          <w:rFonts w:ascii="Lato" w:eastAsia="Malgun Gothic" w:hAnsi="Lato"/>
        </w:rPr>
        <w:sectPr w:rsidR="00CE72DC" w:rsidSect="00631250">
          <w:headerReference w:type="default" r:id="rId10"/>
          <w:footerReference w:type="default" r:id="rId11"/>
          <w:headerReference w:type="first" r:id="rId12"/>
          <w:footerReference w:type="first" r:id="rId13"/>
          <w:pgSz w:w="11906" w:h="16838" w:code="9"/>
          <w:pgMar w:top="1418" w:right="1418" w:bottom="1276" w:left="1276" w:header="709" w:footer="709" w:gutter="0"/>
          <w:cols w:space="708"/>
          <w:titlePg/>
          <w:docGrid w:linePitch="360"/>
        </w:sectPr>
      </w:pPr>
    </w:p>
    <w:p w14:paraId="3EFDB83A" w14:textId="2DD073A1" w:rsidR="00CE72DC" w:rsidRDefault="00FB1BA4" w:rsidP="00983C18">
      <w:pPr>
        <w:pStyle w:val="StandardowyTekst"/>
        <w:spacing w:before="240" w:after="60" w:line="276" w:lineRule="auto"/>
        <w:rPr>
          <w:rFonts w:ascii="Lato" w:eastAsia="Malgun Gothic" w:hAnsi="Lato"/>
          <w:sz w:val="20"/>
        </w:rPr>
        <w:sectPr w:rsidR="00CE72DC" w:rsidSect="00CE72DC">
          <w:headerReference w:type="first" r:id="rId14"/>
          <w:footerReference w:type="first" r:id="rId15"/>
          <w:type w:val="continuous"/>
          <w:pgSz w:w="11906" w:h="16838" w:code="9"/>
          <w:pgMar w:top="1418" w:right="1418" w:bottom="1418" w:left="1276" w:header="709" w:footer="709" w:gutter="0"/>
          <w:cols w:space="708"/>
          <w:docGrid w:linePitch="360"/>
        </w:sectPr>
      </w:pPr>
      <w:r w:rsidRPr="00C758B1">
        <w:rPr>
          <w:rFonts w:ascii="Lato" w:hAnsi="Lato"/>
          <w:noProof/>
          <w:sz w:val="20"/>
        </w:rPr>
        <w:lastRenderedPageBreak/>
        <mc:AlternateContent>
          <mc:Choice Requires="wps">
            <w:drawing>
              <wp:anchor distT="0" distB="0" distL="114300" distR="114300" simplePos="0" relativeHeight="251658243" behindDoc="0" locked="0" layoutInCell="1" allowOverlap="1" wp14:anchorId="4101C368" wp14:editId="59D760C7">
                <wp:simplePos x="0" y="0"/>
                <wp:positionH relativeFrom="margin">
                  <wp:posOffset>3233230</wp:posOffset>
                </wp:positionH>
                <wp:positionV relativeFrom="paragraph">
                  <wp:posOffset>110509</wp:posOffset>
                </wp:positionV>
                <wp:extent cx="2700020" cy="371475"/>
                <wp:effectExtent l="0" t="0" r="5080" b="9525"/>
                <wp:wrapTopAndBottom/>
                <wp:docPr id="413419871" name="Pole tekstowe 413419871"/>
                <wp:cNvGraphicFramePr/>
                <a:graphic xmlns:a="http://schemas.openxmlformats.org/drawingml/2006/main">
                  <a:graphicData uri="http://schemas.microsoft.com/office/word/2010/wordprocessingShape">
                    <wps:wsp>
                      <wps:cNvSpPr txBox="1"/>
                      <wps:spPr>
                        <a:xfrm>
                          <a:off x="0" y="0"/>
                          <a:ext cx="2700020" cy="371475"/>
                        </a:xfrm>
                        <a:prstGeom prst="rect">
                          <a:avLst/>
                        </a:prstGeom>
                        <a:solidFill>
                          <a:prstClr val="white"/>
                        </a:solidFill>
                        <a:ln>
                          <a:noFill/>
                        </a:ln>
                      </wps:spPr>
                      <wps:txbx>
                        <w:txbxContent>
                          <w:p w14:paraId="5BD4BCD7" w14:textId="44FD3D64" w:rsidR="006E2831" w:rsidRPr="00223D99" w:rsidRDefault="006E2831" w:rsidP="006E2831">
                            <w:pPr>
                              <w:pStyle w:val="Legenda"/>
                              <w:jc w:val="both"/>
                              <w:rPr>
                                <w:rFonts w:ascii="Lato" w:eastAsia="Malgun Gothic" w:hAnsi="Lato"/>
                                <w:sz w:val="22"/>
                                <w:szCs w:val="22"/>
                              </w:rPr>
                            </w:pPr>
                            <w:r w:rsidRPr="00223D99">
                              <w:rPr>
                                <w:rFonts w:ascii="Lato" w:eastAsia="Malgun Gothic" w:hAnsi="Lato"/>
                                <w:sz w:val="22"/>
                                <w:szCs w:val="22"/>
                              </w:rPr>
                              <w:t xml:space="preserve">Rysunek </w:t>
                            </w:r>
                            <w:r w:rsidR="001B1D8F">
                              <w:rPr>
                                <w:rFonts w:ascii="Lato" w:eastAsia="Malgun Gothic" w:hAnsi="Lato"/>
                                <w:sz w:val="22"/>
                                <w:szCs w:val="22"/>
                              </w:rPr>
                              <w:t>4</w:t>
                            </w:r>
                            <w:r w:rsidRPr="00223D99">
                              <w:rPr>
                                <w:rFonts w:ascii="Lato" w:eastAsia="Malgun Gothic" w:hAnsi="Lato"/>
                                <w:sz w:val="22"/>
                                <w:szCs w:val="22"/>
                              </w:rPr>
                              <w:t>. Gazociągi wysokiego ciśnienia wg. kategorii ciśnień w 2022 r. [MPa]</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type w14:anchorId="4101C368" id="_x0000_t202" coordsize="21600,21600" o:spt="202" path="m,l,21600r21600,l21600,xe">
                <v:stroke joinstyle="miter"/>
                <v:path gradientshapeok="t" o:connecttype="rect"/>
              </v:shapetype>
              <v:shape id="Pole tekstowe 413419871" o:spid="_x0000_s1026" type="#_x0000_t202" style="position:absolute;left:0;text-align:left;margin-left:254.6pt;margin-top:8.7pt;width:212.6pt;height:29.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" stroked="f">
                <v:textbox inset="0,0,0,0">
                  <w:txbxContent>
                    <w:p w14:paraId="5BD4BCD7" w14:textId="44FD3D64" w:rsidR="006E2831" w:rsidRPr="00223D99" w:rsidRDefault="006E2831" w:rsidP="006E2831">
                      <w:pPr>
                        <w:pStyle w:val="Legenda"/>
                        <w:jc w:val="both"/>
                        <w:rPr>
                          <w:rFonts w:ascii="Lato" w:eastAsia="Malgun Gothic" w:hAnsi="Lato"/>
                          <w:sz w:val="22"/>
                          <w:szCs w:val="22"/>
                        </w:rPr>
                      </w:pPr>
                      <w:r w:rsidRPr="00223D99">
                        <w:rPr>
                          <w:rFonts w:ascii="Lato" w:eastAsia="Malgun Gothic" w:hAnsi="Lato"/>
                          <w:sz w:val="22"/>
                          <w:szCs w:val="22"/>
                        </w:rPr>
                        <w:t xml:space="preserve">Rysunek </w:t>
                      </w:r>
                      <w:r w:rsidR="001B1D8F">
                        <w:rPr>
                          <w:rFonts w:ascii="Lato" w:eastAsia="Malgun Gothic" w:hAnsi="Lato"/>
                          <w:sz w:val="22"/>
                          <w:szCs w:val="22"/>
                        </w:rPr>
                        <w:t>4</w:t>
                      </w:r>
                      <w:r w:rsidRPr="00223D99">
                        <w:rPr>
                          <w:rFonts w:ascii="Lato" w:eastAsia="Malgun Gothic" w:hAnsi="Lato"/>
                          <w:sz w:val="22"/>
                          <w:szCs w:val="22"/>
                        </w:rPr>
                        <w:t>. Gazociągi wysokiego ciśnienia wg. kategorii ciśnień w 2022 r. [MPa]</w:t>
                      </w:r>
                    </w:p>
                  </w:txbxContent>
                </v:textbox>
                <w10:wrap type="topAndBottom" anchorx="margin"/>
              </v:shape>
            </w:pict>
          </mc:Fallback>
        </mc:AlternateContent>
      </w:r>
      <w:r w:rsidRPr="00C758B1">
        <w:rPr>
          <w:rFonts w:ascii="Lato" w:hAnsi="Lato"/>
          <w:noProof/>
          <w:sz w:val="20"/>
        </w:rPr>
        <w:drawing>
          <wp:anchor distT="0" distB="0" distL="114300" distR="114300" simplePos="0" relativeHeight="251658245" behindDoc="1" locked="0" layoutInCell="1" allowOverlap="1" wp14:anchorId="7A25C929" wp14:editId="4E9797AA">
            <wp:simplePos x="0" y="0"/>
            <wp:positionH relativeFrom="margin">
              <wp:posOffset>3049270</wp:posOffset>
            </wp:positionH>
            <wp:positionV relativeFrom="page">
              <wp:posOffset>1528445</wp:posOffset>
            </wp:positionV>
            <wp:extent cx="3060700" cy="3188335"/>
            <wp:effectExtent l="0" t="0" r="6350" b="0"/>
            <wp:wrapSquare wrapText="bothSides"/>
            <wp:docPr id="109" name="Wykres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Pr="00C758B1">
        <w:rPr>
          <w:rFonts w:ascii="Lato" w:hAnsi="Lato"/>
          <w:noProof/>
          <w:sz w:val="20"/>
        </w:rPr>
        <mc:AlternateContent>
          <mc:Choice Requires="wps">
            <w:drawing>
              <wp:anchor distT="0" distB="0" distL="114300" distR="114300" simplePos="0" relativeHeight="251658242" behindDoc="0" locked="0" layoutInCell="1" allowOverlap="1" wp14:anchorId="1A48CBF9" wp14:editId="3FA47A79">
                <wp:simplePos x="0" y="0"/>
                <wp:positionH relativeFrom="margin">
                  <wp:posOffset>-61415</wp:posOffset>
                </wp:positionH>
                <wp:positionV relativeFrom="paragraph">
                  <wp:posOffset>101637</wp:posOffset>
                </wp:positionV>
                <wp:extent cx="2700020" cy="361950"/>
                <wp:effectExtent l="0" t="0" r="5080" b="0"/>
                <wp:wrapTopAndBottom/>
                <wp:docPr id="413419872" name="Pole tekstowe 413419872"/>
                <wp:cNvGraphicFramePr/>
                <a:graphic xmlns:a="http://schemas.openxmlformats.org/drawingml/2006/main">
                  <a:graphicData uri="http://schemas.microsoft.com/office/word/2010/wordprocessingShape">
                    <wps:wsp>
                      <wps:cNvSpPr txBox="1"/>
                      <wps:spPr>
                        <a:xfrm>
                          <a:off x="0" y="0"/>
                          <a:ext cx="2700020" cy="361950"/>
                        </a:xfrm>
                        <a:prstGeom prst="rect">
                          <a:avLst/>
                        </a:prstGeom>
                        <a:solidFill>
                          <a:prstClr val="white"/>
                        </a:solidFill>
                        <a:ln>
                          <a:noFill/>
                        </a:ln>
                      </wps:spPr>
                      <wps:txbx>
                        <w:txbxContent>
                          <w:p w14:paraId="04D4AAAE" w14:textId="42290323" w:rsidR="006E2831" w:rsidRPr="00223D99" w:rsidRDefault="006E2831" w:rsidP="006E2831">
                            <w:pPr>
                              <w:pStyle w:val="Legenda"/>
                              <w:jc w:val="both"/>
                              <w:rPr>
                                <w:rFonts w:ascii="Lato" w:eastAsia="Malgun Gothic" w:hAnsi="Lato"/>
                                <w:sz w:val="22"/>
                                <w:szCs w:val="22"/>
                              </w:rPr>
                            </w:pPr>
                            <w:r w:rsidRPr="00223D99">
                              <w:rPr>
                                <w:rFonts w:ascii="Lato" w:eastAsia="Malgun Gothic" w:hAnsi="Lato"/>
                                <w:sz w:val="22"/>
                                <w:szCs w:val="22"/>
                              </w:rPr>
                              <w:t xml:space="preserve">Rysunek </w:t>
                            </w:r>
                            <w:r w:rsidR="001B1D8F">
                              <w:rPr>
                                <w:rFonts w:ascii="Lato" w:eastAsia="Malgun Gothic" w:hAnsi="Lato"/>
                                <w:sz w:val="22"/>
                                <w:szCs w:val="22"/>
                              </w:rPr>
                              <w:t>3</w:t>
                            </w:r>
                            <w:r w:rsidRPr="00223D99">
                              <w:rPr>
                                <w:rFonts w:ascii="Lato" w:eastAsia="Malgun Gothic" w:hAnsi="Lato"/>
                                <w:sz w:val="22"/>
                                <w:szCs w:val="22"/>
                              </w:rPr>
                              <w:t>. Gazociągi wysokiego ciśnienia wg. kategorii średnic w 2022 r. [mm]</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w14:anchorId="1A48CBF9" id="Pole tekstowe 413419872" o:spid="_x0000_s1027" type="#_x0000_t202" style="position:absolute;left:0;text-align:left;margin-left:-4.85pt;margin-top:8pt;width:212.6pt;height:2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" stroked="f">
                <v:textbox inset="0,0,0,0">
                  <w:txbxContent>
                    <w:p w14:paraId="04D4AAAE" w14:textId="42290323" w:rsidR="006E2831" w:rsidRPr="00223D99" w:rsidRDefault="006E2831" w:rsidP="006E2831">
                      <w:pPr>
                        <w:pStyle w:val="Legenda"/>
                        <w:jc w:val="both"/>
                        <w:rPr>
                          <w:rFonts w:ascii="Lato" w:eastAsia="Malgun Gothic" w:hAnsi="Lato"/>
                          <w:sz w:val="22"/>
                          <w:szCs w:val="22"/>
                        </w:rPr>
                      </w:pPr>
                      <w:r w:rsidRPr="00223D99">
                        <w:rPr>
                          <w:rFonts w:ascii="Lato" w:eastAsia="Malgun Gothic" w:hAnsi="Lato"/>
                          <w:sz w:val="22"/>
                          <w:szCs w:val="22"/>
                        </w:rPr>
                        <w:t xml:space="preserve">Rysunek </w:t>
                      </w:r>
                      <w:r w:rsidR="001B1D8F">
                        <w:rPr>
                          <w:rFonts w:ascii="Lato" w:eastAsia="Malgun Gothic" w:hAnsi="Lato"/>
                          <w:sz w:val="22"/>
                          <w:szCs w:val="22"/>
                        </w:rPr>
                        <w:t>3</w:t>
                      </w:r>
                      <w:r w:rsidRPr="00223D99">
                        <w:rPr>
                          <w:rFonts w:ascii="Lato" w:eastAsia="Malgun Gothic" w:hAnsi="Lato"/>
                          <w:sz w:val="22"/>
                          <w:szCs w:val="22"/>
                        </w:rPr>
                        <w:t>. Gazociągi wysokiego ciśnienia wg. kategorii średnic w 2022 r. [mm]</w:t>
                      </w:r>
                    </w:p>
                  </w:txbxContent>
                </v:textbox>
                <w10:wrap type="topAndBottom" anchorx="margin"/>
              </v:shape>
            </w:pict>
          </mc:Fallback>
        </mc:AlternateContent>
      </w:r>
    </w:p>
    <w:p w14:paraId="5C0AE5D3" w14:textId="02A18802" w:rsidR="00CE72DC" w:rsidRDefault="000A7C68" w:rsidP="00983C18">
      <w:pPr>
        <w:pStyle w:val="StandardowyTekst"/>
        <w:spacing w:before="240" w:after="60" w:line="276" w:lineRule="auto"/>
        <w:rPr>
          <w:rFonts w:ascii="Lato" w:eastAsia="Malgun Gothic" w:hAnsi="Lato"/>
          <w:sz w:val="20"/>
        </w:rPr>
        <w:sectPr w:rsidR="00CE72DC" w:rsidSect="00CE72DC">
          <w:headerReference w:type="first" r:id="rId17"/>
          <w:footerReference w:type="first" r:id="rId18"/>
          <w:type w:val="continuous"/>
          <w:pgSz w:w="11906" w:h="16838" w:code="9"/>
          <w:pgMar w:top="1418" w:right="1418" w:bottom="1418" w:left="1276" w:header="709" w:footer="709" w:gutter="0"/>
          <w:cols w:space="708"/>
          <w:docGrid w:linePitch="360"/>
        </w:sectPr>
      </w:pPr>
      <w:r w:rsidRPr="00C758B1">
        <w:rPr>
          <w:rFonts w:ascii="Lato" w:hAnsi="Lato"/>
          <w:noProof/>
          <w:sz w:val="20"/>
        </w:rPr>
        <w:drawing>
          <wp:anchor distT="0" distB="0" distL="114300" distR="114300" simplePos="0" relativeHeight="251658248" behindDoc="1" locked="0" layoutInCell="1" allowOverlap="1" wp14:anchorId="687E3B6B" wp14:editId="6239E48D">
            <wp:simplePos x="0" y="0"/>
            <wp:positionH relativeFrom="column">
              <wp:posOffset>-285722</wp:posOffset>
            </wp:positionH>
            <wp:positionV relativeFrom="paragraph">
              <wp:posOffset>188512</wp:posOffset>
            </wp:positionV>
            <wp:extent cx="3259455" cy="3156585"/>
            <wp:effectExtent l="0" t="0" r="0" b="5715"/>
            <wp:wrapTight wrapText="bothSides">
              <wp:wrapPolygon edited="0">
                <wp:start x="0" y="0"/>
                <wp:lineTo x="0" y="21509"/>
                <wp:lineTo x="21461" y="21509"/>
                <wp:lineTo x="21461" y="0"/>
                <wp:lineTo x="0" y="0"/>
              </wp:wrapPolygon>
            </wp:wrapTight>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5AC4F8FD" w14:textId="00BAA767" w:rsidR="0067393E" w:rsidRPr="0067393E" w:rsidRDefault="0067393E" w:rsidP="0067393E">
      <w:pPr>
        <w:tabs>
          <w:tab w:val="left" w:pos="10440"/>
        </w:tabs>
        <w:spacing w:line="276" w:lineRule="auto"/>
        <w:ind w:right="23"/>
        <w:rPr>
          <w:rFonts w:ascii="Lato" w:eastAsia="Malgun Gothic" w:hAnsi="Lato"/>
          <w:i/>
          <w:sz w:val="20"/>
          <w:szCs w:val="20"/>
        </w:rPr>
        <w:sectPr w:rsidR="0067393E" w:rsidRPr="0067393E" w:rsidSect="00CE72DC">
          <w:headerReference w:type="first" r:id="rId20"/>
          <w:footerReference w:type="first" r:id="rId21"/>
          <w:type w:val="continuous"/>
          <w:pgSz w:w="11906" w:h="16838" w:code="9"/>
          <w:pgMar w:top="1418" w:right="1418" w:bottom="1418" w:left="1276" w:header="709" w:footer="709" w:gutter="0"/>
          <w:cols w:space="708"/>
          <w:docGrid w:linePitch="360"/>
        </w:sectPr>
      </w:pPr>
      <w:r w:rsidRPr="006E0158">
        <w:rPr>
          <w:rFonts w:ascii="Lato" w:eastAsia="Malgun Gothic" w:hAnsi="Lato" w:cs="Calibri"/>
          <w:i/>
          <w:sz w:val="20"/>
          <w:szCs w:val="20"/>
        </w:rPr>
        <w:t>Ź</w:t>
      </w:r>
      <w:r w:rsidRPr="006E0158">
        <w:rPr>
          <w:rFonts w:ascii="Lato" w:eastAsia="Malgun Gothic" w:hAnsi="Lato"/>
          <w:i/>
          <w:sz w:val="20"/>
          <w:szCs w:val="20"/>
        </w:rPr>
        <w:t>r</w:t>
      </w:r>
      <w:r w:rsidRPr="006E0158">
        <w:rPr>
          <w:rFonts w:ascii="Lato" w:eastAsia="Malgun Gothic" w:hAnsi="Lato" w:cs="Malgun Gothic"/>
          <w:i/>
          <w:sz w:val="20"/>
          <w:szCs w:val="20"/>
        </w:rPr>
        <w:t>ó</w:t>
      </w:r>
      <w:r w:rsidRPr="006E0158">
        <w:rPr>
          <w:rFonts w:ascii="Lato" w:eastAsia="Malgun Gothic" w:hAnsi="Lato"/>
          <w:i/>
          <w:sz w:val="20"/>
          <w:szCs w:val="20"/>
        </w:rPr>
        <w:t>d</w:t>
      </w:r>
      <w:r w:rsidRPr="006E0158">
        <w:rPr>
          <w:rFonts w:ascii="Lato" w:eastAsia="Malgun Gothic" w:hAnsi="Lato" w:cs="Malgun Gothic"/>
          <w:i/>
          <w:sz w:val="20"/>
          <w:szCs w:val="20"/>
        </w:rPr>
        <w:t>ł</w:t>
      </w:r>
      <w:r w:rsidRPr="006E0158">
        <w:rPr>
          <w:rFonts w:ascii="Lato" w:eastAsia="Malgun Gothic" w:hAnsi="Lato"/>
          <w:i/>
          <w:sz w:val="20"/>
          <w:szCs w:val="20"/>
        </w:rPr>
        <w:t>o: OGP GAZ-SYSTEM S.</w:t>
      </w:r>
      <w:r>
        <w:rPr>
          <w:rFonts w:ascii="Lato" w:eastAsia="Malgun Gothic" w:hAnsi="Lato"/>
          <w:i/>
          <w:sz w:val="20"/>
          <w:szCs w:val="20"/>
        </w:rPr>
        <w:t>A.</w:t>
      </w:r>
    </w:p>
    <w:p w14:paraId="291FB089" w14:textId="3E7CB972" w:rsidR="00CE72DC" w:rsidRDefault="00CE72DC" w:rsidP="00983C18">
      <w:pPr>
        <w:pStyle w:val="StandardowyTekst"/>
        <w:spacing w:before="240" w:after="60" w:line="276" w:lineRule="auto"/>
        <w:rPr>
          <w:rFonts w:ascii="Lato" w:eastAsia="Malgun Gothic" w:hAnsi="Lato"/>
          <w:sz w:val="20"/>
        </w:rPr>
        <w:sectPr w:rsidR="00CE72DC" w:rsidSect="00CE72DC">
          <w:headerReference w:type="first" r:id="rId22"/>
          <w:footerReference w:type="first" r:id="rId23"/>
          <w:type w:val="continuous"/>
          <w:pgSz w:w="11906" w:h="16838" w:code="9"/>
          <w:pgMar w:top="1418" w:right="1418" w:bottom="1418" w:left="1276" w:header="709" w:footer="709" w:gutter="0"/>
          <w:cols w:space="708"/>
          <w:docGrid w:linePitch="360"/>
        </w:sectPr>
      </w:pPr>
    </w:p>
    <w:p w14:paraId="68D69C80" w14:textId="566ED565" w:rsidR="00080801" w:rsidRPr="00CE72DC" w:rsidRDefault="006E2831" w:rsidP="0067393E">
      <w:pPr>
        <w:spacing w:after="60" w:line="276" w:lineRule="auto"/>
        <w:ind w:firstLine="567"/>
        <w:rPr>
          <w:rFonts w:ascii="Lato" w:eastAsia="Malgun Gothic" w:hAnsi="Lato"/>
          <w:szCs w:val="24"/>
        </w:rPr>
      </w:pPr>
      <w:r w:rsidRPr="00CE72DC">
        <w:rPr>
          <w:rFonts w:ascii="Lato" w:eastAsia="Malgun Gothic" w:hAnsi="Lato"/>
          <w:szCs w:val="24"/>
        </w:rPr>
        <w:t>Pomimo budowy nowej infrastruktury</w:t>
      </w:r>
      <w:r w:rsidR="51E414E8" w:rsidRPr="7114FE6D">
        <w:rPr>
          <w:rFonts w:ascii="Lato" w:eastAsia="Malgun Gothic" w:hAnsi="Lato"/>
        </w:rPr>
        <w:t>,</w:t>
      </w:r>
      <w:r w:rsidRPr="00CE72DC">
        <w:rPr>
          <w:rFonts w:ascii="Lato" w:eastAsia="Malgun Gothic" w:hAnsi="Lato"/>
          <w:szCs w:val="24"/>
        </w:rPr>
        <w:t xml:space="preserve"> w dalszy</w:t>
      </w:r>
      <w:r w:rsidR="00223D99">
        <w:rPr>
          <w:rFonts w:ascii="Lato" w:eastAsia="Malgun Gothic" w:hAnsi="Lato"/>
          <w:szCs w:val="24"/>
        </w:rPr>
        <w:t>m</w:t>
      </w:r>
      <w:r w:rsidR="00080801" w:rsidRPr="00080801">
        <w:rPr>
          <w:rFonts w:ascii="Lato" w:eastAsia="Malgun Gothic" w:hAnsi="Lato"/>
          <w:szCs w:val="24"/>
        </w:rPr>
        <w:t xml:space="preserve"> </w:t>
      </w:r>
      <w:r w:rsidR="00080801" w:rsidRPr="00CE72DC">
        <w:rPr>
          <w:rFonts w:ascii="Lato" w:eastAsia="Malgun Gothic" w:hAnsi="Lato"/>
          <w:szCs w:val="24"/>
        </w:rPr>
        <w:t>ciągu zdecydowana większość gazociągów znajduje się w kategorii wiekowej powyżej 20 lat, z czego gazociągi ponad 40-letnie stanowią ok. 41% długości wszystkich gazociągów.</w:t>
      </w:r>
    </w:p>
    <w:p w14:paraId="18A21167" w14:textId="293E640B" w:rsidR="00CE72DC" w:rsidRPr="00080801" w:rsidRDefault="00080801" w:rsidP="000A7C68">
      <w:pPr>
        <w:spacing w:after="60" w:line="276" w:lineRule="auto"/>
        <w:ind w:firstLine="567"/>
        <w:rPr>
          <w:rFonts w:ascii="Lato" w:hAnsi="Lato"/>
          <w:szCs w:val="24"/>
        </w:rPr>
        <w:sectPr w:rsidR="00CE72DC" w:rsidRPr="00080801" w:rsidSect="00CE72DC">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17" w:right="1417" w:bottom="1417" w:left="1417" w:header="708" w:footer="708" w:gutter="0"/>
          <w:cols w:space="708"/>
          <w:docGrid w:linePitch="360"/>
        </w:sectPr>
      </w:pPr>
      <w:r w:rsidRPr="00CE72DC">
        <w:rPr>
          <w:rFonts w:ascii="Lato" w:eastAsia="Malgun Gothic" w:hAnsi="Lato"/>
          <w:szCs w:val="24"/>
        </w:rPr>
        <w:t>Ze względu na wiek systemu przesyłowego, planowane działania inwestycyjne uwzględniają także zadania modernizacyjno-odtworzeniowe w celu poprawy bezpieczeństwa eksploatowanej infrastruktury przesyłowej i zapewnienia ciągłości dostaw do istniejących odbiorcó</w:t>
      </w:r>
      <w:r w:rsidR="00223D99">
        <w:rPr>
          <w:rFonts w:ascii="Lato" w:eastAsia="Malgun Gothic" w:hAnsi="Lato"/>
          <w:szCs w:val="24"/>
        </w:rPr>
        <w:t>w.</w:t>
      </w:r>
    </w:p>
    <w:p w14:paraId="2740196E" w14:textId="4EFCF468" w:rsidR="00223D99" w:rsidRPr="00CE72DC" w:rsidRDefault="00FB1BA4" w:rsidP="165C9830">
      <w:pPr>
        <w:spacing w:after="60" w:line="276" w:lineRule="auto"/>
        <w:ind w:firstLine="567"/>
        <w:rPr>
          <w:rFonts w:ascii="Lato" w:eastAsia="Malgun Gothic" w:hAnsi="Lato"/>
        </w:rPr>
      </w:pPr>
      <w:r w:rsidRPr="00C758B1">
        <w:rPr>
          <w:rFonts w:ascii="Lato" w:hAnsi="Lato"/>
          <w:noProof/>
          <w:sz w:val="20"/>
          <w:szCs w:val="20"/>
        </w:rPr>
        <w:lastRenderedPageBreak/>
        <w:drawing>
          <wp:anchor distT="0" distB="0" distL="114300" distR="114300" simplePos="0" relativeHeight="251658247" behindDoc="1" locked="0" layoutInCell="1" allowOverlap="1" wp14:anchorId="34BD0FCC" wp14:editId="0CA7B92F">
            <wp:simplePos x="0" y="0"/>
            <wp:positionH relativeFrom="column">
              <wp:posOffset>628650</wp:posOffset>
            </wp:positionH>
            <wp:positionV relativeFrom="paragraph">
              <wp:posOffset>1454785</wp:posOffset>
            </wp:positionV>
            <wp:extent cx="4309110" cy="2893060"/>
            <wp:effectExtent l="0" t="0" r="0" b="2540"/>
            <wp:wrapTopAndBottom/>
            <wp:docPr id="111" name="Wykres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0A7C68" w:rsidRPr="00C758B1">
        <w:rPr>
          <w:rFonts w:ascii="Lato" w:hAnsi="Lato"/>
          <w:noProof/>
          <w:sz w:val="20"/>
          <w:szCs w:val="20"/>
        </w:rPr>
        <mc:AlternateContent>
          <mc:Choice Requires="wps">
            <w:drawing>
              <wp:anchor distT="0" distB="0" distL="114300" distR="114300" simplePos="0" relativeHeight="251658241" behindDoc="0" locked="0" layoutInCell="1" allowOverlap="1" wp14:anchorId="17D313AB" wp14:editId="65BAAF82">
                <wp:simplePos x="0" y="0"/>
                <wp:positionH relativeFrom="margin">
                  <wp:align>left</wp:align>
                </wp:positionH>
                <wp:positionV relativeFrom="paragraph">
                  <wp:posOffset>999379</wp:posOffset>
                </wp:positionV>
                <wp:extent cx="6103620" cy="527050"/>
                <wp:effectExtent l="0" t="0" r="0" b="6350"/>
                <wp:wrapTopAndBottom/>
                <wp:docPr id="413419870" name="Pole tekstowe 413419870"/>
                <wp:cNvGraphicFramePr/>
                <a:graphic xmlns:a="http://schemas.openxmlformats.org/drawingml/2006/main">
                  <a:graphicData uri="http://schemas.microsoft.com/office/word/2010/wordprocessingShape">
                    <wps:wsp>
                      <wps:cNvSpPr txBox="1"/>
                      <wps:spPr>
                        <a:xfrm>
                          <a:off x="0" y="0"/>
                          <a:ext cx="6103620" cy="527050"/>
                        </a:xfrm>
                        <a:prstGeom prst="rect">
                          <a:avLst/>
                        </a:prstGeom>
                        <a:solidFill>
                          <a:prstClr val="white"/>
                        </a:solidFill>
                        <a:ln>
                          <a:noFill/>
                        </a:ln>
                      </wps:spPr>
                      <wps:txbx>
                        <w:txbxContent>
                          <w:p w14:paraId="1BCC71D7" w14:textId="3A6A3F70" w:rsidR="006E2831" w:rsidRPr="006E0158" w:rsidRDefault="006E2831" w:rsidP="006E2831">
                            <w:pPr>
                              <w:spacing w:before="120" w:after="120"/>
                              <w:rPr>
                                <w:rFonts w:ascii="Lato" w:eastAsia="Malgun Gothic" w:hAnsi="Lato"/>
                                <w:b/>
                                <w:bCs/>
                                <w:szCs w:val="24"/>
                              </w:rPr>
                            </w:pPr>
                            <w:r w:rsidRPr="006E0158">
                              <w:rPr>
                                <w:rFonts w:ascii="Lato" w:eastAsia="Malgun Gothic" w:hAnsi="Lato"/>
                                <w:b/>
                                <w:bCs/>
                                <w:szCs w:val="24"/>
                              </w:rPr>
                              <w:t xml:space="preserve">Rysunek </w:t>
                            </w:r>
                            <w:r w:rsidR="001B1D8F">
                              <w:rPr>
                                <w:rFonts w:ascii="Lato" w:eastAsia="Malgun Gothic" w:hAnsi="Lato"/>
                                <w:b/>
                                <w:bCs/>
                                <w:szCs w:val="24"/>
                              </w:rPr>
                              <w:t>5</w:t>
                            </w:r>
                            <w:r w:rsidRPr="006E0158">
                              <w:rPr>
                                <w:rFonts w:ascii="Lato" w:eastAsia="Malgun Gothic" w:hAnsi="Lato"/>
                                <w:b/>
                                <w:bCs/>
                                <w:szCs w:val="24"/>
                              </w:rPr>
                              <w:t>. Struktura wiekowa gazociągów przesyłowych wg stanu na dzień 31.12.2022 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313AB" id="Pole tekstowe 413419870" o:spid="_x0000_s1028" type="#_x0000_t202" style="position:absolute;left:0;text-align:left;margin-left:0;margin-top:78.7pt;width:480.6pt;height:41.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" stroked="f">
                <v:textbox inset="0,0,0,0">
                  <w:txbxContent>
                    <w:p w14:paraId="1BCC71D7" w14:textId="3A6A3F70" w:rsidR="006E2831" w:rsidRPr="006E0158" w:rsidRDefault="006E2831" w:rsidP="006E2831">
                      <w:pPr>
                        <w:spacing w:before="120" w:after="120"/>
                        <w:rPr>
                          <w:rFonts w:ascii="Lato" w:eastAsia="Malgun Gothic" w:hAnsi="Lato"/>
                          <w:b/>
                          <w:bCs/>
                          <w:szCs w:val="24"/>
                        </w:rPr>
                      </w:pPr>
                      <w:r w:rsidRPr="006E0158">
                        <w:rPr>
                          <w:rFonts w:ascii="Lato" w:eastAsia="Malgun Gothic" w:hAnsi="Lato"/>
                          <w:b/>
                          <w:bCs/>
                          <w:szCs w:val="24"/>
                        </w:rPr>
                        <w:t xml:space="preserve">Rysunek </w:t>
                      </w:r>
                      <w:r w:rsidR="001B1D8F">
                        <w:rPr>
                          <w:rFonts w:ascii="Lato" w:eastAsia="Malgun Gothic" w:hAnsi="Lato"/>
                          <w:b/>
                          <w:bCs/>
                          <w:szCs w:val="24"/>
                        </w:rPr>
                        <w:t>5</w:t>
                      </w:r>
                      <w:r w:rsidRPr="006E0158">
                        <w:rPr>
                          <w:rFonts w:ascii="Lato" w:eastAsia="Malgun Gothic" w:hAnsi="Lato"/>
                          <w:b/>
                          <w:bCs/>
                          <w:szCs w:val="24"/>
                        </w:rPr>
                        <w:t>. Struktura wiekowa gazociągów przesyłowych wg stanu na dzień 31.12.2022 r.</w:t>
                      </w:r>
                    </w:p>
                  </w:txbxContent>
                </v:textbox>
                <w10:wrap type="topAndBottom" anchorx="margin"/>
              </v:shape>
            </w:pict>
          </mc:Fallback>
        </mc:AlternateContent>
      </w:r>
      <w:r w:rsidR="006E2831" w:rsidRPr="165C9830">
        <w:rPr>
          <w:rFonts w:ascii="Lato" w:eastAsia="Malgun Gothic" w:hAnsi="Lato"/>
        </w:rPr>
        <w:t xml:space="preserve">Na  </w:t>
      </w:r>
      <w:r w:rsidR="00A72AD6">
        <w:rPr>
          <w:rFonts w:ascii="Lato" w:eastAsia="Malgun Gothic" w:hAnsi="Lato"/>
        </w:rPr>
        <w:t xml:space="preserve">poniższym </w:t>
      </w:r>
      <w:r w:rsidR="006E2831" w:rsidRPr="165C9830">
        <w:rPr>
          <w:rFonts w:ascii="Lato" w:eastAsia="Malgun Gothic" w:hAnsi="Lato"/>
        </w:rPr>
        <w:t xml:space="preserve">wykresie przedstawiono udział procentowy długości gazociągów w pięciu grupach wiekowych, tj. do 10 lat, 11 – 20 lat, 21 – 30 lat, 31 – 40 lat oraz powyżej 40 lat. W okresie 2009-2022 sieć przesyłowa została rozbudowana o ok. 2,6 tys. km nowych gazociągów przesyłowych. </w:t>
      </w:r>
    </w:p>
    <w:p w14:paraId="7DCDA51A" w14:textId="04393640" w:rsidR="006E2831" w:rsidRPr="00C758B1" w:rsidRDefault="006E2831" w:rsidP="00983C18">
      <w:pPr>
        <w:spacing w:before="120" w:line="276" w:lineRule="auto"/>
        <w:ind w:firstLine="567"/>
        <w:jc w:val="center"/>
        <w:rPr>
          <w:rFonts w:ascii="Lato" w:eastAsia="Malgun Gothic" w:hAnsi="Lato" w:cs="Calibri"/>
          <w:i/>
          <w:sz w:val="20"/>
          <w:szCs w:val="20"/>
        </w:rPr>
      </w:pPr>
    </w:p>
    <w:p w14:paraId="3CBC434D" w14:textId="56F6B62B" w:rsidR="00080801" w:rsidRPr="00223D99" w:rsidRDefault="00B5711F" w:rsidP="00983C18">
      <w:pPr>
        <w:spacing w:before="120" w:line="276" w:lineRule="auto"/>
        <w:rPr>
          <w:rFonts w:ascii="Lato" w:eastAsia="Malgun Gothic" w:hAnsi="Lato"/>
          <w:i/>
          <w:sz w:val="20"/>
          <w:szCs w:val="20"/>
        </w:rPr>
      </w:pPr>
      <w:r w:rsidRPr="00C758B1">
        <w:rPr>
          <w:rFonts w:ascii="Lato" w:hAnsi="Lato"/>
          <w:noProof/>
          <w:sz w:val="20"/>
        </w:rPr>
        <mc:AlternateContent>
          <mc:Choice Requires="wps">
            <w:drawing>
              <wp:anchor distT="0" distB="0" distL="114300" distR="114300" simplePos="0" relativeHeight="251658246" behindDoc="0" locked="0" layoutInCell="1" allowOverlap="1" wp14:anchorId="25D21F47" wp14:editId="4D407F5D">
                <wp:simplePos x="0" y="0"/>
                <wp:positionH relativeFrom="margin">
                  <wp:posOffset>63500</wp:posOffset>
                </wp:positionH>
                <wp:positionV relativeFrom="paragraph">
                  <wp:posOffset>292735</wp:posOffset>
                </wp:positionV>
                <wp:extent cx="5762625" cy="371475"/>
                <wp:effectExtent l="0" t="0" r="9525" b="9525"/>
                <wp:wrapTopAndBottom/>
                <wp:docPr id="1" name="Pole tekstowe 1"/>
                <wp:cNvGraphicFramePr/>
                <a:graphic xmlns:a="http://schemas.openxmlformats.org/drawingml/2006/main">
                  <a:graphicData uri="http://schemas.microsoft.com/office/word/2010/wordprocessingShape">
                    <wps:wsp>
                      <wps:cNvSpPr txBox="1"/>
                      <wps:spPr>
                        <a:xfrm>
                          <a:off x="0" y="0"/>
                          <a:ext cx="5762625" cy="371475"/>
                        </a:xfrm>
                        <a:prstGeom prst="rect">
                          <a:avLst/>
                        </a:prstGeom>
                        <a:solidFill>
                          <a:prstClr val="white"/>
                        </a:solidFill>
                        <a:ln>
                          <a:noFill/>
                        </a:ln>
                      </wps:spPr>
                      <wps:txbx>
                        <w:txbxContent>
                          <w:p w14:paraId="72EC2F65" w14:textId="31521998" w:rsidR="00080801" w:rsidRPr="006E0158" w:rsidRDefault="00080801" w:rsidP="00080801">
                            <w:pPr>
                              <w:pStyle w:val="Legenda"/>
                              <w:jc w:val="both"/>
                              <w:rPr>
                                <w:rFonts w:ascii="Lato" w:eastAsia="Malgun Gothic" w:hAnsi="Lato"/>
                                <w:sz w:val="24"/>
                                <w:szCs w:val="24"/>
                              </w:rPr>
                            </w:pPr>
                            <w:r w:rsidRPr="006E0158">
                              <w:rPr>
                                <w:rFonts w:ascii="Lato" w:eastAsia="Malgun Gothic" w:hAnsi="Lato"/>
                                <w:sz w:val="24"/>
                                <w:szCs w:val="24"/>
                              </w:rPr>
                              <w:t xml:space="preserve">Rysunek </w:t>
                            </w:r>
                            <w:r w:rsidR="001B1D8F">
                              <w:rPr>
                                <w:rFonts w:ascii="Lato" w:eastAsia="Malgun Gothic" w:hAnsi="Lato"/>
                                <w:sz w:val="24"/>
                                <w:szCs w:val="24"/>
                              </w:rPr>
                              <w:t>6</w:t>
                            </w:r>
                            <w:r w:rsidRPr="006E0158">
                              <w:rPr>
                                <w:rFonts w:ascii="Lato" w:eastAsia="Malgun Gothic" w:hAnsi="Lato"/>
                                <w:sz w:val="24"/>
                                <w:szCs w:val="24"/>
                              </w:rPr>
                              <w:t>. Gazociągi wysokiego ciśnienia systemu zaazotowanego</w:t>
                            </w:r>
                            <w:r w:rsidR="00DF67CF">
                              <w:rPr>
                                <w:rFonts w:ascii="Lato" w:eastAsia="Malgun Gothic" w:hAnsi="Lato"/>
                                <w:sz w:val="24"/>
                                <w:szCs w:val="24"/>
                              </w:rPr>
                              <w:t xml:space="preserve"> Lw </w:t>
                            </w:r>
                            <w:r w:rsidRPr="006E0158">
                              <w:rPr>
                                <w:rFonts w:ascii="Lato" w:eastAsia="Malgun Gothic" w:hAnsi="Lato"/>
                                <w:sz w:val="24"/>
                                <w:szCs w:val="24"/>
                              </w:rPr>
                              <w:t xml:space="preserve"> wg. kategorii ciśnień w 2022 r. [MPa]</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w14:anchorId="25D21F47" id="Pole tekstowe 1" o:spid="_x0000_s1029" type="#_x0000_t202" style="position:absolute;left:0;text-align:left;margin-left:5pt;margin-top:23.05pt;width:453.75pt;height:29.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" stroked="f">
                <v:textbox inset="0,0,0,0">
                  <w:txbxContent>
                    <w:p w14:paraId="72EC2F65" w14:textId="31521998" w:rsidR="00080801" w:rsidRPr="006E0158" w:rsidRDefault="00080801" w:rsidP="00080801">
                      <w:pPr>
                        <w:pStyle w:val="Legenda"/>
                        <w:jc w:val="both"/>
                        <w:rPr>
                          <w:rFonts w:ascii="Lato" w:eastAsia="Malgun Gothic" w:hAnsi="Lato"/>
                          <w:sz w:val="24"/>
                          <w:szCs w:val="24"/>
                        </w:rPr>
                      </w:pPr>
                      <w:r w:rsidRPr="006E0158">
                        <w:rPr>
                          <w:rFonts w:ascii="Lato" w:eastAsia="Malgun Gothic" w:hAnsi="Lato"/>
                          <w:sz w:val="24"/>
                          <w:szCs w:val="24"/>
                        </w:rPr>
                        <w:t xml:space="preserve">Rysunek </w:t>
                      </w:r>
                      <w:r w:rsidR="001B1D8F">
                        <w:rPr>
                          <w:rFonts w:ascii="Lato" w:eastAsia="Malgun Gothic" w:hAnsi="Lato"/>
                          <w:sz w:val="24"/>
                          <w:szCs w:val="24"/>
                        </w:rPr>
                        <w:t>6</w:t>
                      </w:r>
                      <w:r w:rsidRPr="006E0158">
                        <w:rPr>
                          <w:rFonts w:ascii="Lato" w:eastAsia="Malgun Gothic" w:hAnsi="Lato"/>
                          <w:sz w:val="24"/>
                          <w:szCs w:val="24"/>
                        </w:rPr>
                        <w:t>. Gazociągi wysokiego ciśnienia systemu zaazotowanego</w:t>
                      </w:r>
                      <w:r w:rsidR="00DF67CF">
                        <w:rPr>
                          <w:rFonts w:ascii="Lato" w:eastAsia="Malgun Gothic" w:hAnsi="Lato"/>
                          <w:sz w:val="24"/>
                          <w:szCs w:val="24"/>
                        </w:rPr>
                        <w:t xml:space="preserve"> Lw </w:t>
                      </w:r>
                      <w:r w:rsidRPr="006E0158">
                        <w:rPr>
                          <w:rFonts w:ascii="Lato" w:eastAsia="Malgun Gothic" w:hAnsi="Lato"/>
                          <w:sz w:val="24"/>
                          <w:szCs w:val="24"/>
                        </w:rPr>
                        <w:t xml:space="preserve"> wg. kategorii ciśnień w 2022 r. [MPa]</w:t>
                      </w:r>
                    </w:p>
                  </w:txbxContent>
                </v:textbox>
                <w10:wrap type="topAndBottom" anchorx="margin"/>
              </v:shape>
            </w:pict>
          </mc:Fallback>
        </mc:AlternateContent>
      </w:r>
      <w:r w:rsidR="006E2831" w:rsidRPr="00223D99">
        <w:rPr>
          <w:rFonts w:ascii="Lato" w:eastAsia="Malgun Gothic" w:hAnsi="Lato" w:cs="Calibri"/>
          <w:i/>
          <w:sz w:val="20"/>
          <w:szCs w:val="20"/>
        </w:rPr>
        <w:t>Ź</w:t>
      </w:r>
      <w:r w:rsidR="006E2831" w:rsidRPr="00223D99">
        <w:rPr>
          <w:rFonts w:ascii="Lato" w:eastAsia="Malgun Gothic" w:hAnsi="Lato"/>
          <w:i/>
          <w:sz w:val="20"/>
          <w:szCs w:val="20"/>
        </w:rPr>
        <w:t>r</w:t>
      </w:r>
      <w:r w:rsidR="006E2831" w:rsidRPr="00223D99">
        <w:rPr>
          <w:rFonts w:ascii="Lato" w:eastAsia="Malgun Gothic" w:hAnsi="Lato" w:cs="Malgun Gothic"/>
          <w:i/>
          <w:sz w:val="20"/>
          <w:szCs w:val="20"/>
        </w:rPr>
        <w:t>ó</w:t>
      </w:r>
      <w:r w:rsidR="006E2831" w:rsidRPr="00223D99">
        <w:rPr>
          <w:rFonts w:ascii="Lato" w:eastAsia="Malgun Gothic" w:hAnsi="Lato"/>
          <w:i/>
          <w:sz w:val="20"/>
          <w:szCs w:val="20"/>
        </w:rPr>
        <w:t>d</w:t>
      </w:r>
      <w:r w:rsidR="006E2831" w:rsidRPr="00223D99">
        <w:rPr>
          <w:rFonts w:ascii="Lato" w:eastAsia="Malgun Gothic" w:hAnsi="Lato" w:cs="Malgun Gothic"/>
          <w:i/>
          <w:sz w:val="20"/>
          <w:szCs w:val="20"/>
        </w:rPr>
        <w:t>ł</w:t>
      </w:r>
      <w:r w:rsidR="006E2831" w:rsidRPr="00223D99">
        <w:rPr>
          <w:rFonts w:ascii="Lato" w:eastAsia="Malgun Gothic" w:hAnsi="Lato"/>
          <w:i/>
          <w:sz w:val="20"/>
          <w:szCs w:val="20"/>
        </w:rPr>
        <w:t xml:space="preserve">o: OGP GAZ-SYSTEM S.A. </w:t>
      </w:r>
    </w:p>
    <w:p w14:paraId="5A5DB239" w14:textId="18C4F4F9" w:rsidR="00B03DBA" w:rsidRPr="00C758B1" w:rsidRDefault="00934713" w:rsidP="00983C18">
      <w:pPr>
        <w:pStyle w:val="Tekstzwyky"/>
        <w:jc w:val="center"/>
        <w:rPr>
          <w:rFonts w:ascii="Lato" w:eastAsia="Malgun Gothic" w:hAnsi="Lato"/>
          <w:i/>
        </w:rPr>
      </w:pPr>
      <w:r w:rsidRPr="00C758B1">
        <w:rPr>
          <w:rFonts w:ascii="Lato" w:eastAsia="Malgun Gothic" w:hAnsi="Lato"/>
          <w:noProof/>
          <w:lang w:eastAsia="pl-PL"/>
        </w:rPr>
        <w:drawing>
          <wp:inline distT="0" distB="0" distL="0" distR="0" wp14:anchorId="20916215" wp14:editId="4D34B7C3">
            <wp:extent cx="4258101" cy="2906974"/>
            <wp:effectExtent l="0" t="0" r="0" b="0"/>
            <wp:docPr id="16"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AFC7463" w14:textId="2C5C97D1" w:rsidR="004D6A74" w:rsidRPr="006E0158" w:rsidRDefault="004D6A74" w:rsidP="004D6A74">
      <w:pPr>
        <w:tabs>
          <w:tab w:val="left" w:pos="10440"/>
        </w:tabs>
        <w:spacing w:line="276" w:lineRule="auto"/>
        <w:ind w:right="23"/>
        <w:rPr>
          <w:rFonts w:ascii="Lato" w:eastAsia="Malgun Gothic" w:hAnsi="Lato"/>
          <w:i/>
          <w:sz w:val="20"/>
          <w:szCs w:val="20"/>
        </w:rPr>
      </w:pPr>
      <w:r w:rsidRPr="006E0158">
        <w:rPr>
          <w:rFonts w:ascii="Lato" w:eastAsia="Malgun Gothic" w:hAnsi="Lato" w:cs="Calibri"/>
          <w:i/>
          <w:sz w:val="20"/>
          <w:szCs w:val="20"/>
        </w:rPr>
        <w:t>Ź</w:t>
      </w:r>
      <w:r w:rsidRPr="006E0158">
        <w:rPr>
          <w:rFonts w:ascii="Lato" w:eastAsia="Malgun Gothic" w:hAnsi="Lato"/>
          <w:i/>
          <w:sz w:val="20"/>
          <w:szCs w:val="20"/>
        </w:rPr>
        <w:t>r</w:t>
      </w:r>
      <w:r w:rsidRPr="006E0158">
        <w:rPr>
          <w:rFonts w:ascii="Lato" w:eastAsia="Malgun Gothic" w:hAnsi="Lato" w:cs="Malgun Gothic"/>
          <w:i/>
          <w:sz w:val="20"/>
          <w:szCs w:val="20"/>
        </w:rPr>
        <w:t>ó</w:t>
      </w:r>
      <w:r w:rsidRPr="006E0158">
        <w:rPr>
          <w:rFonts w:ascii="Lato" w:eastAsia="Malgun Gothic" w:hAnsi="Lato"/>
          <w:i/>
          <w:sz w:val="20"/>
          <w:szCs w:val="20"/>
        </w:rPr>
        <w:t>d</w:t>
      </w:r>
      <w:r w:rsidRPr="006E0158">
        <w:rPr>
          <w:rFonts w:ascii="Lato" w:eastAsia="Malgun Gothic" w:hAnsi="Lato" w:cs="Malgun Gothic"/>
          <w:i/>
          <w:sz w:val="20"/>
          <w:szCs w:val="20"/>
        </w:rPr>
        <w:t>ł</w:t>
      </w:r>
      <w:r w:rsidRPr="006E0158">
        <w:rPr>
          <w:rFonts w:ascii="Lato" w:eastAsia="Malgun Gothic" w:hAnsi="Lato"/>
          <w:i/>
          <w:sz w:val="20"/>
          <w:szCs w:val="20"/>
        </w:rPr>
        <w:t>o: OGP GAZ-SYSTEM S.A.</w:t>
      </w:r>
    </w:p>
    <w:p w14:paraId="78E79A35" w14:textId="62789D7E" w:rsidR="00875411" w:rsidRPr="00CE63C5" w:rsidRDefault="00875411" w:rsidP="00983C18">
      <w:pPr>
        <w:pStyle w:val="Tekstzwyky"/>
        <w:rPr>
          <w:rFonts w:ascii="Lato" w:hAnsi="Lato"/>
        </w:rPr>
        <w:sectPr w:rsidR="00875411" w:rsidRPr="00CE63C5" w:rsidSect="00CE72DC">
          <w:type w:val="continuous"/>
          <w:pgSz w:w="11906" w:h="16838"/>
          <w:pgMar w:top="1417" w:right="1417" w:bottom="1417" w:left="1417" w:header="708" w:footer="708" w:gutter="0"/>
          <w:cols w:space="708"/>
          <w:docGrid w:linePitch="360"/>
        </w:sectPr>
      </w:pPr>
    </w:p>
    <w:p w14:paraId="6813E122" w14:textId="1A349CE7" w:rsidR="00B03DBA" w:rsidRDefault="00C7771E" w:rsidP="00934713">
      <w:pPr>
        <w:pStyle w:val="Tekstzwyky"/>
        <w:spacing w:after="60"/>
        <w:rPr>
          <w:rFonts w:ascii="Lato" w:hAnsi="Lato"/>
        </w:rPr>
      </w:pPr>
      <w:r w:rsidRPr="00223D99">
        <w:rPr>
          <w:rFonts w:ascii="Lato" w:hAnsi="Lato"/>
        </w:rPr>
        <w:lastRenderedPageBreak/>
        <w:tab/>
        <w:t xml:space="preserve">System przesyłowy gazu ziemnego zaazotowanego </w:t>
      </w:r>
      <w:r w:rsidR="00DF67CF">
        <w:rPr>
          <w:rFonts w:ascii="Lato" w:hAnsi="Lato"/>
        </w:rPr>
        <w:t xml:space="preserve">Lw </w:t>
      </w:r>
      <w:r w:rsidRPr="00223D99">
        <w:rPr>
          <w:rFonts w:ascii="Lato" w:hAnsi="Lato"/>
        </w:rPr>
        <w:t xml:space="preserve">obejmuje swoim zasięgiem fragmenty zachodniej Polski na obszarze 3 województw: lubuskiego, wielkopolskiego oraz dolnośląskiego. </w:t>
      </w:r>
      <w:r w:rsidRPr="00C758B1">
        <w:rPr>
          <w:rFonts w:ascii="Lato" w:hAnsi="Lato"/>
        </w:rPr>
        <w:t>System ten</w:t>
      </w:r>
      <w:r w:rsidRPr="00223D99">
        <w:rPr>
          <w:rFonts w:ascii="Lato" w:hAnsi="Lato"/>
        </w:rPr>
        <w:t xml:space="preserve"> zasilany jest gazem ze złóż zlokalizowanych na Niżu Polskim przez kopalnie gazu: Kościan-Brońsko, Radlin, Kaleje (Mchy). Dodatkowo system gazu zaazotowanego zasilany jest gazem z kopalń Wielichowo, Paproć, Lubiatów, który do dosięgnięcia parametrów gazu ziemnego podgrupy Lw potrzebuje domieszania gazu wysokometanowego w mieszalni gazu Grodzisk Wielkopolski. Wykorzystywany w procesie mieszania gaz ziemny wysokometanowy pochodzi z</w:t>
      </w:r>
      <w:r w:rsidR="0067393E">
        <w:rPr>
          <w:rFonts w:ascii="Lato" w:hAnsi="Lato"/>
        </w:rPr>
        <w:t xml:space="preserve"> </w:t>
      </w:r>
      <w:r w:rsidRPr="00223D99">
        <w:rPr>
          <w:rFonts w:ascii="Lato" w:hAnsi="Lato"/>
        </w:rPr>
        <w:t xml:space="preserve">Odazotowni Grodzisk, w której z gazu ziemnego zaazotowanego w procesie kriogenicznym uzyskuje się gaz ziemny wysokometanowy. </w:t>
      </w:r>
    </w:p>
    <w:p w14:paraId="76668A2C" w14:textId="632BDF78" w:rsidR="00DF3AC8" w:rsidRPr="00223D99" w:rsidRDefault="00537A84" w:rsidP="00270AE5">
      <w:pPr>
        <w:pStyle w:val="Tekstzwyky"/>
        <w:spacing w:after="60"/>
        <w:rPr>
          <w:rFonts w:ascii="Lato" w:hAnsi="Lato"/>
        </w:rPr>
      </w:pPr>
      <w:r>
        <w:rPr>
          <w:rFonts w:ascii="Lato" w:hAnsi="Lato"/>
        </w:rPr>
        <w:tab/>
      </w:r>
      <w:r w:rsidRPr="00537A84">
        <w:rPr>
          <w:rFonts w:ascii="Lato" w:hAnsi="Lato"/>
        </w:rPr>
        <w:t xml:space="preserve">System przesyłowy gazu ziemnego zaazotowanego </w:t>
      </w:r>
      <w:r w:rsidR="00DF67CF">
        <w:rPr>
          <w:rFonts w:ascii="Lato" w:hAnsi="Lato"/>
        </w:rPr>
        <w:t xml:space="preserve">Lw </w:t>
      </w:r>
      <w:r w:rsidRPr="00537A84">
        <w:rPr>
          <w:rFonts w:ascii="Lato" w:hAnsi="Lato"/>
        </w:rPr>
        <w:t>nie jest bezpośrednio połączony z systemem przesyłowym gazu ziemnego wysokometanowego. Pomimo istniejących infrastrukturalnych połączeń pomiędzy obydwoma systemami, takimi jak odazotowanie czy też mieszalnie gazu ziemnego, specyfika techniczna oraz przynależność do różnych podmiotów nie pozwalają na swobodne przesyłanie gazu ziemnego pomiędzy nimi</w:t>
      </w:r>
      <w:r w:rsidR="00DF3AC8">
        <w:rPr>
          <w:rFonts w:ascii="Lato" w:hAnsi="Lato"/>
        </w:rPr>
        <w:t>.</w:t>
      </w:r>
    </w:p>
    <w:p w14:paraId="5DB0B52F" w14:textId="01E1269A" w:rsidR="00B03DBA" w:rsidRPr="00934713" w:rsidRDefault="00DF3AC8" w:rsidP="00983C18">
      <w:pPr>
        <w:pStyle w:val="Tabela"/>
        <w:rPr>
          <w:rFonts w:ascii="Lato" w:hAnsi="Lato"/>
          <w:b w:val="0"/>
        </w:rPr>
      </w:pPr>
      <w:r w:rsidRPr="00934713">
        <w:rPr>
          <w:rFonts w:ascii="Lato" w:hAnsi="Lato"/>
          <w:noProof/>
        </w:rPr>
        <w:drawing>
          <wp:anchor distT="0" distB="0" distL="114300" distR="114300" simplePos="0" relativeHeight="251658240" behindDoc="0" locked="0" layoutInCell="1" allowOverlap="1" wp14:anchorId="0DC252C4" wp14:editId="254CD362">
            <wp:simplePos x="0" y="0"/>
            <wp:positionH relativeFrom="margin">
              <wp:posOffset>83820</wp:posOffset>
            </wp:positionH>
            <wp:positionV relativeFrom="paragraph">
              <wp:posOffset>247650</wp:posOffset>
            </wp:positionV>
            <wp:extent cx="4279900" cy="4209415"/>
            <wp:effectExtent l="0" t="0" r="6350" b="635"/>
            <wp:wrapTopAndBottom/>
            <wp:docPr id="1479" name="Obraz 1479" descr="Obraz zawierający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Obraz zawierający mapa&#10;&#10;Opis wygenerowany automatyczni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79900" cy="4209415"/>
                    </a:xfrm>
                    <a:prstGeom prst="rect">
                      <a:avLst/>
                    </a:prstGeom>
                  </pic:spPr>
                </pic:pic>
              </a:graphicData>
            </a:graphic>
            <wp14:sizeRelH relativeFrom="page">
              <wp14:pctWidth>0</wp14:pctWidth>
            </wp14:sizeRelH>
            <wp14:sizeRelV relativeFrom="page">
              <wp14:pctHeight>0</wp14:pctHeight>
            </wp14:sizeRelV>
          </wp:anchor>
        </w:drawing>
      </w:r>
      <w:r w:rsidR="00C7771E" w:rsidRPr="00934713">
        <w:rPr>
          <w:rFonts w:ascii="Lato" w:hAnsi="Lato"/>
        </w:rPr>
        <w:t xml:space="preserve">Rysunek </w:t>
      </w:r>
      <w:r w:rsidR="001B1D8F" w:rsidRPr="00934713">
        <w:rPr>
          <w:rFonts w:ascii="Lato" w:hAnsi="Lato"/>
        </w:rPr>
        <w:t>7</w:t>
      </w:r>
      <w:r w:rsidR="00C7771E" w:rsidRPr="00934713">
        <w:rPr>
          <w:rFonts w:ascii="Lato" w:hAnsi="Lato"/>
        </w:rPr>
        <w:t>. System przesyłowy gazu ziemnego zaazotowanego</w:t>
      </w:r>
      <w:r w:rsidR="006419C4">
        <w:rPr>
          <w:rFonts w:ascii="Lato" w:hAnsi="Lato"/>
        </w:rPr>
        <w:t xml:space="preserve"> Lw</w:t>
      </w:r>
    </w:p>
    <w:p w14:paraId="77755E99" w14:textId="45CAACC5" w:rsidR="00B03DBA" w:rsidRDefault="00C7771E" w:rsidP="00934713">
      <w:pPr>
        <w:tabs>
          <w:tab w:val="left" w:pos="10440"/>
        </w:tabs>
        <w:spacing w:before="360" w:after="120" w:line="276" w:lineRule="auto"/>
        <w:ind w:right="23"/>
        <w:rPr>
          <w:rFonts w:ascii="Lato" w:hAnsi="Lato"/>
          <w:i/>
          <w:sz w:val="20"/>
          <w:szCs w:val="20"/>
        </w:rPr>
      </w:pPr>
      <w:r w:rsidRPr="004D6A74">
        <w:rPr>
          <w:rFonts w:ascii="Lato" w:hAnsi="Lato"/>
          <w:i/>
          <w:sz w:val="20"/>
          <w:szCs w:val="20"/>
        </w:rPr>
        <w:t>Źródło: OGP Gaz-System S.A.</w:t>
      </w:r>
    </w:p>
    <w:p w14:paraId="1D616162" w14:textId="77777777" w:rsidR="00934713" w:rsidRPr="004D6A74" w:rsidRDefault="00934713" w:rsidP="00934713">
      <w:pPr>
        <w:tabs>
          <w:tab w:val="left" w:pos="10440"/>
        </w:tabs>
        <w:spacing w:before="240" w:after="120" w:line="276" w:lineRule="auto"/>
        <w:ind w:right="23"/>
        <w:rPr>
          <w:rFonts w:ascii="Lato" w:hAnsi="Lato"/>
          <w:i/>
          <w:sz w:val="20"/>
          <w:szCs w:val="20"/>
        </w:rPr>
      </w:pPr>
    </w:p>
    <w:p w14:paraId="6CBAFFC7" w14:textId="77777777" w:rsidR="00B03DBA" w:rsidRPr="00DF3AC8" w:rsidRDefault="00C7771E" w:rsidP="00934713">
      <w:pPr>
        <w:pStyle w:val="Rozdzia4"/>
        <w:spacing w:after="120"/>
        <w:rPr>
          <w:rFonts w:ascii="Lato" w:hAnsi="Lato"/>
          <w:sz w:val="24"/>
        </w:rPr>
      </w:pPr>
      <w:bookmarkStart w:id="32" w:name="_Toc12287739"/>
      <w:r w:rsidRPr="00DF3AC8">
        <w:rPr>
          <w:rFonts w:ascii="Lato" w:hAnsi="Lato"/>
          <w:sz w:val="24"/>
        </w:rPr>
        <w:lastRenderedPageBreak/>
        <w:t>Krajowy system dystrybucyjny</w:t>
      </w:r>
      <w:bookmarkEnd w:id="32"/>
      <w:r w:rsidRPr="00DF3AC8">
        <w:rPr>
          <w:rFonts w:ascii="Lato" w:hAnsi="Lato"/>
          <w:sz w:val="24"/>
        </w:rPr>
        <w:t xml:space="preserve"> </w:t>
      </w:r>
    </w:p>
    <w:p w14:paraId="4AE8D75E" w14:textId="0E63EB76" w:rsidR="00934713" w:rsidRPr="00270AE5" w:rsidRDefault="00C7771E" w:rsidP="00270AE5">
      <w:pPr>
        <w:spacing w:line="276" w:lineRule="auto"/>
        <w:ind w:firstLine="567"/>
        <w:rPr>
          <w:rFonts w:ascii="Lato" w:eastAsia="Malgun Gothic" w:hAnsi="Lato"/>
          <w:szCs w:val="24"/>
        </w:rPr>
      </w:pPr>
      <w:r w:rsidRPr="00080801">
        <w:rPr>
          <w:rFonts w:ascii="Lato" w:hAnsi="Lato"/>
          <w:sz w:val="32"/>
          <w:szCs w:val="28"/>
        </w:rPr>
        <w:tab/>
      </w:r>
      <w:r w:rsidR="006E2831" w:rsidRPr="00080801">
        <w:rPr>
          <w:rFonts w:ascii="Lato" w:eastAsia="Malgun Gothic" w:hAnsi="Lato"/>
          <w:szCs w:val="24"/>
        </w:rPr>
        <w:t>Na krajowy system dystrybucyjny składa si</w:t>
      </w:r>
      <w:r w:rsidR="006E2831" w:rsidRPr="00080801">
        <w:rPr>
          <w:rFonts w:ascii="Lato" w:eastAsia="Malgun Gothic" w:hAnsi="Lato" w:cs="Calibri"/>
          <w:szCs w:val="24"/>
        </w:rPr>
        <w:t>ę</w:t>
      </w:r>
      <w:r w:rsidR="006E2831" w:rsidRPr="00080801">
        <w:rPr>
          <w:rFonts w:ascii="Lato" w:eastAsia="Malgun Gothic" w:hAnsi="Lato"/>
          <w:szCs w:val="24"/>
        </w:rPr>
        <w:t xml:space="preserve"> ponad 158 tys. km sieci dystrybucyjnej oraz 55,85 tys. km czynnych przył</w:t>
      </w:r>
      <w:r w:rsidR="006E2831" w:rsidRPr="00080801">
        <w:rPr>
          <w:rFonts w:ascii="Lato" w:eastAsia="Malgun Gothic" w:hAnsi="Lato" w:cs="Calibri"/>
          <w:szCs w:val="24"/>
        </w:rPr>
        <w:t>ą</w:t>
      </w:r>
      <w:r w:rsidR="006E2831" w:rsidRPr="00080801">
        <w:rPr>
          <w:rFonts w:ascii="Lato" w:eastAsia="Malgun Gothic" w:hAnsi="Lato"/>
          <w:szCs w:val="24"/>
        </w:rPr>
        <w:t>czy. Działalno</w:t>
      </w:r>
      <w:r w:rsidR="006E2831" w:rsidRPr="00080801">
        <w:rPr>
          <w:rFonts w:ascii="Lato" w:eastAsia="Malgun Gothic" w:hAnsi="Lato" w:cs="Calibri"/>
          <w:szCs w:val="24"/>
        </w:rPr>
        <w:t>ść</w:t>
      </w:r>
      <w:r w:rsidR="006E2831" w:rsidRPr="00080801">
        <w:rPr>
          <w:rFonts w:ascii="Lato" w:eastAsia="Malgun Gothic" w:hAnsi="Lato"/>
          <w:szCs w:val="24"/>
        </w:rPr>
        <w:t xml:space="preserve"> w obszarze dystrybucji gazu ziemnego w Polsce w 2022 r. prowadzi</w:t>
      </w:r>
      <w:r w:rsidR="006E2831" w:rsidRPr="00080801">
        <w:rPr>
          <w:rFonts w:ascii="Lato" w:eastAsia="Malgun Gothic" w:hAnsi="Lato" w:cs="Malgun Gothic"/>
          <w:szCs w:val="24"/>
        </w:rPr>
        <w:t>ł</w:t>
      </w:r>
      <w:r w:rsidR="006E2831" w:rsidRPr="00080801">
        <w:rPr>
          <w:rFonts w:ascii="Lato" w:eastAsia="Malgun Gothic" w:hAnsi="Lato"/>
          <w:szCs w:val="24"/>
        </w:rPr>
        <w:t>o 51 operatorów systemów dystrybucyjnych wyznaczonych w drodze decyzji przez Prezesa URE, w tym jeden podlegaj</w:t>
      </w:r>
      <w:r w:rsidR="006E2831" w:rsidRPr="00080801">
        <w:rPr>
          <w:rFonts w:ascii="Lato" w:eastAsia="Malgun Gothic" w:hAnsi="Lato" w:cs="Calibri"/>
          <w:szCs w:val="24"/>
        </w:rPr>
        <w:t>ą</w:t>
      </w:r>
      <w:r w:rsidR="006E2831" w:rsidRPr="00080801">
        <w:rPr>
          <w:rFonts w:ascii="Lato" w:eastAsia="Malgun Gothic" w:hAnsi="Lato"/>
          <w:szCs w:val="24"/>
        </w:rPr>
        <w:t>cy wymogom prawnego i funkcjonalnego wydzielenia od innych rodzaj</w:t>
      </w:r>
      <w:r w:rsidR="006E2831" w:rsidRPr="00080801">
        <w:rPr>
          <w:rFonts w:ascii="Lato" w:eastAsia="Malgun Gothic" w:hAnsi="Lato" w:cs="Malgun Gothic"/>
          <w:szCs w:val="24"/>
        </w:rPr>
        <w:t>ó</w:t>
      </w:r>
      <w:r w:rsidR="006E2831" w:rsidRPr="00080801">
        <w:rPr>
          <w:rFonts w:ascii="Lato" w:eastAsia="Malgun Gothic" w:hAnsi="Lato"/>
          <w:szCs w:val="24"/>
        </w:rPr>
        <w:t>w działalno</w:t>
      </w:r>
      <w:r w:rsidR="006E2831" w:rsidRPr="00080801">
        <w:rPr>
          <w:rFonts w:ascii="Lato" w:eastAsia="Malgun Gothic" w:hAnsi="Lato" w:cs="Calibri"/>
          <w:szCs w:val="24"/>
        </w:rPr>
        <w:t>ś</w:t>
      </w:r>
      <w:r w:rsidR="006E2831" w:rsidRPr="00080801">
        <w:rPr>
          <w:rFonts w:ascii="Lato" w:eastAsia="Malgun Gothic" w:hAnsi="Lato"/>
          <w:szCs w:val="24"/>
        </w:rPr>
        <w:t xml:space="preserve">ci </w:t>
      </w:r>
      <w:r w:rsidR="006E2831" w:rsidRPr="00080801">
        <w:rPr>
          <w:rFonts w:ascii="Lato" w:eastAsia="Malgun Gothic" w:hAnsi="Lato" w:cs="Malgun Gothic"/>
          <w:szCs w:val="24"/>
        </w:rPr>
        <w:t>–</w:t>
      </w:r>
      <w:r w:rsidR="006E2831" w:rsidRPr="00080801">
        <w:rPr>
          <w:rFonts w:ascii="Lato" w:eastAsia="Malgun Gothic" w:hAnsi="Lato"/>
          <w:szCs w:val="24"/>
        </w:rPr>
        <w:t xml:space="preserve"> PSG sp. z o.o. Sp</w:t>
      </w:r>
      <w:r w:rsidR="006E2831" w:rsidRPr="00080801">
        <w:rPr>
          <w:rFonts w:ascii="Lato" w:eastAsia="Malgun Gothic" w:hAnsi="Lato" w:cs="Malgun Gothic"/>
          <w:szCs w:val="24"/>
        </w:rPr>
        <w:t>ół</w:t>
      </w:r>
      <w:r w:rsidR="006E2831" w:rsidRPr="00080801">
        <w:rPr>
          <w:rFonts w:ascii="Lato" w:eastAsia="Malgun Gothic" w:hAnsi="Lato"/>
          <w:szCs w:val="24"/>
        </w:rPr>
        <w:t>ka ta zarz</w:t>
      </w:r>
      <w:r w:rsidR="006E2831" w:rsidRPr="00080801">
        <w:rPr>
          <w:rFonts w:ascii="Lato" w:eastAsia="Malgun Gothic" w:hAnsi="Lato" w:cs="Calibri"/>
          <w:szCs w:val="24"/>
        </w:rPr>
        <w:t>ą</w:t>
      </w:r>
      <w:r w:rsidR="006E2831" w:rsidRPr="00080801">
        <w:rPr>
          <w:rFonts w:ascii="Lato" w:eastAsia="Malgun Gothic" w:hAnsi="Lato"/>
          <w:szCs w:val="24"/>
        </w:rPr>
        <w:t>dzała w 2022 r. 95,9% sieci dystrybucyjnej w kraju. Pozostałe ok. 4,1% sieci dystrybucyjnych było własno</w:t>
      </w:r>
      <w:r w:rsidR="006E2831" w:rsidRPr="00080801">
        <w:rPr>
          <w:rFonts w:ascii="Lato" w:eastAsia="Malgun Gothic" w:hAnsi="Lato" w:cs="Calibri"/>
          <w:szCs w:val="24"/>
        </w:rPr>
        <w:t>ś</w:t>
      </w:r>
      <w:r w:rsidR="006E2831" w:rsidRPr="00080801">
        <w:rPr>
          <w:rFonts w:ascii="Lato" w:eastAsia="Malgun Gothic" w:hAnsi="Lato"/>
          <w:szCs w:val="24"/>
        </w:rPr>
        <w:t>ci</w:t>
      </w:r>
      <w:r w:rsidR="006E2831" w:rsidRPr="00080801">
        <w:rPr>
          <w:rFonts w:ascii="Lato" w:eastAsia="Malgun Gothic" w:hAnsi="Lato" w:cs="Calibri"/>
          <w:szCs w:val="24"/>
        </w:rPr>
        <w:t>ą</w:t>
      </w:r>
      <w:r w:rsidR="006E2831" w:rsidRPr="00080801">
        <w:rPr>
          <w:rFonts w:ascii="Lato" w:eastAsia="Malgun Gothic" w:hAnsi="Lato"/>
          <w:szCs w:val="24"/>
        </w:rPr>
        <w:t xml:space="preserve"> innych sp</w:t>
      </w:r>
      <w:r w:rsidR="006E2831" w:rsidRPr="00080801">
        <w:rPr>
          <w:rFonts w:ascii="Lato" w:eastAsia="Malgun Gothic" w:hAnsi="Lato" w:cs="Malgun Gothic"/>
          <w:szCs w:val="24"/>
        </w:rPr>
        <w:t>ół</w:t>
      </w:r>
      <w:r w:rsidR="006E2831" w:rsidRPr="00080801">
        <w:rPr>
          <w:rFonts w:ascii="Lato" w:eastAsia="Malgun Gothic" w:hAnsi="Lato"/>
          <w:szCs w:val="24"/>
        </w:rPr>
        <w:t>ek prowadz</w:t>
      </w:r>
      <w:r w:rsidR="006E2831" w:rsidRPr="00080801">
        <w:rPr>
          <w:rFonts w:ascii="Lato" w:eastAsia="Malgun Gothic" w:hAnsi="Lato" w:cs="Calibri"/>
          <w:szCs w:val="24"/>
        </w:rPr>
        <w:t>ą</w:t>
      </w:r>
      <w:r w:rsidR="006E2831" w:rsidRPr="00080801">
        <w:rPr>
          <w:rFonts w:ascii="Lato" w:eastAsia="Malgun Gothic" w:hAnsi="Lato"/>
          <w:szCs w:val="24"/>
        </w:rPr>
        <w:t>cych dzia</w:t>
      </w:r>
      <w:r w:rsidR="006E2831" w:rsidRPr="00080801">
        <w:rPr>
          <w:rFonts w:ascii="Lato" w:eastAsia="Malgun Gothic" w:hAnsi="Lato" w:cs="Malgun Gothic"/>
          <w:szCs w:val="24"/>
        </w:rPr>
        <w:t>ł</w:t>
      </w:r>
      <w:r w:rsidR="006E2831" w:rsidRPr="00080801">
        <w:rPr>
          <w:rFonts w:ascii="Lato" w:eastAsia="Malgun Gothic" w:hAnsi="Lato"/>
          <w:szCs w:val="24"/>
        </w:rPr>
        <w:t>alno</w:t>
      </w:r>
      <w:r w:rsidR="006E2831" w:rsidRPr="00080801">
        <w:rPr>
          <w:rFonts w:ascii="Lato" w:eastAsia="Malgun Gothic" w:hAnsi="Lato" w:cs="Calibri"/>
          <w:szCs w:val="24"/>
        </w:rPr>
        <w:t>ść</w:t>
      </w:r>
      <w:r w:rsidR="006E2831" w:rsidRPr="00080801">
        <w:rPr>
          <w:rFonts w:ascii="Lato" w:eastAsia="Malgun Gothic" w:hAnsi="Lato"/>
          <w:szCs w:val="24"/>
        </w:rPr>
        <w:t xml:space="preserve"> dystrybucyjn</w:t>
      </w:r>
      <w:r w:rsidR="006E2831" w:rsidRPr="00080801">
        <w:rPr>
          <w:rFonts w:ascii="Lato" w:eastAsia="Malgun Gothic" w:hAnsi="Lato" w:cs="Calibri"/>
          <w:szCs w:val="24"/>
        </w:rPr>
        <w:t>ą</w:t>
      </w:r>
      <w:r w:rsidR="006E2831" w:rsidRPr="00080801">
        <w:rPr>
          <w:rFonts w:ascii="Lato" w:eastAsia="Malgun Gothic" w:hAnsi="Lato"/>
          <w:szCs w:val="24"/>
        </w:rPr>
        <w:t xml:space="preserve"> o charakterze lokalnym.</w:t>
      </w:r>
    </w:p>
    <w:p w14:paraId="04DD1F62" w14:textId="593921A2" w:rsidR="006E2831" w:rsidRPr="006E0158" w:rsidRDefault="006E2831" w:rsidP="00270AE5">
      <w:pPr>
        <w:spacing w:before="240" w:after="240" w:line="276" w:lineRule="auto"/>
        <w:rPr>
          <w:rFonts w:ascii="Lato" w:eastAsia="Malgun Gothic" w:hAnsi="Lato"/>
          <w:b/>
          <w:bCs/>
          <w:szCs w:val="24"/>
        </w:rPr>
      </w:pPr>
      <w:r w:rsidRPr="006E0158">
        <w:rPr>
          <w:rFonts w:ascii="Lato" w:eastAsia="Malgun Gothic" w:hAnsi="Lato"/>
          <w:b/>
          <w:bCs/>
          <w:szCs w:val="24"/>
        </w:rPr>
        <w:t xml:space="preserve">Rysunek </w:t>
      </w:r>
      <w:r w:rsidR="001B1D8F">
        <w:rPr>
          <w:rFonts w:ascii="Lato" w:eastAsia="Malgun Gothic" w:hAnsi="Lato"/>
          <w:b/>
          <w:bCs/>
          <w:szCs w:val="24"/>
        </w:rPr>
        <w:t>8</w:t>
      </w:r>
      <w:r w:rsidRPr="006E0158">
        <w:rPr>
          <w:rFonts w:ascii="Lato" w:eastAsia="Malgun Gothic" w:hAnsi="Lato"/>
          <w:b/>
          <w:bCs/>
          <w:szCs w:val="24"/>
        </w:rPr>
        <w:t xml:space="preserve">. System dystrybucyjny gazu ziemnego zarządzany przez PSG </w:t>
      </w:r>
      <w:r w:rsidR="00C628AC">
        <w:rPr>
          <w:rFonts w:ascii="Lato" w:eastAsia="Malgun Gothic" w:hAnsi="Lato"/>
          <w:b/>
          <w:bCs/>
          <w:szCs w:val="24"/>
        </w:rPr>
        <w:t>s</w:t>
      </w:r>
      <w:r w:rsidRPr="006E0158">
        <w:rPr>
          <w:rFonts w:ascii="Lato" w:eastAsia="Malgun Gothic" w:hAnsi="Lato"/>
          <w:b/>
          <w:bCs/>
          <w:szCs w:val="24"/>
        </w:rPr>
        <w:t>p. z o.o. (kolor pomarańczowy)</w:t>
      </w:r>
    </w:p>
    <w:p w14:paraId="3209AF25" w14:textId="77777777" w:rsidR="006E2831" w:rsidRPr="00C758B1" w:rsidRDefault="006E2831" w:rsidP="00983C18">
      <w:pPr>
        <w:spacing w:line="276" w:lineRule="auto"/>
        <w:jc w:val="center"/>
        <w:rPr>
          <w:rFonts w:ascii="Lato" w:eastAsia="Malgun Gothic" w:hAnsi="Lato"/>
          <w:b/>
          <w:bCs/>
          <w:sz w:val="20"/>
          <w:szCs w:val="20"/>
        </w:rPr>
      </w:pPr>
      <w:r w:rsidRPr="00C758B1">
        <w:rPr>
          <w:rFonts w:ascii="Lato" w:eastAsia="Malgun Gothic" w:hAnsi="Lato"/>
          <w:noProof/>
          <w:sz w:val="20"/>
          <w:szCs w:val="20"/>
        </w:rPr>
        <w:drawing>
          <wp:inline distT="0" distB="0" distL="0" distR="0" wp14:anchorId="4AE752E3" wp14:editId="4994AA01">
            <wp:extent cx="4117214" cy="3657600"/>
            <wp:effectExtent l="0" t="0" r="7620" b="635"/>
            <wp:docPr id="2" name="Obraz 2" descr="Obraz zawierający mapa, tekst,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Obraz zawierający mapa, tekst, atlas&#10;&#10;Opis wygenerowany automatycznie"/>
                    <pic:cNvPicPr/>
                  </pic:nvPicPr>
                  <pic:blipFill rotWithShape="1">
                    <a:blip r:embed="rId33"/>
                    <a:srcRect l="1115" t="796" r="1045" b="1814"/>
                    <a:stretch>
                      <a:fillRect/>
                    </a:stretch>
                  </pic:blipFill>
                  <pic:spPr bwMode="auto">
                    <a:xfrm>
                      <a:off x="0" y="0"/>
                      <a:ext cx="4117214" cy="3657600"/>
                    </a:xfrm>
                    <a:prstGeom prst="rect">
                      <a:avLst/>
                    </a:prstGeom>
                    <a:ln>
                      <a:noFill/>
                    </a:ln>
                    <a:extLst>
                      <a:ext uri="{53640926-AAD7-44D8-BBD7-CCE9431645EC}">
                        <a14:shadowObscured xmlns:a14="http://schemas.microsoft.com/office/drawing/2010/main"/>
                      </a:ext>
                    </a:extLst>
                  </pic:spPr>
                </pic:pic>
              </a:graphicData>
            </a:graphic>
          </wp:inline>
        </w:drawing>
      </w:r>
    </w:p>
    <w:p w14:paraId="3890EF4A" w14:textId="7FCC1FB6" w:rsidR="006E2831" w:rsidRPr="00DF3AC8" w:rsidRDefault="006E2831" w:rsidP="00983C18">
      <w:pPr>
        <w:tabs>
          <w:tab w:val="left" w:pos="10440"/>
        </w:tabs>
        <w:spacing w:line="276" w:lineRule="auto"/>
        <w:ind w:right="25"/>
        <w:rPr>
          <w:rFonts w:ascii="Lato" w:eastAsia="Malgun Gothic" w:hAnsi="Lato"/>
          <w:b/>
          <w:bCs/>
          <w:sz w:val="20"/>
          <w:szCs w:val="20"/>
        </w:rPr>
      </w:pPr>
      <w:r w:rsidRPr="00DF3AC8">
        <w:rPr>
          <w:rFonts w:ascii="Lato" w:eastAsia="Malgun Gothic" w:hAnsi="Lato" w:cs="Calibri"/>
          <w:i/>
          <w:sz w:val="20"/>
          <w:szCs w:val="20"/>
        </w:rPr>
        <w:t>Ź</w:t>
      </w:r>
      <w:r w:rsidRPr="00DF3AC8">
        <w:rPr>
          <w:rFonts w:ascii="Lato" w:eastAsia="Malgun Gothic" w:hAnsi="Lato"/>
          <w:i/>
          <w:sz w:val="20"/>
          <w:szCs w:val="20"/>
        </w:rPr>
        <w:t>r</w:t>
      </w:r>
      <w:r w:rsidRPr="00DF3AC8">
        <w:rPr>
          <w:rFonts w:ascii="Lato" w:eastAsia="Malgun Gothic" w:hAnsi="Lato" w:cs="Malgun Gothic"/>
          <w:i/>
          <w:sz w:val="20"/>
          <w:szCs w:val="20"/>
        </w:rPr>
        <w:t>ó</w:t>
      </w:r>
      <w:r w:rsidRPr="00DF3AC8">
        <w:rPr>
          <w:rFonts w:ascii="Lato" w:eastAsia="Malgun Gothic" w:hAnsi="Lato"/>
          <w:i/>
          <w:sz w:val="20"/>
          <w:szCs w:val="20"/>
        </w:rPr>
        <w:t>d</w:t>
      </w:r>
      <w:r w:rsidRPr="00DF3AC8">
        <w:rPr>
          <w:rFonts w:ascii="Lato" w:eastAsia="Malgun Gothic" w:hAnsi="Lato" w:cs="Malgun Gothic"/>
          <w:i/>
          <w:sz w:val="20"/>
          <w:szCs w:val="20"/>
        </w:rPr>
        <w:t>ł</w:t>
      </w:r>
      <w:r w:rsidRPr="00DF3AC8">
        <w:rPr>
          <w:rFonts w:ascii="Lato" w:eastAsia="Malgun Gothic" w:hAnsi="Lato"/>
          <w:i/>
          <w:sz w:val="20"/>
          <w:szCs w:val="20"/>
        </w:rPr>
        <w:t xml:space="preserve">o: PSG </w:t>
      </w:r>
      <w:r w:rsidR="004C0034">
        <w:rPr>
          <w:rFonts w:ascii="Lato" w:eastAsia="Malgun Gothic" w:hAnsi="Lato"/>
          <w:i/>
          <w:sz w:val="20"/>
          <w:szCs w:val="20"/>
        </w:rPr>
        <w:t>s</w:t>
      </w:r>
      <w:r w:rsidRPr="00DF3AC8">
        <w:rPr>
          <w:rFonts w:ascii="Lato" w:eastAsia="Malgun Gothic" w:hAnsi="Lato"/>
          <w:i/>
          <w:sz w:val="20"/>
          <w:szCs w:val="20"/>
        </w:rPr>
        <w:t>p. z o.o.</w:t>
      </w:r>
    </w:p>
    <w:p w14:paraId="22F88392" w14:textId="77777777" w:rsidR="00934713" w:rsidRDefault="00934713" w:rsidP="00983C18">
      <w:pPr>
        <w:spacing w:before="120" w:line="276" w:lineRule="auto"/>
        <w:rPr>
          <w:rFonts w:ascii="Lato" w:eastAsia="Malgun Gothic" w:hAnsi="Lato"/>
          <w:b/>
          <w:bCs/>
          <w:szCs w:val="24"/>
        </w:rPr>
      </w:pPr>
    </w:p>
    <w:p w14:paraId="78AFA67A" w14:textId="77777777" w:rsidR="00FB1BA4" w:rsidRDefault="00FB1BA4" w:rsidP="00983C18">
      <w:pPr>
        <w:spacing w:before="120" w:line="276" w:lineRule="auto"/>
        <w:rPr>
          <w:rFonts w:ascii="Lato" w:eastAsia="Malgun Gothic" w:hAnsi="Lato"/>
          <w:b/>
          <w:bCs/>
          <w:szCs w:val="24"/>
        </w:rPr>
      </w:pPr>
    </w:p>
    <w:p w14:paraId="49F4277D" w14:textId="77777777" w:rsidR="00FB1BA4" w:rsidRDefault="00FB1BA4" w:rsidP="00983C18">
      <w:pPr>
        <w:spacing w:before="120" w:line="276" w:lineRule="auto"/>
        <w:rPr>
          <w:rFonts w:ascii="Lato" w:eastAsia="Malgun Gothic" w:hAnsi="Lato"/>
          <w:b/>
          <w:bCs/>
          <w:szCs w:val="24"/>
        </w:rPr>
      </w:pPr>
    </w:p>
    <w:p w14:paraId="69C661F7" w14:textId="77777777" w:rsidR="00270AE5" w:rsidRDefault="00270AE5" w:rsidP="00983C18">
      <w:pPr>
        <w:spacing w:before="120" w:line="276" w:lineRule="auto"/>
        <w:rPr>
          <w:rFonts w:ascii="Lato" w:eastAsia="Malgun Gothic" w:hAnsi="Lato"/>
          <w:b/>
          <w:bCs/>
          <w:szCs w:val="24"/>
        </w:rPr>
      </w:pPr>
    </w:p>
    <w:p w14:paraId="49AB04FF" w14:textId="77777777" w:rsidR="00FB1BA4" w:rsidRDefault="00FB1BA4" w:rsidP="00983C18">
      <w:pPr>
        <w:spacing w:before="120" w:line="276" w:lineRule="auto"/>
        <w:rPr>
          <w:rFonts w:ascii="Lato" w:eastAsia="Malgun Gothic" w:hAnsi="Lato"/>
          <w:b/>
          <w:bCs/>
          <w:szCs w:val="24"/>
        </w:rPr>
      </w:pPr>
    </w:p>
    <w:p w14:paraId="2B38C359" w14:textId="3A723012" w:rsidR="006E2831" w:rsidRPr="006E0158" w:rsidRDefault="006E2831" w:rsidP="00983C18">
      <w:pPr>
        <w:spacing w:before="120" w:line="276" w:lineRule="auto"/>
        <w:rPr>
          <w:rFonts w:ascii="Lato" w:eastAsia="Malgun Gothic" w:hAnsi="Lato"/>
          <w:b/>
          <w:bCs/>
          <w:szCs w:val="24"/>
        </w:rPr>
      </w:pPr>
      <w:r w:rsidRPr="006E0158">
        <w:rPr>
          <w:rFonts w:ascii="Lato" w:eastAsia="Malgun Gothic" w:hAnsi="Lato"/>
          <w:b/>
          <w:bCs/>
          <w:szCs w:val="24"/>
        </w:rPr>
        <w:t xml:space="preserve">Rysunek </w:t>
      </w:r>
      <w:r w:rsidR="001B1D8F">
        <w:rPr>
          <w:rFonts w:ascii="Lato" w:eastAsia="Malgun Gothic" w:hAnsi="Lato"/>
          <w:b/>
          <w:bCs/>
          <w:szCs w:val="24"/>
        </w:rPr>
        <w:t>9</w:t>
      </w:r>
      <w:r w:rsidRPr="006E0158">
        <w:rPr>
          <w:rFonts w:ascii="Lato" w:eastAsia="Malgun Gothic" w:hAnsi="Lato"/>
          <w:b/>
          <w:bCs/>
          <w:szCs w:val="24"/>
        </w:rPr>
        <w:t>. Struktura wiekowa gazociągów dystrybucyjnych wg stanu na dzień 31.12.2022 r.</w:t>
      </w:r>
    </w:p>
    <w:p w14:paraId="3BAB0287" w14:textId="6475D0C9" w:rsidR="006E2831" w:rsidRPr="00C758B1" w:rsidRDefault="002F47C4" w:rsidP="00983C18">
      <w:pPr>
        <w:spacing w:line="276" w:lineRule="auto"/>
        <w:jc w:val="center"/>
        <w:rPr>
          <w:rFonts w:ascii="Lato" w:eastAsia="Malgun Gothic" w:hAnsi="Lato"/>
          <w:sz w:val="20"/>
          <w:szCs w:val="20"/>
        </w:rPr>
      </w:pPr>
      <w:r w:rsidRPr="00172C33">
        <w:rPr>
          <w:rFonts w:ascii="Century Gothic" w:hAnsi="Century Gothic"/>
          <w:noProof/>
          <w:sz w:val="20"/>
          <w:szCs w:val="20"/>
        </w:rPr>
        <w:lastRenderedPageBreak/>
        <w:drawing>
          <wp:inline distT="0" distB="0" distL="0" distR="0" wp14:anchorId="16D79F7D" wp14:editId="1B6E686E">
            <wp:extent cx="4339436" cy="2484208"/>
            <wp:effectExtent l="0" t="0" r="4445" b="0"/>
            <wp:docPr id="97" name="Wykres 9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80C1EFC" w14:textId="7E92BE76" w:rsidR="006E2831" w:rsidRPr="00DF3AC8" w:rsidRDefault="006E2831" w:rsidP="00983C18">
      <w:pPr>
        <w:tabs>
          <w:tab w:val="left" w:pos="10440"/>
        </w:tabs>
        <w:spacing w:line="276" w:lineRule="auto"/>
        <w:ind w:right="25"/>
        <w:rPr>
          <w:rFonts w:ascii="Lato" w:eastAsia="Malgun Gothic" w:hAnsi="Lato"/>
          <w:sz w:val="20"/>
          <w:szCs w:val="20"/>
        </w:rPr>
      </w:pPr>
      <w:r w:rsidRPr="00DF3AC8">
        <w:rPr>
          <w:rFonts w:ascii="Lato" w:eastAsia="Malgun Gothic" w:hAnsi="Lato" w:cs="Calibri"/>
          <w:i/>
          <w:sz w:val="20"/>
          <w:szCs w:val="20"/>
        </w:rPr>
        <w:t>Ź</w:t>
      </w:r>
      <w:r w:rsidRPr="00DF3AC8">
        <w:rPr>
          <w:rFonts w:ascii="Lato" w:eastAsia="Malgun Gothic" w:hAnsi="Lato"/>
          <w:i/>
          <w:sz w:val="20"/>
          <w:szCs w:val="20"/>
        </w:rPr>
        <w:t>r</w:t>
      </w:r>
      <w:r w:rsidRPr="00DF3AC8">
        <w:rPr>
          <w:rFonts w:ascii="Lato" w:eastAsia="Malgun Gothic" w:hAnsi="Lato" w:cs="Malgun Gothic"/>
          <w:i/>
          <w:sz w:val="20"/>
          <w:szCs w:val="20"/>
        </w:rPr>
        <w:t>ó</w:t>
      </w:r>
      <w:r w:rsidRPr="00DF3AC8">
        <w:rPr>
          <w:rFonts w:ascii="Lato" w:eastAsia="Malgun Gothic" w:hAnsi="Lato"/>
          <w:i/>
          <w:sz w:val="20"/>
          <w:szCs w:val="20"/>
        </w:rPr>
        <w:t>d</w:t>
      </w:r>
      <w:r w:rsidRPr="00DF3AC8">
        <w:rPr>
          <w:rFonts w:ascii="Lato" w:eastAsia="Malgun Gothic" w:hAnsi="Lato" w:cs="Malgun Gothic"/>
          <w:i/>
          <w:sz w:val="20"/>
          <w:szCs w:val="20"/>
        </w:rPr>
        <w:t>ł</w:t>
      </w:r>
      <w:r w:rsidRPr="00DF3AC8">
        <w:rPr>
          <w:rFonts w:ascii="Lato" w:eastAsia="Malgun Gothic" w:hAnsi="Lato"/>
          <w:i/>
          <w:sz w:val="20"/>
          <w:szCs w:val="20"/>
        </w:rPr>
        <w:t>o: Badania statystyczne Ministra Klimatu i Środowiska</w:t>
      </w:r>
    </w:p>
    <w:p w14:paraId="422188C9" w14:textId="77777777" w:rsidR="00B03DBA" w:rsidRPr="00C758B1" w:rsidRDefault="00C7771E" w:rsidP="00934713">
      <w:pPr>
        <w:pStyle w:val="Rozdzia3"/>
        <w:spacing w:after="120"/>
        <w:ind w:left="1077" w:hanging="1077"/>
        <w:rPr>
          <w:rFonts w:ascii="Lato" w:hAnsi="Lato"/>
        </w:rPr>
      </w:pPr>
      <w:bookmarkStart w:id="33" w:name="_Toc12287740"/>
      <w:bookmarkStart w:id="34" w:name="_Toc12953899"/>
      <w:bookmarkStart w:id="35" w:name="_Toc19782932"/>
      <w:bookmarkStart w:id="36" w:name="_Toc142469559"/>
      <w:r w:rsidRPr="00C758B1">
        <w:rPr>
          <w:rFonts w:ascii="Lato" w:hAnsi="Lato"/>
        </w:rPr>
        <w:t>Infrastruktura gazowa kluczowa dla zapewnienia bezpiecze</w:t>
      </w:r>
      <w:r w:rsidRPr="00C758B1">
        <w:rPr>
          <w:rFonts w:ascii="Lato" w:hAnsi="Lato" w:cs="Calibri"/>
        </w:rPr>
        <w:t>ń</w:t>
      </w:r>
      <w:r w:rsidRPr="00C758B1">
        <w:rPr>
          <w:rFonts w:ascii="Lato" w:hAnsi="Lato"/>
        </w:rPr>
        <w:t>stwa dostaw gazu ziemnego</w:t>
      </w:r>
      <w:bookmarkEnd w:id="33"/>
      <w:bookmarkEnd w:id="34"/>
      <w:bookmarkEnd w:id="35"/>
      <w:bookmarkEnd w:id="36"/>
    </w:p>
    <w:p w14:paraId="1B895CBD" w14:textId="33A44426" w:rsidR="00B03DBA" w:rsidRPr="00C758B1" w:rsidRDefault="00E8515F" w:rsidP="00983C18">
      <w:pPr>
        <w:spacing w:after="0" w:line="276" w:lineRule="auto"/>
        <w:rPr>
          <w:rFonts w:ascii="Lato" w:eastAsia="Malgun Gothic" w:hAnsi="Lato"/>
          <w:b/>
          <w:bCs/>
          <w:i/>
        </w:rPr>
      </w:pPr>
      <w:r>
        <w:rPr>
          <w:rFonts w:ascii="Lato" w:eastAsia="Malgun Gothic" w:hAnsi="Lato"/>
        </w:rPr>
        <w:tab/>
      </w:r>
      <w:r w:rsidR="00B64E75">
        <w:rPr>
          <w:rFonts w:ascii="Lato" w:eastAsia="Malgun Gothic" w:hAnsi="Lato"/>
        </w:rPr>
        <w:t>Ustawa</w:t>
      </w:r>
      <w:r w:rsidR="00B64E75" w:rsidRPr="00C758B1">
        <w:rPr>
          <w:rFonts w:ascii="Lato" w:eastAsia="Malgun Gothic" w:hAnsi="Lato"/>
        </w:rPr>
        <w:t xml:space="preserve"> </w:t>
      </w:r>
      <w:r w:rsidR="00C7771E" w:rsidRPr="00C758B1">
        <w:rPr>
          <w:rFonts w:ascii="Lato" w:eastAsia="Malgun Gothic" w:hAnsi="Lato"/>
        </w:rPr>
        <w:t>z dnia 18 marca 2010 r. o </w:t>
      </w:r>
      <w:r w:rsidR="00C7771E" w:rsidRPr="00C758B1">
        <w:rPr>
          <w:rFonts w:ascii="Lato" w:eastAsia="Malgun Gothic" w:hAnsi="Lato"/>
          <w:bCs/>
          <w:i/>
        </w:rPr>
        <w:t xml:space="preserve">szczególnych uprawnieniach ministra właściwego do spraw </w:t>
      </w:r>
      <w:r w:rsidR="00B64E75">
        <w:rPr>
          <w:rFonts w:ascii="Lato" w:eastAsia="Malgun Gothic" w:hAnsi="Lato"/>
          <w:bCs/>
          <w:i/>
        </w:rPr>
        <w:t xml:space="preserve">aktywów państwowych </w:t>
      </w:r>
      <w:r w:rsidR="00C7771E" w:rsidRPr="00C758B1">
        <w:rPr>
          <w:rFonts w:ascii="Lato" w:eastAsia="Malgun Gothic" w:hAnsi="Lato"/>
          <w:bCs/>
          <w:i/>
        </w:rPr>
        <w:t>oraz ich wykonywaniu</w:t>
      </w:r>
      <w:r w:rsidR="00E87FC2">
        <w:rPr>
          <w:rFonts w:ascii="Lato" w:eastAsia="Malgun Gothic" w:hAnsi="Lato"/>
          <w:bCs/>
          <w:i/>
        </w:rPr>
        <w:t xml:space="preserve"> w </w:t>
      </w:r>
      <w:r w:rsidR="00C7771E" w:rsidRPr="00C758B1">
        <w:rPr>
          <w:rFonts w:ascii="Lato" w:eastAsia="Malgun Gothic" w:hAnsi="Lato"/>
          <w:bCs/>
          <w:i/>
        </w:rPr>
        <w:t>niektórych spółkach kapitałowych lub grupach kapitałowych prowadzących działalność w sektorach energii elektrycznej, ropy naftowej oraz paliw gazowych</w:t>
      </w:r>
      <w:r>
        <w:rPr>
          <w:rFonts w:ascii="Lato" w:eastAsia="Malgun Gothic" w:hAnsi="Lato"/>
          <w:bCs/>
          <w:iCs/>
        </w:rPr>
        <w:t xml:space="preserve"> (Dz. U. z 2010 r. nr 65 poz. 404 z późn. zm.)</w:t>
      </w:r>
      <w:r w:rsidR="00C7771E" w:rsidRPr="00C758B1">
        <w:rPr>
          <w:rFonts w:ascii="Lato" w:eastAsia="Malgun Gothic" w:hAnsi="Lato"/>
          <w:b/>
          <w:bCs/>
          <w:i/>
        </w:rPr>
        <w:t xml:space="preserve"> </w:t>
      </w:r>
      <w:r w:rsidR="00B64E75">
        <w:rPr>
          <w:rFonts w:ascii="Lato" w:eastAsia="Malgun Gothic" w:hAnsi="Lato"/>
        </w:rPr>
        <w:t>określa szczególne uprawnienia ministra właściwego do spraw aktywów państwowych, służące ochronie kluczowej infrastruktury gazowej, wskazanej w</w:t>
      </w:r>
      <w:r w:rsidR="00C7771E" w:rsidRPr="00C758B1">
        <w:rPr>
          <w:rFonts w:ascii="Lato" w:eastAsia="Malgun Gothic" w:hAnsi="Lato"/>
        </w:rPr>
        <w:t xml:space="preserve"> wykaz</w:t>
      </w:r>
      <w:r w:rsidR="00B64E75">
        <w:rPr>
          <w:rFonts w:ascii="Lato" w:eastAsia="Malgun Gothic" w:hAnsi="Lato"/>
        </w:rPr>
        <w:t>ie</w:t>
      </w:r>
      <w:r w:rsidR="00C7771E" w:rsidRPr="00C758B1">
        <w:rPr>
          <w:rFonts w:ascii="Lato" w:eastAsia="Malgun Gothic" w:hAnsi="Lato"/>
        </w:rPr>
        <w:t xml:space="preserve">, </w:t>
      </w:r>
      <w:r w:rsidR="00B64E75">
        <w:rPr>
          <w:rFonts w:ascii="Lato" w:eastAsia="Malgun Gothic" w:hAnsi="Lato"/>
        </w:rPr>
        <w:t>o którym mowa w</w:t>
      </w:r>
      <w:r w:rsidR="00B64E75" w:rsidRPr="00B64E75">
        <w:rPr>
          <w:rFonts w:ascii="Lato" w:eastAsia="Malgun Gothic" w:hAnsi="Lato"/>
        </w:rPr>
        <w:t xml:space="preserve"> art. 5b ust. 7 pkt 1 ustawy z dnia 26 kwietnia 2007 r. o zarządzaniu kryzysowym (Dz.U. z 2020 r. poz. 1856)</w:t>
      </w:r>
      <w:r w:rsidR="00B64E75">
        <w:rPr>
          <w:rFonts w:ascii="Lato" w:eastAsia="Malgun Gothic" w:hAnsi="Lato"/>
        </w:rPr>
        <w:t xml:space="preserve">, </w:t>
      </w:r>
      <w:r w:rsidR="00C7771E" w:rsidRPr="00C758B1">
        <w:rPr>
          <w:rFonts w:ascii="Lato" w:eastAsia="Malgun Gothic" w:hAnsi="Lato"/>
        </w:rPr>
        <w:t xml:space="preserve">który jest dokumentem chronionym zgodnie z ustawą z dnia 5 sierpnia 2010 r. </w:t>
      </w:r>
      <w:r w:rsidR="00C7771E" w:rsidRPr="00C758B1">
        <w:rPr>
          <w:rFonts w:ascii="Lato" w:eastAsia="Malgun Gothic" w:hAnsi="Lato"/>
          <w:i/>
        </w:rPr>
        <w:t>o ochronie informacji niejawnych</w:t>
      </w:r>
      <w:r w:rsidR="00C7771E" w:rsidRPr="00C758B1">
        <w:rPr>
          <w:rFonts w:ascii="Lato" w:eastAsia="Malgun Gothic" w:hAnsi="Lato"/>
        </w:rPr>
        <w:t xml:space="preserve">. </w:t>
      </w:r>
    </w:p>
    <w:p w14:paraId="3D9FE0CA" w14:textId="0750687D" w:rsidR="00FD227B" w:rsidRPr="00DF3AC8" w:rsidRDefault="00B70265" w:rsidP="00983C18">
      <w:pPr>
        <w:pStyle w:val="Rozdzia3"/>
        <w:rPr>
          <w:rFonts w:ascii="Lato" w:hAnsi="Lato"/>
        </w:rPr>
      </w:pPr>
      <w:bookmarkStart w:id="37" w:name="_Toc12287741"/>
      <w:bookmarkStart w:id="38" w:name="_Toc12953900"/>
      <w:bookmarkStart w:id="39" w:name="_Toc19782933"/>
      <w:bookmarkStart w:id="40" w:name="_Toc142469560"/>
      <w:r>
        <w:rPr>
          <w:rFonts w:ascii="Lato" w:hAnsi="Lato"/>
        </w:rPr>
        <w:t>S</w:t>
      </w:r>
      <w:r w:rsidR="00C7771E" w:rsidRPr="00C758B1">
        <w:rPr>
          <w:rFonts w:ascii="Lato" w:hAnsi="Lato"/>
        </w:rPr>
        <w:t>truktura importu gazu ziemnego</w:t>
      </w:r>
      <w:bookmarkEnd w:id="37"/>
      <w:bookmarkEnd w:id="38"/>
      <w:bookmarkEnd w:id="39"/>
      <w:bookmarkEnd w:id="40"/>
      <w:r w:rsidR="00C7771E" w:rsidRPr="00C758B1">
        <w:rPr>
          <w:rFonts w:ascii="Lato" w:hAnsi="Lato"/>
        </w:rPr>
        <w:t xml:space="preserve"> </w:t>
      </w:r>
    </w:p>
    <w:p w14:paraId="4CA75DCC" w14:textId="730A4714" w:rsidR="00DF3AC8" w:rsidRDefault="00FD227B" w:rsidP="00AD3160">
      <w:pPr>
        <w:spacing w:after="60" w:line="276" w:lineRule="auto"/>
        <w:ind w:firstLine="709"/>
        <w:rPr>
          <w:rFonts w:ascii="Lato" w:hAnsi="Lato"/>
        </w:rPr>
      </w:pPr>
      <w:r w:rsidRPr="004F0DBF">
        <w:rPr>
          <w:rFonts w:ascii="Lato" w:hAnsi="Lato"/>
        </w:rPr>
        <w:t>W 2022 r., w wyniku zakończenia kluczowych projektów dywersyfikacyjnych, Polska uzyskała niezależność od dostaw gazu ziemnego z kierunku wschodniego.</w:t>
      </w:r>
      <w:r w:rsidR="00AD3160">
        <w:rPr>
          <w:rFonts w:ascii="Lato" w:hAnsi="Lato"/>
        </w:rPr>
        <w:t xml:space="preserve"> </w:t>
      </w:r>
      <w:r w:rsidRPr="004F0DBF">
        <w:rPr>
          <w:rFonts w:ascii="Lato" w:hAnsi="Lato"/>
        </w:rPr>
        <w:t>Zdywersyfikowany portfel dostaw opierający się na dostawach LNG do terminalu w Świnoujściu, dostawach gazu ziemnego poprzez gazociąg Baltic Pipe</w:t>
      </w:r>
      <w:r w:rsidR="002F262E">
        <w:rPr>
          <w:rFonts w:ascii="Lato" w:hAnsi="Lato"/>
        </w:rPr>
        <w:t xml:space="preserve"> i</w:t>
      </w:r>
      <w:r w:rsidRPr="004F0DBF">
        <w:rPr>
          <w:rFonts w:ascii="Lato" w:hAnsi="Lato"/>
        </w:rPr>
        <w:t xml:space="preserve"> dostawach w ramach nabycia wewnątrzwspólnotowego wraz z krajowym wydobyciem gazu ziemnego, gwarantują ciągłość dostaw do odbiorców.</w:t>
      </w:r>
    </w:p>
    <w:p w14:paraId="329DED4A" w14:textId="5B2F9D03" w:rsidR="00FD227B" w:rsidRPr="004F0DBF" w:rsidRDefault="00FD227B" w:rsidP="00983C18">
      <w:pPr>
        <w:spacing w:after="0" w:line="276" w:lineRule="auto"/>
        <w:ind w:firstLine="709"/>
        <w:rPr>
          <w:rFonts w:ascii="Lato" w:hAnsi="Lato"/>
        </w:rPr>
      </w:pPr>
      <w:r w:rsidRPr="004F0DBF">
        <w:rPr>
          <w:rFonts w:ascii="Lato" w:hAnsi="Lato"/>
        </w:rPr>
        <w:t>W 2022 r. całkowity przywóz gazu ziemnego do Polski wyniósł 14,43 mld m</w:t>
      </w:r>
      <w:r w:rsidRPr="004F0DBF">
        <w:rPr>
          <w:rFonts w:ascii="Lato" w:hAnsi="Lato"/>
          <w:vertAlign w:val="superscript"/>
        </w:rPr>
        <w:t>3</w:t>
      </w:r>
      <w:r w:rsidRPr="004F0DBF">
        <w:rPr>
          <w:rFonts w:ascii="Lato" w:hAnsi="Lato"/>
        </w:rPr>
        <w:t xml:space="preserve"> (164,36 TWh), z czego: </w:t>
      </w:r>
    </w:p>
    <w:p w14:paraId="6FA4FB09" w14:textId="77777777" w:rsidR="00FD227B" w:rsidRPr="00DF3AC8" w:rsidRDefault="00FD227B">
      <w:pPr>
        <w:pStyle w:val="Akapitzlist"/>
        <w:numPr>
          <w:ilvl w:val="0"/>
          <w:numId w:val="15"/>
        </w:numPr>
        <w:spacing w:line="276" w:lineRule="auto"/>
        <w:rPr>
          <w:rFonts w:ascii="Lato" w:hAnsi="Lato"/>
        </w:rPr>
      </w:pPr>
      <w:r w:rsidRPr="00DF3AC8">
        <w:rPr>
          <w:rFonts w:ascii="Lato" w:hAnsi="Lato"/>
        </w:rPr>
        <w:t>import z kierunku wschodniego (w tym poprzez gazoci</w:t>
      </w:r>
      <w:r w:rsidRPr="00DF3AC8">
        <w:rPr>
          <w:rFonts w:ascii="Lato" w:hAnsi="Lato" w:cs="Calibri"/>
        </w:rPr>
        <w:t>ą</w:t>
      </w:r>
      <w:r w:rsidRPr="00DF3AC8">
        <w:rPr>
          <w:rFonts w:ascii="Lato" w:hAnsi="Lato"/>
        </w:rPr>
        <w:t>g Jama</w:t>
      </w:r>
      <w:r w:rsidRPr="00DF3AC8">
        <w:rPr>
          <w:rFonts w:ascii="Lato" w:hAnsi="Lato" w:cs="Malgun Gothic"/>
        </w:rPr>
        <w:t>ł</w:t>
      </w:r>
      <w:r w:rsidRPr="00DF3AC8">
        <w:rPr>
          <w:rFonts w:ascii="Lato" w:hAnsi="Lato"/>
        </w:rPr>
        <w:t>-Europa) – 2,83 mld m</w:t>
      </w:r>
      <w:r w:rsidRPr="00DF3AC8">
        <w:rPr>
          <w:rFonts w:ascii="Lato" w:hAnsi="Lato"/>
          <w:vertAlign w:val="superscript"/>
        </w:rPr>
        <w:t xml:space="preserve">3 </w:t>
      </w:r>
      <w:r w:rsidRPr="00DF3AC8">
        <w:rPr>
          <w:rFonts w:ascii="Lato" w:hAnsi="Lato"/>
        </w:rPr>
        <w:t>(31,93 TWh), co stanowi 19,6% całkowitego przywozu;</w:t>
      </w:r>
    </w:p>
    <w:p w14:paraId="273F693B" w14:textId="77777777" w:rsidR="00FD227B" w:rsidRPr="00DF3AC8" w:rsidRDefault="00FD227B">
      <w:pPr>
        <w:pStyle w:val="Akapitzlist"/>
        <w:numPr>
          <w:ilvl w:val="0"/>
          <w:numId w:val="15"/>
        </w:numPr>
        <w:spacing w:line="276" w:lineRule="auto"/>
        <w:rPr>
          <w:rFonts w:ascii="Lato" w:hAnsi="Lato"/>
        </w:rPr>
      </w:pPr>
      <w:r w:rsidRPr="00DF3AC8">
        <w:rPr>
          <w:rFonts w:ascii="Lato" w:hAnsi="Lato"/>
        </w:rPr>
        <w:t>nabycie wewn</w:t>
      </w:r>
      <w:r w:rsidRPr="00DF3AC8">
        <w:rPr>
          <w:rFonts w:ascii="Lato" w:hAnsi="Lato" w:cs="Calibri"/>
        </w:rPr>
        <w:t>ą</w:t>
      </w:r>
      <w:r w:rsidRPr="00DF3AC8">
        <w:rPr>
          <w:rFonts w:ascii="Lato" w:hAnsi="Lato"/>
        </w:rPr>
        <w:t>trzwsp</w:t>
      </w:r>
      <w:r w:rsidRPr="00DF3AC8">
        <w:rPr>
          <w:rFonts w:ascii="Lato" w:hAnsi="Lato" w:cs="Malgun Gothic"/>
        </w:rPr>
        <w:t>ó</w:t>
      </w:r>
      <w:r w:rsidRPr="00DF3AC8">
        <w:rPr>
          <w:rFonts w:ascii="Lato" w:hAnsi="Lato"/>
        </w:rPr>
        <w:t xml:space="preserve">lnotowe z Niemiec </w:t>
      </w:r>
      <w:r w:rsidRPr="00DF3AC8">
        <w:rPr>
          <w:rFonts w:ascii="Lato" w:hAnsi="Lato" w:cs="Malgun Gothic"/>
        </w:rPr>
        <w:t>–</w:t>
      </w:r>
      <w:r w:rsidRPr="00DF3AC8">
        <w:rPr>
          <w:rFonts w:ascii="Lato" w:hAnsi="Lato"/>
        </w:rPr>
        <w:t xml:space="preserve"> 4,16 mld m</w:t>
      </w:r>
      <w:r w:rsidRPr="00DF3AC8">
        <w:rPr>
          <w:rFonts w:ascii="Lato" w:hAnsi="Lato"/>
          <w:vertAlign w:val="superscript"/>
        </w:rPr>
        <w:t>3</w:t>
      </w:r>
      <w:r w:rsidRPr="00DF3AC8">
        <w:rPr>
          <w:rFonts w:ascii="Lato" w:hAnsi="Lato"/>
        </w:rPr>
        <w:t xml:space="preserve"> (47,21 TWh), co stanowi 28,8% całkowitego przywozu;</w:t>
      </w:r>
    </w:p>
    <w:p w14:paraId="46B4B1B5" w14:textId="77777777" w:rsidR="00FD227B" w:rsidRPr="00DF3AC8" w:rsidRDefault="00FD227B">
      <w:pPr>
        <w:pStyle w:val="Akapitzlist"/>
        <w:numPr>
          <w:ilvl w:val="0"/>
          <w:numId w:val="15"/>
        </w:numPr>
        <w:spacing w:line="276" w:lineRule="auto"/>
        <w:rPr>
          <w:rFonts w:ascii="Lato" w:hAnsi="Lato"/>
        </w:rPr>
      </w:pPr>
      <w:r w:rsidRPr="00DF3AC8">
        <w:rPr>
          <w:rFonts w:ascii="Lato" w:hAnsi="Lato"/>
        </w:rPr>
        <w:t>nabycie wewn</w:t>
      </w:r>
      <w:r w:rsidRPr="00DF3AC8">
        <w:rPr>
          <w:rFonts w:ascii="Lato" w:hAnsi="Lato" w:cs="Calibri"/>
        </w:rPr>
        <w:t>ą</w:t>
      </w:r>
      <w:r w:rsidRPr="00DF3AC8">
        <w:rPr>
          <w:rFonts w:ascii="Lato" w:hAnsi="Lato"/>
        </w:rPr>
        <w:t>trzwsp</w:t>
      </w:r>
      <w:r w:rsidRPr="00DF3AC8">
        <w:rPr>
          <w:rFonts w:ascii="Lato" w:hAnsi="Lato" w:cs="Malgun Gothic"/>
        </w:rPr>
        <w:t>ó</w:t>
      </w:r>
      <w:r w:rsidRPr="00DF3AC8">
        <w:rPr>
          <w:rFonts w:ascii="Lato" w:hAnsi="Lato"/>
        </w:rPr>
        <w:t xml:space="preserve">lnotowe z Danii </w:t>
      </w:r>
      <w:r w:rsidRPr="00DF3AC8">
        <w:rPr>
          <w:rFonts w:ascii="Lato" w:hAnsi="Lato" w:cs="Malgun Gothic"/>
        </w:rPr>
        <w:t>–</w:t>
      </w:r>
      <w:r w:rsidRPr="00DF3AC8">
        <w:rPr>
          <w:rFonts w:ascii="Lato" w:hAnsi="Lato"/>
        </w:rPr>
        <w:t xml:space="preserve"> 643,36 mln m</w:t>
      </w:r>
      <w:r w:rsidRPr="00DF3AC8">
        <w:rPr>
          <w:rFonts w:ascii="Lato" w:hAnsi="Lato"/>
          <w:vertAlign w:val="superscript"/>
        </w:rPr>
        <w:t>3</w:t>
      </w:r>
      <w:r w:rsidRPr="00DF3AC8">
        <w:rPr>
          <w:rFonts w:ascii="Lato" w:hAnsi="Lato"/>
        </w:rPr>
        <w:t xml:space="preserve"> (7,46 TWh), co stanowi 4,5% całkowitego przywozu;</w:t>
      </w:r>
    </w:p>
    <w:p w14:paraId="1D124C37" w14:textId="77777777" w:rsidR="00FD227B" w:rsidRPr="00DF3AC8" w:rsidRDefault="00FD227B">
      <w:pPr>
        <w:pStyle w:val="Akapitzlist"/>
        <w:numPr>
          <w:ilvl w:val="0"/>
          <w:numId w:val="15"/>
        </w:numPr>
        <w:spacing w:line="276" w:lineRule="auto"/>
        <w:rPr>
          <w:rFonts w:ascii="Lato" w:hAnsi="Lato"/>
        </w:rPr>
      </w:pPr>
      <w:r w:rsidRPr="00DF3AC8">
        <w:rPr>
          <w:rFonts w:ascii="Lato" w:hAnsi="Lato"/>
        </w:rPr>
        <w:lastRenderedPageBreak/>
        <w:t>nabycie wewn</w:t>
      </w:r>
      <w:r w:rsidRPr="00DF3AC8">
        <w:rPr>
          <w:rFonts w:ascii="Lato" w:hAnsi="Lato" w:cs="Calibri"/>
        </w:rPr>
        <w:t>ą</w:t>
      </w:r>
      <w:r w:rsidRPr="00DF3AC8">
        <w:rPr>
          <w:rFonts w:ascii="Lato" w:hAnsi="Lato"/>
        </w:rPr>
        <w:t>trzwsp</w:t>
      </w:r>
      <w:r w:rsidRPr="00DF3AC8">
        <w:rPr>
          <w:rFonts w:ascii="Lato" w:hAnsi="Lato" w:cs="Malgun Gothic"/>
        </w:rPr>
        <w:t>ó</w:t>
      </w:r>
      <w:r w:rsidRPr="00DF3AC8">
        <w:rPr>
          <w:rFonts w:ascii="Lato" w:hAnsi="Lato"/>
        </w:rPr>
        <w:t xml:space="preserve">lnotowe z Litwy </w:t>
      </w:r>
      <w:r w:rsidRPr="00DF3AC8">
        <w:rPr>
          <w:rFonts w:ascii="Lato" w:hAnsi="Lato" w:cs="Malgun Gothic"/>
        </w:rPr>
        <w:t>–</w:t>
      </w:r>
      <w:r w:rsidRPr="00DF3AC8">
        <w:rPr>
          <w:rFonts w:ascii="Lato" w:hAnsi="Lato"/>
        </w:rPr>
        <w:t xml:space="preserve"> 544,89 mln m</w:t>
      </w:r>
      <w:r w:rsidRPr="00DF3AC8">
        <w:rPr>
          <w:rFonts w:ascii="Lato" w:hAnsi="Lato"/>
          <w:vertAlign w:val="superscript"/>
        </w:rPr>
        <w:t>3</w:t>
      </w:r>
      <w:r w:rsidRPr="00DF3AC8">
        <w:rPr>
          <w:rFonts w:ascii="Lato" w:hAnsi="Lato"/>
        </w:rPr>
        <w:t xml:space="preserve"> (6,24 TWh), co stanowi 3,8% całkowitego przywozu;</w:t>
      </w:r>
    </w:p>
    <w:p w14:paraId="62029D30" w14:textId="77777777" w:rsidR="00FD227B" w:rsidRPr="00DF3AC8" w:rsidRDefault="00FD227B">
      <w:pPr>
        <w:pStyle w:val="Akapitzlist"/>
        <w:numPr>
          <w:ilvl w:val="0"/>
          <w:numId w:val="15"/>
        </w:numPr>
        <w:spacing w:line="276" w:lineRule="auto"/>
        <w:rPr>
          <w:rFonts w:ascii="Lato" w:hAnsi="Lato"/>
        </w:rPr>
      </w:pPr>
      <w:r w:rsidRPr="00DF3AC8">
        <w:rPr>
          <w:rFonts w:ascii="Lato" w:hAnsi="Lato"/>
        </w:rPr>
        <w:t>nabycie wewn</w:t>
      </w:r>
      <w:r w:rsidRPr="00DF3AC8">
        <w:rPr>
          <w:rFonts w:ascii="Lato" w:hAnsi="Lato" w:cs="Calibri"/>
        </w:rPr>
        <w:t>ą</w:t>
      </w:r>
      <w:r w:rsidRPr="00DF3AC8">
        <w:rPr>
          <w:rFonts w:ascii="Lato" w:hAnsi="Lato"/>
        </w:rPr>
        <w:t>trzwspólnotowe z innych krajów UE – 373,7 mln m</w:t>
      </w:r>
      <w:r w:rsidRPr="00DF3AC8">
        <w:rPr>
          <w:rFonts w:ascii="Lato" w:hAnsi="Lato"/>
          <w:vertAlign w:val="superscript"/>
        </w:rPr>
        <w:t>3</w:t>
      </w:r>
      <w:r w:rsidRPr="00DF3AC8">
        <w:rPr>
          <w:rFonts w:ascii="Lato" w:hAnsi="Lato"/>
        </w:rPr>
        <w:t xml:space="preserve"> (4,22 TWh), co stanowi 2,6% całkowitego przywozu;</w:t>
      </w:r>
    </w:p>
    <w:p w14:paraId="19553805" w14:textId="77777777" w:rsidR="00FD227B" w:rsidRPr="00DF3AC8" w:rsidRDefault="00FD227B">
      <w:pPr>
        <w:pStyle w:val="Akapitzlist"/>
        <w:numPr>
          <w:ilvl w:val="0"/>
          <w:numId w:val="15"/>
        </w:numPr>
        <w:spacing w:line="276" w:lineRule="auto"/>
        <w:rPr>
          <w:rFonts w:ascii="Lato" w:hAnsi="Lato"/>
        </w:rPr>
      </w:pPr>
      <w:r w:rsidRPr="00DF3AC8">
        <w:rPr>
          <w:rFonts w:ascii="Lato" w:hAnsi="Lato"/>
        </w:rPr>
        <w:t>import LNG ł</w:t>
      </w:r>
      <w:r w:rsidRPr="00DF3AC8">
        <w:rPr>
          <w:rFonts w:ascii="Lato" w:hAnsi="Lato" w:cs="Calibri"/>
        </w:rPr>
        <w:t>ą</w:t>
      </w:r>
      <w:r w:rsidRPr="00DF3AC8">
        <w:rPr>
          <w:rFonts w:ascii="Lato" w:hAnsi="Lato"/>
        </w:rPr>
        <w:t>cznie do terminalu w Świnoujściu – 5,82 mld m</w:t>
      </w:r>
      <w:r w:rsidRPr="00DF3AC8">
        <w:rPr>
          <w:rFonts w:ascii="Lato" w:hAnsi="Lato"/>
          <w:vertAlign w:val="superscript"/>
        </w:rPr>
        <w:t>3</w:t>
      </w:r>
      <w:r w:rsidRPr="00DF3AC8">
        <w:rPr>
          <w:rFonts w:ascii="Lato" w:hAnsi="Lato"/>
        </w:rPr>
        <w:t xml:space="preserve"> (66,64 TWh), co stanowi 40,3% całkowitego przywozu, w tym:</w:t>
      </w:r>
    </w:p>
    <w:p w14:paraId="7552DBC6" w14:textId="3F204DD3" w:rsidR="00FD227B" w:rsidRPr="00DF3AC8" w:rsidRDefault="00FD227B">
      <w:pPr>
        <w:pStyle w:val="Akapitzlist"/>
        <w:numPr>
          <w:ilvl w:val="1"/>
          <w:numId w:val="15"/>
        </w:numPr>
        <w:spacing w:line="276" w:lineRule="auto"/>
        <w:rPr>
          <w:rFonts w:ascii="Lato" w:hAnsi="Lato"/>
        </w:rPr>
      </w:pPr>
      <w:r w:rsidRPr="00DF3AC8">
        <w:rPr>
          <w:rFonts w:ascii="Lato" w:hAnsi="Lato"/>
        </w:rPr>
        <w:t>import z Kataru – 2,18 mld m</w:t>
      </w:r>
      <w:r w:rsidRPr="00DF3AC8">
        <w:rPr>
          <w:rFonts w:ascii="Lato" w:hAnsi="Lato"/>
          <w:vertAlign w:val="superscript"/>
        </w:rPr>
        <w:t>3</w:t>
      </w:r>
      <w:r w:rsidRPr="00DF3AC8">
        <w:rPr>
          <w:rFonts w:ascii="Lato" w:hAnsi="Lato"/>
        </w:rPr>
        <w:t xml:space="preserve"> (25,21 TWh), co stanowi 15,1% całkowitego przywozu;</w:t>
      </w:r>
    </w:p>
    <w:p w14:paraId="06C63178" w14:textId="55567BFB" w:rsidR="00FD227B" w:rsidRPr="00DF3AC8" w:rsidRDefault="00FD227B">
      <w:pPr>
        <w:pStyle w:val="Akapitzlist"/>
        <w:numPr>
          <w:ilvl w:val="1"/>
          <w:numId w:val="15"/>
        </w:numPr>
        <w:spacing w:line="276" w:lineRule="auto"/>
        <w:rPr>
          <w:rFonts w:ascii="Lato" w:hAnsi="Lato"/>
        </w:rPr>
      </w:pPr>
      <w:r w:rsidRPr="00DF3AC8">
        <w:rPr>
          <w:rFonts w:ascii="Lato" w:hAnsi="Lato"/>
        </w:rPr>
        <w:t>import z USA – 3,28 mld m</w:t>
      </w:r>
      <w:r w:rsidRPr="00DF3AC8">
        <w:rPr>
          <w:rFonts w:ascii="Lato" w:hAnsi="Lato"/>
          <w:vertAlign w:val="superscript"/>
        </w:rPr>
        <w:t>3</w:t>
      </w:r>
      <w:r w:rsidRPr="00DF3AC8">
        <w:rPr>
          <w:rFonts w:ascii="Lato" w:hAnsi="Lato"/>
        </w:rPr>
        <w:t xml:space="preserve"> (37,34 TWh), co stanowi 22,7% całkowitego przywozu;</w:t>
      </w:r>
    </w:p>
    <w:p w14:paraId="7C6489DA" w14:textId="71DF2E56" w:rsidR="00FD227B" w:rsidRPr="00DF3AC8" w:rsidRDefault="00FD227B">
      <w:pPr>
        <w:pStyle w:val="Akapitzlist"/>
        <w:numPr>
          <w:ilvl w:val="1"/>
          <w:numId w:val="15"/>
        </w:numPr>
        <w:spacing w:line="276" w:lineRule="auto"/>
        <w:rPr>
          <w:rFonts w:ascii="Lato" w:hAnsi="Lato"/>
        </w:rPr>
      </w:pPr>
      <w:r w:rsidRPr="00DF3AC8">
        <w:rPr>
          <w:rFonts w:ascii="Lato" w:hAnsi="Lato"/>
        </w:rPr>
        <w:t>import z Trynidadu i Tobago – 95,45 mln m</w:t>
      </w:r>
      <w:r w:rsidRPr="00DF3AC8">
        <w:rPr>
          <w:rFonts w:ascii="Lato" w:hAnsi="Lato"/>
          <w:vertAlign w:val="superscript"/>
        </w:rPr>
        <w:t>3</w:t>
      </w:r>
      <w:r w:rsidRPr="00DF3AC8">
        <w:rPr>
          <w:rFonts w:ascii="Lato" w:hAnsi="Lato"/>
        </w:rPr>
        <w:t xml:space="preserve"> (1,07 TWh), co stanowi 0,7% całkowitego przywozu;</w:t>
      </w:r>
    </w:p>
    <w:p w14:paraId="3809786A" w14:textId="1A019780" w:rsidR="00FD227B" w:rsidRPr="00DF3AC8" w:rsidRDefault="00FD227B">
      <w:pPr>
        <w:pStyle w:val="Akapitzlist"/>
        <w:numPr>
          <w:ilvl w:val="1"/>
          <w:numId w:val="15"/>
        </w:numPr>
        <w:spacing w:line="276" w:lineRule="auto"/>
        <w:rPr>
          <w:rFonts w:ascii="Lato" w:hAnsi="Lato"/>
        </w:rPr>
      </w:pPr>
      <w:r w:rsidRPr="00DF3AC8">
        <w:rPr>
          <w:rFonts w:ascii="Lato" w:hAnsi="Lato"/>
        </w:rPr>
        <w:t>import z Nigerii – 169,54 mln m</w:t>
      </w:r>
      <w:r w:rsidRPr="00DF3AC8">
        <w:rPr>
          <w:rFonts w:ascii="Lato" w:hAnsi="Lato"/>
          <w:vertAlign w:val="superscript"/>
        </w:rPr>
        <w:t>3</w:t>
      </w:r>
      <w:r w:rsidRPr="00DF3AC8">
        <w:rPr>
          <w:rFonts w:ascii="Lato" w:hAnsi="Lato"/>
        </w:rPr>
        <w:t xml:space="preserve"> (2,05 TWh), co stanowi 1,2% całkowitego przywozu;</w:t>
      </w:r>
    </w:p>
    <w:p w14:paraId="5E5D5D09" w14:textId="4A1DBF86" w:rsidR="00FD227B" w:rsidRPr="00DF3AC8" w:rsidRDefault="00FD227B">
      <w:pPr>
        <w:pStyle w:val="Akapitzlist"/>
        <w:numPr>
          <w:ilvl w:val="1"/>
          <w:numId w:val="15"/>
        </w:numPr>
        <w:spacing w:line="276" w:lineRule="auto"/>
        <w:rPr>
          <w:rFonts w:ascii="Lato" w:hAnsi="Lato"/>
        </w:rPr>
      </w:pPr>
      <w:r w:rsidRPr="00DF3AC8">
        <w:rPr>
          <w:rFonts w:ascii="Lato" w:hAnsi="Lato"/>
        </w:rPr>
        <w:t>import z Egiptu – 86,58 mln m</w:t>
      </w:r>
      <w:r w:rsidRPr="00DF3AC8">
        <w:rPr>
          <w:rFonts w:ascii="Lato" w:hAnsi="Lato"/>
          <w:vertAlign w:val="superscript"/>
        </w:rPr>
        <w:t>3</w:t>
      </w:r>
      <w:r w:rsidRPr="00DF3AC8">
        <w:rPr>
          <w:rFonts w:ascii="Lato" w:hAnsi="Lato"/>
        </w:rPr>
        <w:t xml:space="preserve"> (967 GWh), co stanowi 0,6% całkowitego przywozu.</w:t>
      </w:r>
    </w:p>
    <w:p w14:paraId="660ABE89" w14:textId="77777777" w:rsidR="00DF3AC8" w:rsidRDefault="00FD227B" w:rsidP="002F262E">
      <w:pPr>
        <w:spacing w:after="60" w:line="276" w:lineRule="auto"/>
        <w:ind w:firstLine="709"/>
        <w:rPr>
          <w:rFonts w:ascii="Lato" w:hAnsi="Lato"/>
        </w:rPr>
      </w:pPr>
      <w:r w:rsidRPr="004F0DBF">
        <w:rPr>
          <w:rFonts w:ascii="Lato" w:hAnsi="Lato"/>
        </w:rPr>
        <w:t>W 2022 r. ł</w:t>
      </w:r>
      <w:r w:rsidRPr="004F0DBF">
        <w:rPr>
          <w:rFonts w:ascii="Lato" w:hAnsi="Lato" w:cs="Calibri"/>
        </w:rPr>
        <w:t>ą</w:t>
      </w:r>
      <w:r w:rsidRPr="004F0DBF">
        <w:rPr>
          <w:rFonts w:ascii="Lato" w:hAnsi="Lato"/>
        </w:rPr>
        <w:t xml:space="preserve">cznie zrealizowano 58 dostaw skroplonego gazu ziemnego do terminalu regazyfikacyjnego LNG w </w:t>
      </w:r>
      <w:r w:rsidRPr="004F0DBF">
        <w:rPr>
          <w:rFonts w:ascii="Lato" w:hAnsi="Lato" w:cs="Calibri"/>
        </w:rPr>
        <w:t>Ś</w:t>
      </w:r>
      <w:r w:rsidRPr="004F0DBF">
        <w:rPr>
          <w:rFonts w:ascii="Lato" w:hAnsi="Lato"/>
        </w:rPr>
        <w:t>winouj</w:t>
      </w:r>
      <w:r w:rsidRPr="004F0DBF">
        <w:rPr>
          <w:rFonts w:ascii="Lato" w:hAnsi="Lato" w:cs="Calibri"/>
        </w:rPr>
        <w:t>ś</w:t>
      </w:r>
      <w:r w:rsidRPr="004F0DBF">
        <w:rPr>
          <w:rFonts w:ascii="Lato" w:hAnsi="Lato"/>
        </w:rPr>
        <w:t>ciu, w tym 36 z USA, 18 z Kataru, 2 z Nigerii, 1 z Trynidadu i Tobago i 1 z Egiptu. Dla por</w:t>
      </w:r>
      <w:r w:rsidRPr="004F0DBF">
        <w:rPr>
          <w:rFonts w:ascii="Lato" w:hAnsi="Lato" w:cs="Malgun Gothic"/>
        </w:rPr>
        <w:t>ó</w:t>
      </w:r>
      <w:r w:rsidRPr="004F0DBF">
        <w:rPr>
          <w:rFonts w:ascii="Lato" w:hAnsi="Lato"/>
        </w:rPr>
        <w:t>wnania w 2021 r. zrealizowano 37 dostaw LNG, w 2020 r. – 35 dostaw a w 2019 r.</w:t>
      </w:r>
      <w:r w:rsidR="00C17333">
        <w:rPr>
          <w:rFonts w:ascii="Lato" w:hAnsi="Lato"/>
        </w:rPr>
        <w:t xml:space="preserve"> – </w:t>
      </w:r>
      <w:r w:rsidRPr="004F0DBF">
        <w:rPr>
          <w:rFonts w:ascii="Lato" w:hAnsi="Lato"/>
        </w:rPr>
        <w:t xml:space="preserve">31 dostaw. </w:t>
      </w:r>
    </w:p>
    <w:p w14:paraId="47D4C0DC" w14:textId="1C7FB4F9" w:rsidR="00FD227B" w:rsidRPr="004F0DBF" w:rsidRDefault="00FD227B" w:rsidP="002F262E">
      <w:pPr>
        <w:spacing w:after="60" w:line="276" w:lineRule="auto"/>
        <w:ind w:firstLine="709"/>
        <w:rPr>
          <w:rFonts w:ascii="Lato" w:hAnsi="Lato"/>
        </w:rPr>
      </w:pPr>
      <w:r w:rsidRPr="004F0DBF">
        <w:rPr>
          <w:rFonts w:ascii="Lato" w:hAnsi="Lato"/>
        </w:rPr>
        <w:t>Eksport gazu ziemnego z Polski w 2022 r. wyniósł 553,78 mln m</w:t>
      </w:r>
      <w:r w:rsidRPr="004F0DBF">
        <w:rPr>
          <w:rFonts w:ascii="Lato" w:hAnsi="Lato"/>
          <w:vertAlign w:val="superscript"/>
        </w:rPr>
        <w:t>3</w:t>
      </w:r>
      <w:r w:rsidRPr="004F0DBF">
        <w:rPr>
          <w:rFonts w:ascii="Lato" w:hAnsi="Lato"/>
        </w:rPr>
        <w:t xml:space="preserve"> (6,13 TWh) i w stosunku do roku poprzedniego wzrósł o ok. 400%. Gaz ziemny eksportowany był w 67,4% </w:t>
      </w:r>
      <w:r w:rsidR="5D0D7B3D" w:rsidRPr="0F514605">
        <w:rPr>
          <w:rFonts w:ascii="Lato" w:hAnsi="Lato"/>
        </w:rPr>
        <w:t>do</w:t>
      </w:r>
      <w:r w:rsidRPr="0F514605">
        <w:rPr>
          <w:rFonts w:ascii="Lato" w:hAnsi="Lato"/>
        </w:rPr>
        <w:t xml:space="preserve"> Ukrain</w:t>
      </w:r>
      <w:r w:rsidR="1838B13B" w:rsidRPr="0F514605">
        <w:rPr>
          <w:rFonts w:ascii="Lato" w:hAnsi="Lato"/>
        </w:rPr>
        <w:t>y</w:t>
      </w:r>
      <w:r w:rsidRPr="0F514605">
        <w:rPr>
          <w:rFonts w:ascii="Lato" w:hAnsi="Lato"/>
        </w:rPr>
        <w:t>.</w:t>
      </w:r>
    </w:p>
    <w:p w14:paraId="1360010B" w14:textId="7C91B1F3" w:rsidR="00FD227B" w:rsidRPr="00DF3AC8" w:rsidRDefault="00C7771E" w:rsidP="002F262E">
      <w:pPr>
        <w:pStyle w:val="Rozdzia3"/>
        <w:spacing w:after="120"/>
        <w:ind w:left="1077" w:hanging="1077"/>
        <w:rPr>
          <w:rFonts w:ascii="Lato" w:hAnsi="Lato"/>
        </w:rPr>
      </w:pPr>
      <w:bookmarkStart w:id="41" w:name="_Toc12287742"/>
      <w:bookmarkStart w:id="42" w:name="_Toc12953901"/>
      <w:bookmarkStart w:id="43" w:name="_Toc19782934"/>
      <w:bookmarkStart w:id="44" w:name="_Toc142469561"/>
      <w:r w:rsidRPr="00C758B1">
        <w:rPr>
          <w:rFonts w:ascii="Lato" w:hAnsi="Lato"/>
        </w:rPr>
        <w:t>System magazynowania gazu ziemnego</w:t>
      </w:r>
      <w:bookmarkEnd w:id="41"/>
      <w:bookmarkEnd w:id="42"/>
      <w:bookmarkEnd w:id="43"/>
      <w:bookmarkEnd w:id="44"/>
    </w:p>
    <w:p w14:paraId="4F79AC17" w14:textId="77777777" w:rsidR="00FD227B" w:rsidRPr="004F0DBF" w:rsidRDefault="00FD227B" w:rsidP="002F262E">
      <w:pPr>
        <w:spacing w:after="60" w:line="276" w:lineRule="auto"/>
        <w:ind w:firstLine="709"/>
        <w:rPr>
          <w:rFonts w:ascii="Lato" w:hAnsi="Lato"/>
        </w:rPr>
      </w:pPr>
      <w:r w:rsidRPr="004F0DBF">
        <w:rPr>
          <w:rFonts w:ascii="Lato" w:hAnsi="Lato"/>
        </w:rPr>
        <w:t>W Polsce funkcjonuje siedem podziemnych magazynów gazu ziemnego wysokometanowego współpracuj</w:t>
      </w:r>
      <w:r w:rsidRPr="004F0DBF">
        <w:rPr>
          <w:rFonts w:ascii="Lato" w:hAnsi="Lato" w:cs="Calibri"/>
        </w:rPr>
        <w:t>ą</w:t>
      </w:r>
      <w:r w:rsidRPr="004F0DBF">
        <w:rPr>
          <w:rFonts w:ascii="Lato" w:hAnsi="Lato"/>
        </w:rPr>
        <w:t>cych z gazowym systemem przesyłowym: PMG Husów, PMG Wierzchowice, PMG Swarzów, PMG Brze</w:t>
      </w:r>
      <w:r w:rsidRPr="004F0DBF">
        <w:rPr>
          <w:rFonts w:ascii="Lato" w:hAnsi="Lato" w:cs="Calibri"/>
        </w:rPr>
        <w:t>ź</w:t>
      </w:r>
      <w:r w:rsidRPr="004F0DBF">
        <w:rPr>
          <w:rFonts w:ascii="Lato" w:hAnsi="Lato"/>
        </w:rPr>
        <w:t>nica, PMG Strachocina, KPMG Mogilno i KPMG Kosakowo.</w:t>
      </w:r>
    </w:p>
    <w:p w14:paraId="3F3EFD07" w14:textId="0F5613F9" w:rsidR="00BB583E" w:rsidRPr="00983C18" w:rsidRDefault="00FD227B" w:rsidP="0067393E">
      <w:pPr>
        <w:spacing w:after="60" w:line="276" w:lineRule="auto"/>
        <w:ind w:firstLine="709"/>
        <w:rPr>
          <w:rFonts w:ascii="Lato" w:hAnsi="Lato"/>
        </w:rPr>
      </w:pPr>
      <w:r w:rsidRPr="004F0DBF">
        <w:rPr>
          <w:rFonts w:ascii="Lato" w:hAnsi="Lato"/>
        </w:rPr>
        <w:t>Według stanu na koniec grudnia 2022 r. pojemno</w:t>
      </w:r>
      <w:r w:rsidRPr="004F0DBF">
        <w:rPr>
          <w:rFonts w:ascii="Lato" w:hAnsi="Lato" w:cs="Calibri"/>
        </w:rPr>
        <w:t>ść</w:t>
      </w:r>
      <w:r w:rsidRPr="004F0DBF">
        <w:rPr>
          <w:rFonts w:ascii="Lato" w:hAnsi="Lato"/>
        </w:rPr>
        <w:t xml:space="preserve"> czynna podziemnych magazyn</w:t>
      </w:r>
      <w:r w:rsidRPr="004F0DBF">
        <w:rPr>
          <w:rFonts w:ascii="Lato" w:hAnsi="Lato" w:cs="Malgun Gothic"/>
        </w:rPr>
        <w:t>ó</w:t>
      </w:r>
      <w:r w:rsidRPr="004F0DBF">
        <w:rPr>
          <w:rFonts w:ascii="Lato" w:hAnsi="Lato"/>
        </w:rPr>
        <w:t>w gazu wysokometanowego wynios</w:t>
      </w:r>
      <w:r w:rsidRPr="004F0DBF">
        <w:rPr>
          <w:rFonts w:ascii="Lato" w:hAnsi="Lato" w:cs="Malgun Gothic"/>
        </w:rPr>
        <w:t>ł</w:t>
      </w:r>
      <w:r w:rsidRPr="004F0DBF">
        <w:rPr>
          <w:rFonts w:ascii="Lato" w:hAnsi="Lato"/>
        </w:rPr>
        <w:t>a 3,23 mld m</w:t>
      </w:r>
      <w:r w:rsidRPr="004F0DBF">
        <w:rPr>
          <w:rFonts w:ascii="Lato" w:hAnsi="Lato"/>
          <w:vertAlign w:val="superscript"/>
        </w:rPr>
        <w:t xml:space="preserve">3 </w:t>
      </w:r>
      <w:r w:rsidRPr="004F0DBF">
        <w:rPr>
          <w:rFonts w:ascii="Lato" w:hAnsi="Lato"/>
        </w:rPr>
        <w:t>(36,4 TWh), co stanowiło 19,4% zu</w:t>
      </w:r>
      <w:r w:rsidRPr="004F0DBF">
        <w:rPr>
          <w:rFonts w:ascii="Lato" w:hAnsi="Lato" w:cs="Calibri"/>
        </w:rPr>
        <w:t>ż</w:t>
      </w:r>
      <w:r w:rsidRPr="004F0DBF">
        <w:rPr>
          <w:rFonts w:ascii="Lato" w:hAnsi="Lato"/>
        </w:rPr>
        <w:t>ycia gazu ziemnego w Polsce w 2022 r. Natomiast całkowita pojemno</w:t>
      </w:r>
      <w:r w:rsidRPr="004F0DBF">
        <w:rPr>
          <w:rFonts w:ascii="Lato" w:hAnsi="Lato" w:cs="Calibri"/>
        </w:rPr>
        <w:t>ść</w:t>
      </w:r>
      <w:r w:rsidRPr="004F0DBF">
        <w:rPr>
          <w:rFonts w:ascii="Lato" w:hAnsi="Lato"/>
        </w:rPr>
        <w:t xml:space="preserve"> podziemnych magazyn</w:t>
      </w:r>
      <w:r w:rsidRPr="004F0DBF">
        <w:rPr>
          <w:rFonts w:ascii="Lato" w:hAnsi="Lato" w:cs="Malgun Gothic"/>
        </w:rPr>
        <w:t>ó</w:t>
      </w:r>
      <w:r w:rsidRPr="004F0DBF">
        <w:rPr>
          <w:rFonts w:ascii="Lato" w:hAnsi="Lato"/>
        </w:rPr>
        <w:t>w gazu wysokometanowego (wraz z gazem buforowym, który podczas cyklu odbioru gazu ziemnego z PMG nie jest eksploatowany) wynosi</w:t>
      </w:r>
      <w:r w:rsidR="002F262E">
        <w:rPr>
          <w:rFonts w:ascii="Lato" w:hAnsi="Lato"/>
        </w:rPr>
        <w:t xml:space="preserve"> </w:t>
      </w:r>
      <w:r w:rsidRPr="004F0DBF">
        <w:rPr>
          <w:rFonts w:ascii="Lato" w:hAnsi="Lato"/>
        </w:rPr>
        <w:t>10,49 mld m</w:t>
      </w:r>
      <w:r w:rsidRPr="004F0DBF">
        <w:rPr>
          <w:rFonts w:ascii="Lato" w:hAnsi="Lato"/>
          <w:vertAlign w:val="superscript"/>
        </w:rPr>
        <w:t xml:space="preserve">3 </w:t>
      </w:r>
      <w:r w:rsidRPr="004F0DBF">
        <w:rPr>
          <w:rFonts w:ascii="Lato" w:hAnsi="Lato"/>
        </w:rPr>
        <w:t xml:space="preserve">(115,1 TWh). </w:t>
      </w:r>
    </w:p>
    <w:p w14:paraId="6C2BB08F" w14:textId="7A600EE5" w:rsidR="00FD227B" w:rsidRPr="006E0158" w:rsidRDefault="00FD227B" w:rsidP="00983C18">
      <w:pPr>
        <w:spacing w:before="240" w:line="276" w:lineRule="auto"/>
        <w:rPr>
          <w:rFonts w:ascii="Lato" w:eastAsia="Malgun Gothic" w:hAnsi="Lato"/>
          <w:b/>
          <w:bCs/>
          <w:szCs w:val="24"/>
        </w:rPr>
      </w:pPr>
      <w:r w:rsidRPr="006E0158">
        <w:rPr>
          <w:rFonts w:ascii="Lato" w:eastAsia="Malgun Gothic" w:hAnsi="Lato"/>
          <w:b/>
          <w:bCs/>
          <w:szCs w:val="24"/>
        </w:rPr>
        <w:t xml:space="preserve">Tabela </w:t>
      </w:r>
      <w:r w:rsidRPr="006E0158">
        <w:rPr>
          <w:rFonts w:ascii="Lato" w:eastAsia="Malgun Gothic" w:hAnsi="Lato"/>
          <w:b/>
          <w:bCs/>
          <w:szCs w:val="24"/>
        </w:rPr>
        <w:fldChar w:fldCharType="begin"/>
      </w:r>
      <w:r w:rsidRPr="006E0158">
        <w:rPr>
          <w:rFonts w:ascii="Lato" w:eastAsia="Malgun Gothic" w:hAnsi="Lato"/>
          <w:b/>
          <w:bCs/>
          <w:szCs w:val="24"/>
        </w:rPr>
        <w:instrText xml:space="preserve"> SEQ Tabela \* ARABIC </w:instrText>
      </w:r>
      <w:r w:rsidRPr="006E0158">
        <w:rPr>
          <w:rFonts w:ascii="Lato" w:eastAsia="Malgun Gothic" w:hAnsi="Lato"/>
          <w:b/>
          <w:bCs/>
          <w:szCs w:val="24"/>
        </w:rPr>
        <w:fldChar w:fldCharType="separate"/>
      </w:r>
      <w:r w:rsidR="00D520CA">
        <w:rPr>
          <w:rFonts w:ascii="Lato" w:eastAsia="Malgun Gothic" w:hAnsi="Lato"/>
          <w:b/>
          <w:bCs/>
          <w:noProof/>
          <w:szCs w:val="24"/>
        </w:rPr>
        <w:t>3</w:t>
      </w:r>
      <w:r w:rsidRPr="006E0158">
        <w:rPr>
          <w:rFonts w:ascii="Lato" w:eastAsia="Malgun Gothic" w:hAnsi="Lato"/>
          <w:b/>
          <w:bCs/>
          <w:szCs w:val="24"/>
        </w:rPr>
        <w:fldChar w:fldCharType="end"/>
      </w:r>
      <w:r w:rsidRPr="006E0158">
        <w:rPr>
          <w:rFonts w:ascii="Lato" w:eastAsia="Malgun Gothic" w:hAnsi="Lato"/>
          <w:b/>
          <w:bCs/>
          <w:szCs w:val="24"/>
        </w:rPr>
        <w:t>. Parametry techniczne PMG - stan na dzień 31.12.2022 r.</w:t>
      </w:r>
    </w:p>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3"/>
        <w:gridCol w:w="2073"/>
        <w:gridCol w:w="1105"/>
        <w:gridCol w:w="1105"/>
        <w:gridCol w:w="1105"/>
        <w:gridCol w:w="1519"/>
        <w:gridCol w:w="1519"/>
      </w:tblGrid>
      <w:tr w:rsidR="00FD227B" w:rsidRPr="00C758B1" w14:paraId="672E0BA6" w14:textId="77777777" w:rsidTr="00270AE5">
        <w:trPr>
          <w:trHeight w:val="1386"/>
          <w:jc w:val="center"/>
        </w:trPr>
        <w:tc>
          <w:tcPr>
            <w:tcW w:w="1653" w:type="dxa"/>
            <w:shd w:val="clear" w:color="auto" w:fill="D9D9D9"/>
            <w:vAlign w:val="center"/>
          </w:tcPr>
          <w:p w14:paraId="632148DF" w14:textId="77777777" w:rsidR="00FD227B" w:rsidRPr="00C758B1" w:rsidRDefault="00FD227B" w:rsidP="00983C18">
            <w:pPr>
              <w:spacing w:line="276" w:lineRule="auto"/>
              <w:ind w:left="-113" w:right="-108"/>
              <w:jc w:val="center"/>
              <w:rPr>
                <w:rFonts w:ascii="Lato" w:eastAsia="Malgun Gothic" w:hAnsi="Lato"/>
                <w:sz w:val="20"/>
                <w:szCs w:val="20"/>
              </w:rPr>
            </w:pPr>
            <w:r w:rsidRPr="00C758B1">
              <w:rPr>
                <w:rFonts w:ascii="Lato" w:eastAsia="Malgun Gothic" w:hAnsi="Lato"/>
                <w:b/>
                <w:sz w:val="20"/>
                <w:szCs w:val="20"/>
              </w:rPr>
              <w:lastRenderedPageBreak/>
              <w:t>Instalacja</w:t>
            </w:r>
          </w:p>
        </w:tc>
        <w:tc>
          <w:tcPr>
            <w:tcW w:w="2073" w:type="dxa"/>
            <w:shd w:val="clear" w:color="auto" w:fill="D9D9D9"/>
            <w:vAlign w:val="center"/>
          </w:tcPr>
          <w:p w14:paraId="0EF574A6"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b/>
                <w:sz w:val="20"/>
                <w:szCs w:val="20"/>
              </w:rPr>
              <w:t>Rodzaj</w:t>
            </w:r>
          </w:p>
        </w:tc>
        <w:tc>
          <w:tcPr>
            <w:tcW w:w="1105" w:type="dxa"/>
            <w:shd w:val="clear" w:color="auto" w:fill="D9D9D9"/>
            <w:vAlign w:val="center"/>
          </w:tcPr>
          <w:p w14:paraId="7988AB6A" w14:textId="77777777" w:rsidR="00FD227B" w:rsidRPr="00C758B1" w:rsidRDefault="00FD227B" w:rsidP="00983C18">
            <w:pPr>
              <w:spacing w:line="276" w:lineRule="auto"/>
              <w:ind w:left="-108" w:right="-108"/>
              <w:jc w:val="center"/>
              <w:rPr>
                <w:rFonts w:ascii="Lato" w:eastAsia="Malgun Gothic" w:hAnsi="Lato"/>
                <w:b/>
                <w:sz w:val="20"/>
                <w:szCs w:val="20"/>
              </w:rPr>
            </w:pPr>
            <w:r w:rsidRPr="00C758B1">
              <w:rPr>
                <w:rFonts w:ascii="Lato" w:eastAsia="Malgun Gothic" w:hAnsi="Lato"/>
                <w:b/>
                <w:sz w:val="20"/>
                <w:szCs w:val="20"/>
              </w:rPr>
              <w:t>pojemność całkowita</w:t>
            </w:r>
          </w:p>
          <w:p w14:paraId="0B24FAAC" w14:textId="77777777" w:rsidR="00FD227B" w:rsidRPr="00C758B1" w:rsidRDefault="00FD227B" w:rsidP="00983C18">
            <w:pPr>
              <w:spacing w:line="276" w:lineRule="auto"/>
              <w:ind w:left="-108" w:right="-108"/>
              <w:jc w:val="center"/>
              <w:rPr>
                <w:rFonts w:ascii="Lato" w:eastAsia="Malgun Gothic" w:hAnsi="Lato"/>
                <w:b/>
                <w:sz w:val="20"/>
                <w:szCs w:val="20"/>
              </w:rPr>
            </w:pPr>
            <w:r w:rsidRPr="00C758B1">
              <w:rPr>
                <w:rFonts w:ascii="Lato" w:eastAsia="Malgun Gothic" w:hAnsi="Lato"/>
                <w:b/>
                <w:sz w:val="20"/>
                <w:szCs w:val="20"/>
              </w:rPr>
              <w:t>[w mln m</w:t>
            </w:r>
            <w:r w:rsidRPr="00C758B1">
              <w:rPr>
                <w:rFonts w:ascii="Lato" w:eastAsia="Malgun Gothic" w:hAnsi="Lato"/>
                <w:b/>
                <w:sz w:val="20"/>
                <w:szCs w:val="20"/>
                <w:vertAlign w:val="superscript"/>
              </w:rPr>
              <w:t>3</w:t>
            </w:r>
            <w:r w:rsidRPr="00C758B1">
              <w:rPr>
                <w:rFonts w:ascii="Lato" w:eastAsia="Malgun Gothic" w:hAnsi="Lato"/>
                <w:b/>
                <w:sz w:val="20"/>
                <w:szCs w:val="20"/>
              </w:rPr>
              <w:t>]</w:t>
            </w:r>
          </w:p>
        </w:tc>
        <w:tc>
          <w:tcPr>
            <w:tcW w:w="1105" w:type="dxa"/>
            <w:shd w:val="clear" w:color="auto" w:fill="D9D9D9"/>
            <w:vAlign w:val="center"/>
          </w:tcPr>
          <w:p w14:paraId="24B14106" w14:textId="77777777" w:rsidR="00FD227B" w:rsidRPr="00C758B1" w:rsidRDefault="00FD227B" w:rsidP="00983C18">
            <w:pPr>
              <w:spacing w:line="276" w:lineRule="auto"/>
              <w:ind w:left="-108" w:right="-108"/>
              <w:jc w:val="center"/>
              <w:rPr>
                <w:rFonts w:ascii="Lato" w:eastAsia="Malgun Gothic" w:hAnsi="Lato"/>
                <w:b/>
                <w:sz w:val="20"/>
                <w:szCs w:val="20"/>
              </w:rPr>
            </w:pPr>
            <w:r w:rsidRPr="00C758B1">
              <w:rPr>
                <w:rFonts w:ascii="Lato" w:eastAsia="Malgun Gothic" w:hAnsi="Lato"/>
                <w:b/>
                <w:sz w:val="20"/>
                <w:szCs w:val="20"/>
              </w:rPr>
              <w:t>pojemność czynna</w:t>
            </w:r>
          </w:p>
          <w:p w14:paraId="3F1840EC" w14:textId="77777777" w:rsidR="00FD227B" w:rsidRPr="00C758B1" w:rsidRDefault="00FD227B" w:rsidP="00983C18">
            <w:pPr>
              <w:spacing w:line="276" w:lineRule="auto"/>
              <w:ind w:left="-108" w:right="-108"/>
              <w:jc w:val="center"/>
              <w:rPr>
                <w:rFonts w:ascii="Lato" w:eastAsia="Malgun Gothic" w:hAnsi="Lato"/>
                <w:b/>
                <w:sz w:val="20"/>
                <w:szCs w:val="20"/>
              </w:rPr>
            </w:pPr>
            <w:r w:rsidRPr="00C758B1">
              <w:rPr>
                <w:rFonts w:ascii="Lato" w:eastAsia="Malgun Gothic" w:hAnsi="Lato"/>
                <w:b/>
                <w:sz w:val="20"/>
                <w:szCs w:val="20"/>
              </w:rPr>
              <w:t>[w mln m</w:t>
            </w:r>
            <w:r w:rsidRPr="00C758B1">
              <w:rPr>
                <w:rFonts w:ascii="Lato" w:eastAsia="Malgun Gothic" w:hAnsi="Lato"/>
                <w:b/>
                <w:sz w:val="20"/>
                <w:szCs w:val="20"/>
                <w:vertAlign w:val="superscript"/>
              </w:rPr>
              <w:t>3</w:t>
            </w:r>
            <w:r w:rsidRPr="00C758B1">
              <w:rPr>
                <w:rFonts w:ascii="Lato" w:eastAsia="Malgun Gothic" w:hAnsi="Lato"/>
                <w:b/>
                <w:sz w:val="20"/>
                <w:szCs w:val="20"/>
              </w:rPr>
              <w:t>]</w:t>
            </w:r>
          </w:p>
        </w:tc>
        <w:tc>
          <w:tcPr>
            <w:tcW w:w="1105" w:type="dxa"/>
            <w:shd w:val="clear" w:color="auto" w:fill="D9D9D9"/>
            <w:vAlign w:val="center"/>
          </w:tcPr>
          <w:p w14:paraId="207F6AFD" w14:textId="77777777" w:rsidR="00FD227B" w:rsidRPr="00C758B1" w:rsidRDefault="00FD227B" w:rsidP="00983C18">
            <w:pPr>
              <w:spacing w:line="276" w:lineRule="auto"/>
              <w:ind w:left="-108" w:right="-109"/>
              <w:jc w:val="center"/>
              <w:rPr>
                <w:rFonts w:ascii="Lato" w:eastAsia="Malgun Gothic" w:hAnsi="Lato"/>
                <w:b/>
                <w:sz w:val="20"/>
                <w:szCs w:val="20"/>
              </w:rPr>
            </w:pPr>
            <w:r w:rsidRPr="00C758B1">
              <w:rPr>
                <w:rFonts w:ascii="Lato" w:eastAsia="Malgun Gothic" w:hAnsi="Lato"/>
                <w:b/>
                <w:sz w:val="20"/>
                <w:szCs w:val="20"/>
              </w:rPr>
              <w:t>pojemność buforowa</w:t>
            </w:r>
          </w:p>
          <w:p w14:paraId="533829CD" w14:textId="77777777" w:rsidR="00FD227B" w:rsidRPr="00C758B1" w:rsidRDefault="00FD227B" w:rsidP="00983C18">
            <w:pPr>
              <w:spacing w:line="276" w:lineRule="auto"/>
              <w:ind w:left="-108" w:right="-109"/>
              <w:jc w:val="center"/>
              <w:rPr>
                <w:rFonts w:ascii="Lato" w:eastAsia="Malgun Gothic" w:hAnsi="Lato"/>
                <w:b/>
                <w:sz w:val="20"/>
                <w:szCs w:val="20"/>
              </w:rPr>
            </w:pPr>
            <w:r w:rsidRPr="00C758B1">
              <w:rPr>
                <w:rFonts w:ascii="Lato" w:eastAsia="Malgun Gothic" w:hAnsi="Lato"/>
                <w:b/>
                <w:sz w:val="20"/>
                <w:szCs w:val="20"/>
              </w:rPr>
              <w:t>[w mln m</w:t>
            </w:r>
            <w:r w:rsidRPr="00C758B1">
              <w:rPr>
                <w:rFonts w:ascii="Lato" w:eastAsia="Malgun Gothic" w:hAnsi="Lato"/>
                <w:b/>
                <w:sz w:val="20"/>
                <w:szCs w:val="20"/>
                <w:vertAlign w:val="superscript"/>
              </w:rPr>
              <w:t>3</w:t>
            </w:r>
            <w:r w:rsidRPr="00C758B1">
              <w:rPr>
                <w:rFonts w:ascii="Lato" w:eastAsia="Malgun Gothic" w:hAnsi="Lato"/>
                <w:b/>
                <w:sz w:val="20"/>
                <w:szCs w:val="20"/>
              </w:rPr>
              <w:t>]</w:t>
            </w:r>
          </w:p>
        </w:tc>
        <w:tc>
          <w:tcPr>
            <w:tcW w:w="1519" w:type="dxa"/>
            <w:shd w:val="clear" w:color="auto" w:fill="D9D9D9"/>
            <w:vAlign w:val="center"/>
          </w:tcPr>
          <w:p w14:paraId="2CA878A9" w14:textId="77777777" w:rsidR="00FD227B" w:rsidRPr="00C758B1" w:rsidRDefault="00FD227B" w:rsidP="00983C18">
            <w:pPr>
              <w:spacing w:line="276" w:lineRule="auto"/>
              <w:ind w:left="-107"/>
              <w:jc w:val="center"/>
              <w:rPr>
                <w:rFonts w:ascii="Lato" w:eastAsia="Malgun Gothic" w:hAnsi="Lato"/>
                <w:b/>
                <w:sz w:val="20"/>
                <w:szCs w:val="20"/>
              </w:rPr>
            </w:pPr>
            <w:r w:rsidRPr="00C758B1">
              <w:rPr>
                <w:rFonts w:ascii="Lato" w:eastAsia="Malgun Gothic" w:hAnsi="Lato"/>
                <w:b/>
                <w:sz w:val="20"/>
                <w:szCs w:val="20"/>
              </w:rPr>
              <w:t>Moc odbioru przy 100% napełnieniu</w:t>
            </w:r>
          </w:p>
          <w:p w14:paraId="5629C768" w14:textId="77777777" w:rsidR="00FD227B" w:rsidRPr="00C758B1" w:rsidRDefault="00FD227B" w:rsidP="00983C18">
            <w:pPr>
              <w:spacing w:line="276" w:lineRule="auto"/>
              <w:ind w:left="-107"/>
              <w:jc w:val="center"/>
              <w:rPr>
                <w:rFonts w:ascii="Lato" w:eastAsia="Malgun Gothic" w:hAnsi="Lato"/>
                <w:b/>
                <w:sz w:val="20"/>
                <w:szCs w:val="20"/>
              </w:rPr>
            </w:pPr>
            <w:r w:rsidRPr="00C758B1">
              <w:rPr>
                <w:rFonts w:ascii="Lato" w:eastAsia="Malgun Gothic" w:hAnsi="Lato"/>
                <w:b/>
                <w:sz w:val="20"/>
                <w:szCs w:val="20"/>
              </w:rPr>
              <w:t>[mln m</w:t>
            </w:r>
            <w:r w:rsidRPr="00C758B1">
              <w:rPr>
                <w:rFonts w:ascii="Lato" w:eastAsia="Malgun Gothic" w:hAnsi="Lato"/>
                <w:b/>
                <w:sz w:val="20"/>
                <w:szCs w:val="20"/>
                <w:vertAlign w:val="superscript"/>
              </w:rPr>
              <w:t>3</w:t>
            </w:r>
            <w:r w:rsidRPr="00C758B1">
              <w:rPr>
                <w:rFonts w:ascii="Lato" w:eastAsia="Malgun Gothic" w:hAnsi="Lato"/>
                <w:b/>
                <w:sz w:val="20"/>
                <w:szCs w:val="20"/>
              </w:rPr>
              <w:t>/dobę]</w:t>
            </w:r>
          </w:p>
        </w:tc>
        <w:tc>
          <w:tcPr>
            <w:tcW w:w="1519" w:type="dxa"/>
            <w:shd w:val="clear" w:color="auto" w:fill="D9D9D9"/>
            <w:vAlign w:val="center"/>
          </w:tcPr>
          <w:p w14:paraId="1BD3BCB9" w14:textId="77777777" w:rsidR="00FD227B" w:rsidRPr="00C758B1" w:rsidRDefault="00FD227B" w:rsidP="00983C18">
            <w:pPr>
              <w:spacing w:line="276" w:lineRule="auto"/>
              <w:ind w:left="-107"/>
              <w:jc w:val="center"/>
              <w:rPr>
                <w:rFonts w:ascii="Lato" w:eastAsia="Malgun Gothic" w:hAnsi="Lato"/>
                <w:b/>
                <w:sz w:val="20"/>
                <w:szCs w:val="20"/>
              </w:rPr>
            </w:pPr>
            <w:r w:rsidRPr="00C758B1">
              <w:rPr>
                <w:rFonts w:ascii="Lato" w:eastAsia="Malgun Gothic" w:hAnsi="Lato"/>
                <w:b/>
                <w:sz w:val="20"/>
                <w:szCs w:val="20"/>
              </w:rPr>
              <w:t>Moc odbioru przy 30% napełnienia</w:t>
            </w:r>
          </w:p>
          <w:p w14:paraId="24FBB3D0" w14:textId="77777777" w:rsidR="00FD227B" w:rsidRPr="00C758B1" w:rsidRDefault="00FD227B" w:rsidP="00983C18">
            <w:pPr>
              <w:spacing w:line="276" w:lineRule="auto"/>
              <w:ind w:left="-107"/>
              <w:jc w:val="center"/>
              <w:rPr>
                <w:rFonts w:ascii="Lato" w:eastAsia="Malgun Gothic" w:hAnsi="Lato"/>
                <w:b/>
                <w:sz w:val="20"/>
                <w:szCs w:val="20"/>
              </w:rPr>
            </w:pPr>
            <w:r w:rsidRPr="00C758B1">
              <w:rPr>
                <w:rFonts w:ascii="Lato" w:eastAsia="Malgun Gothic" w:hAnsi="Lato"/>
                <w:b/>
                <w:sz w:val="20"/>
                <w:szCs w:val="20"/>
              </w:rPr>
              <w:t>[mln m</w:t>
            </w:r>
            <w:r w:rsidRPr="00C758B1">
              <w:rPr>
                <w:rFonts w:ascii="Lato" w:eastAsia="Malgun Gothic" w:hAnsi="Lato"/>
                <w:b/>
                <w:sz w:val="20"/>
                <w:szCs w:val="20"/>
                <w:vertAlign w:val="superscript"/>
              </w:rPr>
              <w:t>3</w:t>
            </w:r>
            <w:r w:rsidRPr="00C758B1">
              <w:rPr>
                <w:rFonts w:ascii="Lato" w:eastAsia="Malgun Gothic" w:hAnsi="Lato"/>
                <w:b/>
                <w:sz w:val="20"/>
                <w:szCs w:val="20"/>
              </w:rPr>
              <w:t>/dobę]</w:t>
            </w:r>
          </w:p>
        </w:tc>
      </w:tr>
      <w:tr w:rsidR="00FD227B" w:rsidRPr="00C758B1" w14:paraId="4A0BC221" w14:textId="77777777" w:rsidTr="00270AE5">
        <w:trPr>
          <w:trHeight w:val="703"/>
          <w:jc w:val="center"/>
        </w:trPr>
        <w:tc>
          <w:tcPr>
            <w:tcW w:w="1653" w:type="dxa"/>
            <w:vAlign w:val="center"/>
          </w:tcPr>
          <w:p w14:paraId="6C81DE61"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Wierzchowice</w:t>
            </w:r>
          </w:p>
        </w:tc>
        <w:tc>
          <w:tcPr>
            <w:tcW w:w="2073" w:type="dxa"/>
            <w:vAlign w:val="center"/>
          </w:tcPr>
          <w:p w14:paraId="4D3D31D6"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złoże wyeksploatowane</w:t>
            </w:r>
          </w:p>
        </w:tc>
        <w:tc>
          <w:tcPr>
            <w:tcW w:w="1105" w:type="dxa"/>
            <w:vAlign w:val="center"/>
          </w:tcPr>
          <w:p w14:paraId="3FADCFA9"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7 028,1 </w:t>
            </w:r>
          </w:p>
        </w:tc>
        <w:tc>
          <w:tcPr>
            <w:tcW w:w="1105" w:type="dxa"/>
            <w:vAlign w:val="center"/>
          </w:tcPr>
          <w:p w14:paraId="0A0455F9"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1 300,0</w:t>
            </w:r>
          </w:p>
        </w:tc>
        <w:tc>
          <w:tcPr>
            <w:tcW w:w="1105" w:type="dxa"/>
            <w:vAlign w:val="center"/>
          </w:tcPr>
          <w:p w14:paraId="6362E12F"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5 728,1</w:t>
            </w:r>
          </w:p>
        </w:tc>
        <w:tc>
          <w:tcPr>
            <w:tcW w:w="1519" w:type="dxa"/>
            <w:vAlign w:val="center"/>
          </w:tcPr>
          <w:p w14:paraId="6365BCF6"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14,40</w:t>
            </w:r>
          </w:p>
        </w:tc>
        <w:tc>
          <w:tcPr>
            <w:tcW w:w="1519" w:type="dxa"/>
            <w:vAlign w:val="center"/>
          </w:tcPr>
          <w:p w14:paraId="510F10FE"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12,24 </w:t>
            </w:r>
          </w:p>
        </w:tc>
      </w:tr>
      <w:tr w:rsidR="00FD227B" w:rsidRPr="00C758B1" w14:paraId="4A5C5508" w14:textId="77777777" w:rsidTr="00270AE5">
        <w:trPr>
          <w:trHeight w:val="419"/>
          <w:jc w:val="center"/>
        </w:trPr>
        <w:tc>
          <w:tcPr>
            <w:tcW w:w="1653" w:type="dxa"/>
            <w:vAlign w:val="center"/>
          </w:tcPr>
          <w:p w14:paraId="40234E5F"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Mogilno</w:t>
            </w:r>
          </w:p>
        </w:tc>
        <w:tc>
          <w:tcPr>
            <w:tcW w:w="2073" w:type="dxa"/>
            <w:vAlign w:val="center"/>
          </w:tcPr>
          <w:p w14:paraId="258258F2"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kawerny solne</w:t>
            </w:r>
          </w:p>
        </w:tc>
        <w:tc>
          <w:tcPr>
            <w:tcW w:w="1105" w:type="dxa"/>
            <w:vAlign w:val="center"/>
          </w:tcPr>
          <w:p w14:paraId="149B0BDE"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821,2 </w:t>
            </w:r>
          </w:p>
        </w:tc>
        <w:tc>
          <w:tcPr>
            <w:tcW w:w="1105" w:type="dxa"/>
            <w:vAlign w:val="center"/>
          </w:tcPr>
          <w:p w14:paraId="1B22EFDC"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580,9</w:t>
            </w:r>
          </w:p>
        </w:tc>
        <w:tc>
          <w:tcPr>
            <w:tcW w:w="1105" w:type="dxa"/>
            <w:vAlign w:val="center"/>
          </w:tcPr>
          <w:p w14:paraId="265884D8"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240,3 </w:t>
            </w:r>
          </w:p>
        </w:tc>
        <w:tc>
          <w:tcPr>
            <w:tcW w:w="1519" w:type="dxa"/>
            <w:vAlign w:val="center"/>
          </w:tcPr>
          <w:p w14:paraId="2CED159B"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18,00</w:t>
            </w:r>
          </w:p>
        </w:tc>
        <w:tc>
          <w:tcPr>
            <w:tcW w:w="1519" w:type="dxa"/>
            <w:vAlign w:val="center"/>
          </w:tcPr>
          <w:p w14:paraId="1E62AB8F"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11,52</w:t>
            </w:r>
          </w:p>
        </w:tc>
      </w:tr>
      <w:tr w:rsidR="00FD227B" w:rsidRPr="00C758B1" w14:paraId="53BBF2BF" w14:textId="77777777" w:rsidTr="00270AE5">
        <w:trPr>
          <w:trHeight w:val="693"/>
          <w:jc w:val="center"/>
        </w:trPr>
        <w:tc>
          <w:tcPr>
            <w:tcW w:w="1653" w:type="dxa"/>
            <w:vAlign w:val="center"/>
          </w:tcPr>
          <w:p w14:paraId="5336E3B4"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Husów</w:t>
            </w:r>
          </w:p>
        </w:tc>
        <w:tc>
          <w:tcPr>
            <w:tcW w:w="2073" w:type="dxa"/>
            <w:vAlign w:val="center"/>
          </w:tcPr>
          <w:p w14:paraId="7BCA5B63"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złoże wyeksploatowane</w:t>
            </w:r>
          </w:p>
        </w:tc>
        <w:tc>
          <w:tcPr>
            <w:tcW w:w="1105" w:type="dxa"/>
            <w:vAlign w:val="center"/>
          </w:tcPr>
          <w:p w14:paraId="1D20CD7E"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1 000,0</w:t>
            </w:r>
          </w:p>
        </w:tc>
        <w:tc>
          <w:tcPr>
            <w:tcW w:w="1105" w:type="dxa"/>
            <w:vAlign w:val="center"/>
          </w:tcPr>
          <w:p w14:paraId="0E781D3D"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500,0</w:t>
            </w:r>
          </w:p>
        </w:tc>
        <w:tc>
          <w:tcPr>
            <w:tcW w:w="1105" w:type="dxa"/>
            <w:vAlign w:val="center"/>
          </w:tcPr>
          <w:p w14:paraId="3106650F"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500,0</w:t>
            </w:r>
          </w:p>
        </w:tc>
        <w:tc>
          <w:tcPr>
            <w:tcW w:w="1519" w:type="dxa"/>
            <w:vAlign w:val="center"/>
          </w:tcPr>
          <w:p w14:paraId="5D5FB741"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5,76</w:t>
            </w:r>
          </w:p>
        </w:tc>
        <w:tc>
          <w:tcPr>
            <w:tcW w:w="1519" w:type="dxa"/>
            <w:vAlign w:val="center"/>
          </w:tcPr>
          <w:p w14:paraId="3C062B67"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4,17</w:t>
            </w:r>
          </w:p>
        </w:tc>
      </w:tr>
      <w:tr w:rsidR="00FD227B" w:rsidRPr="00C758B1" w14:paraId="7B557488" w14:textId="77777777" w:rsidTr="00270AE5">
        <w:trPr>
          <w:trHeight w:val="703"/>
          <w:jc w:val="center"/>
        </w:trPr>
        <w:tc>
          <w:tcPr>
            <w:tcW w:w="1653" w:type="dxa"/>
            <w:vAlign w:val="center"/>
          </w:tcPr>
          <w:p w14:paraId="6C5C6B8A"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Strachocina</w:t>
            </w:r>
          </w:p>
        </w:tc>
        <w:tc>
          <w:tcPr>
            <w:tcW w:w="2073" w:type="dxa"/>
            <w:vAlign w:val="center"/>
          </w:tcPr>
          <w:p w14:paraId="30968B63"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złoże wyeksploatowane</w:t>
            </w:r>
          </w:p>
        </w:tc>
        <w:tc>
          <w:tcPr>
            <w:tcW w:w="1105" w:type="dxa"/>
            <w:vAlign w:val="center"/>
          </w:tcPr>
          <w:p w14:paraId="1A6E315B"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890,9</w:t>
            </w:r>
          </w:p>
        </w:tc>
        <w:tc>
          <w:tcPr>
            <w:tcW w:w="1105" w:type="dxa"/>
            <w:vAlign w:val="center"/>
          </w:tcPr>
          <w:p w14:paraId="1068221D"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360,0</w:t>
            </w:r>
          </w:p>
        </w:tc>
        <w:tc>
          <w:tcPr>
            <w:tcW w:w="1105" w:type="dxa"/>
            <w:vAlign w:val="center"/>
          </w:tcPr>
          <w:p w14:paraId="05F172E7"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530,9</w:t>
            </w:r>
          </w:p>
        </w:tc>
        <w:tc>
          <w:tcPr>
            <w:tcW w:w="1519" w:type="dxa"/>
            <w:vAlign w:val="center"/>
          </w:tcPr>
          <w:p w14:paraId="1AD1BC85"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3,36</w:t>
            </w:r>
          </w:p>
        </w:tc>
        <w:tc>
          <w:tcPr>
            <w:tcW w:w="1519" w:type="dxa"/>
            <w:vAlign w:val="center"/>
          </w:tcPr>
          <w:p w14:paraId="7B3A016C"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2,35</w:t>
            </w:r>
          </w:p>
        </w:tc>
      </w:tr>
      <w:tr w:rsidR="00FD227B" w:rsidRPr="00C758B1" w14:paraId="32E54DB6" w14:textId="77777777" w:rsidTr="00270AE5">
        <w:trPr>
          <w:trHeight w:val="693"/>
          <w:jc w:val="center"/>
        </w:trPr>
        <w:tc>
          <w:tcPr>
            <w:tcW w:w="1653" w:type="dxa"/>
            <w:vAlign w:val="center"/>
          </w:tcPr>
          <w:p w14:paraId="18647F9E"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Swarzów</w:t>
            </w:r>
          </w:p>
        </w:tc>
        <w:tc>
          <w:tcPr>
            <w:tcW w:w="2073" w:type="dxa"/>
            <w:vAlign w:val="center"/>
          </w:tcPr>
          <w:p w14:paraId="62808DC3"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złoże wyeksploatowane</w:t>
            </w:r>
          </w:p>
        </w:tc>
        <w:tc>
          <w:tcPr>
            <w:tcW w:w="1105" w:type="dxa"/>
            <w:vAlign w:val="center"/>
          </w:tcPr>
          <w:p w14:paraId="78CB68F9"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201,0</w:t>
            </w:r>
          </w:p>
        </w:tc>
        <w:tc>
          <w:tcPr>
            <w:tcW w:w="1105" w:type="dxa"/>
            <w:vAlign w:val="center"/>
          </w:tcPr>
          <w:p w14:paraId="2E871151"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90,0</w:t>
            </w:r>
          </w:p>
        </w:tc>
        <w:tc>
          <w:tcPr>
            <w:tcW w:w="1105" w:type="dxa"/>
            <w:vAlign w:val="center"/>
          </w:tcPr>
          <w:p w14:paraId="0EB029D2"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111,0</w:t>
            </w:r>
          </w:p>
        </w:tc>
        <w:tc>
          <w:tcPr>
            <w:tcW w:w="1519" w:type="dxa"/>
            <w:vAlign w:val="center"/>
          </w:tcPr>
          <w:p w14:paraId="17410527"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0,93</w:t>
            </w:r>
          </w:p>
        </w:tc>
        <w:tc>
          <w:tcPr>
            <w:tcW w:w="1519" w:type="dxa"/>
            <w:vAlign w:val="center"/>
          </w:tcPr>
          <w:p w14:paraId="346F74EC"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0,47</w:t>
            </w:r>
          </w:p>
        </w:tc>
      </w:tr>
      <w:tr w:rsidR="00FD227B" w:rsidRPr="00C758B1" w14:paraId="3255BE49" w14:textId="77777777" w:rsidTr="00270AE5">
        <w:trPr>
          <w:trHeight w:val="693"/>
          <w:jc w:val="center"/>
        </w:trPr>
        <w:tc>
          <w:tcPr>
            <w:tcW w:w="1653" w:type="dxa"/>
            <w:vAlign w:val="center"/>
          </w:tcPr>
          <w:p w14:paraId="21E32000"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Brzeźnica</w:t>
            </w:r>
          </w:p>
        </w:tc>
        <w:tc>
          <w:tcPr>
            <w:tcW w:w="2073" w:type="dxa"/>
            <w:vAlign w:val="center"/>
          </w:tcPr>
          <w:p w14:paraId="214F7485"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złoże wyeksploatowane</w:t>
            </w:r>
          </w:p>
        </w:tc>
        <w:tc>
          <w:tcPr>
            <w:tcW w:w="1105" w:type="dxa"/>
            <w:vAlign w:val="center"/>
          </w:tcPr>
          <w:p w14:paraId="0035E7F7"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166,9</w:t>
            </w:r>
          </w:p>
        </w:tc>
        <w:tc>
          <w:tcPr>
            <w:tcW w:w="1105" w:type="dxa"/>
            <w:vAlign w:val="center"/>
          </w:tcPr>
          <w:p w14:paraId="2F109372"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100,0</w:t>
            </w:r>
          </w:p>
        </w:tc>
        <w:tc>
          <w:tcPr>
            <w:tcW w:w="1105" w:type="dxa"/>
            <w:vAlign w:val="center"/>
          </w:tcPr>
          <w:p w14:paraId="29F55668"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66,9</w:t>
            </w:r>
          </w:p>
        </w:tc>
        <w:tc>
          <w:tcPr>
            <w:tcW w:w="1519" w:type="dxa"/>
            <w:vAlign w:val="center"/>
          </w:tcPr>
          <w:p w14:paraId="44009B6A"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1,44</w:t>
            </w:r>
          </w:p>
        </w:tc>
        <w:tc>
          <w:tcPr>
            <w:tcW w:w="1519" w:type="dxa"/>
            <w:vAlign w:val="center"/>
          </w:tcPr>
          <w:p w14:paraId="6656FDDC"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0,89</w:t>
            </w:r>
          </w:p>
        </w:tc>
      </w:tr>
      <w:tr w:rsidR="00FD227B" w:rsidRPr="00C758B1" w14:paraId="6441FBDA" w14:textId="77777777" w:rsidTr="00270AE5">
        <w:trPr>
          <w:trHeight w:val="429"/>
          <w:jc w:val="center"/>
        </w:trPr>
        <w:tc>
          <w:tcPr>
            <w:tcW w:w="1653" w:type="dxa"/>
            <w:vAlign w:val="center"/>
          </w:tcPr>
          <w:p w14:paraId="1E71B670"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Kosakowo</w:t>
            </w:r>
          </w:p>
        </w:tc>
        <w:tc>
          <w:tcPr>
            <w:tcW w:w="2073" w:type="dxa"/>
            <w:vAlign w:val="center"/>
          </w:tcPr>
          <w:p w14:paraId="0B7097D8"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kawerny solne</w:t>
            </w:r>
          </w:p>
        </w:tc>
        <w:tc>
          <w:tcPr>
            <w:tcW w:w="1105" w:type="dxa"/>
            <w:vAlign w:val="center"/>
          </w:tcPr>
          <w:p w14:paraId="797DF2F0"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384,0 </w:t>
            </w:r>
          </w:p>
        </w:tc>
        <w:tc>
          <w:tcPr>
            <w:tcW w:w="1105" w:type="dxa"/>
            <w:vAlign w:val="center"/>
          </w:tcPr>
          <w:p w14:paraId="6FDDC73D"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299,7</w:t>
            </w:r>
          </w:p>
        </w:tc>
        <w:tc>
          <w:tcPr>
            <w:tcW w:w="1105" w:type="dxa"/>
            <w:vAlign w:val="center"/>
          </w:tcPr>
          <w:p w14:paraId="2A315849"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84,3 </w:t>
            </w:r>
          </w:p>
        </w:tc>
        <w:tc>
          <w:tcPr>
            <w:tcW w:w="1519" w:type="dxa"/>
            <w:vAlign w:val="center"/>
          </w:tcPr>
          <w:p w14:paraId="4214BC5D"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9,60</w:t>
            </w:r>
          </w:p>
        </w:tc>
        <w:tc>
          <w:tcPr>
            <w:tcW w:w="1519" w:type="dxa"/>
            <w:vAlign w:val="center"/>
          </w:tcPr>
          <w:p w14:paraId="308B1F71"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6,0</w:t>
            </w:r>
          </w:p>
        </w:tc>
      </w:tr>
      <w:tr w:rsidR="00FD227B" w:rsidRPr="00C758B1" w14:paraId="328495F9" w14:textId="77777777" w:rsidTr="00270AE5">
        <w:trPr>
          <w:trHeight w:val="419"/>
          <w:jc w:val="center"/>
        </w:trPr>
        <w:tc>
          <w:tcPr>
            <w:tcW w:w="3726" w:type="dxa"/>
            <w:gridSpan w:val="2"/>
            <w:shd w:val="clear" w:color="auto" w:fill="D9D9D9"/>
            <w:vAlign w:val="center"/>
          </w:tcPr>
          <w:p w14:paraId="5267D72D"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b/>
                <w:sz w:val="20"/>
                <w:szCs w:val="20"/>
              </w:rPr>
              <w:t>Razem</w:t>
            </w:r>
          </w:p>
        </w:tc>
        <w:tc>
          <w:tcPr>
            <w:tcW w:w="1105" w:type="dxa"/>
            <w:shd w:val="clear" w:color="auto" w:fill="D9D9D9"/>
            <w:vAlign w:val="center"/>
          </w:tcPr>
          <w:p w14:paraId="74B6B249" w14:textId="77777777" w:rsidR="00FD227B" w:rsidRPr="00C758B1" w:rsidRDefault="00FD227B" w:rsidP="00983C18">
            <w:pPr>
              <w:spacing w:line="276" w:lineRule="auto"/>
              <w:jc w:val="center"/>
              <w:rPr>
                <w:rFonts w:ascii="Lato" w:eastAsia="Malgun Gothic" w:hAnsi="Lato"/>
                <w:sz w:val="20"/>
                <w:szCs w:val="20"/>
                <w:highlight w:val="yellow"/>
              </w:rPr>
            </w:pPr>
            <w:r w:rsidRPr="00C758B1">
              <w:rPr>
                <w:rFonts w:ascii="Lato" w:eastAsia="Malgun Gothic" w:hAnsi="Lato"/>
                <w:sz w:val="20"/>
                <w:szCs w:val="20"/>
              </w:rPr>
              <w:t xml:space="preserve">10 492,1 </w:t>
            </w:r>
          </w:p>
        </w:tc>
        <w:tc>
          <w:tcPr>
            <w:tcW w:w="1105" w:type="dxa"/>
            <w:shd w:val="clear" w:color="auto" w:fill="D9D9D9"/>
            <w:vAlign w:val="center"/>
          </w:tcPr>
          <w:p w14:paraId="1FE28BAA" w14:textId="77777777" w:rsidR="00FD227B" w:rsidRPr="00C758B1" w:rsidRDefault="00FD227B" w:rsidP="00983C18">
            <w:pPr>
              <w:spacing w:line="276" w:lineRule="auto"/>
              <w:jc w:val="center"/>
              <w:rPr>
                <w:rFonts w:ascii="Lato" w:eastAsia="Malgun Gothic" w:hAnsi="Lato"/>
                <w:b/>
                <w:sz w:val="20"/>
                <w:szCs w:val="20"/>
              </w:rPr>
            </w:pPr>
            <w:r w:rsidRPr="00C758B1">
              <w:rPr>
                <w:rFonts w:ascii="Lato" w:eastAsia="Malgun Gothic" w:hAnsi="Lato"/>
                <w:b/>
                <w:sz w:val="20"/>
                <w:szCs w:val="20"/>
              </w:rPr>
              <w:t>3 230,6</w:t>
            </w:r>
          </w:p>
        </w:tc>
        <w:tc>
          <w:tcPr>
            <w:tcW w:w="1105" w:type="dxa"/>
            <w:shd w:val="clear" w:color="auto" w:fill="D9D9D9"/>
            <w:vAlign w:val="center"/>
          </w:tcPr>
          <w:p w14:paraId="5114B706"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 xml:space="preserve">7 261,5 </w:t>
            </w:r>
          </w:p>
        </w:tc>
        <w:tc>
          <w:tcPr>
            <w:tcW w:w="1519" w:type="dxa"/>
            <w:shd w:val="clear" w:color="auto" w:fill="D9D9D9"/>
            <w:vAlign w:val="center"/>
          </w:tcPr>
          <w:p w14:paraId="22BE38D9"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53,49</w:t>
            </w:r>
          </w:p>
        </w:tc>
        <w:tc>
          <w:tcPr>
            <w:tcW w:w="1519" w:type="dxa"/>
            <w:shd w:val="clear" w:color="auto" w:fill="D9D9D9"/>
            <w:vAlign w:val="center"/>
          </w:tcPr>
          <w:p w14:paraId="7697A43C" w14:textId="77777777" w:rsidR="00FD227B" w:rsidRPr="00C758B1" w:rsidRDefault="00FD227B" w:rsidP="00983C18">
            <w:pPr>
              <w:spacing w:line="276" w:lineRule="auto"/>
              <w:jc w:val="center"/>
              <w:rPr>
                <w:rFonts w:ascii="Lato" w:eastAsia="Malgun Gothic" w:hAnsi="Lato"/>
                <w:sz w:val="20"/>
                <w:szCs w:val="20"/>
              </w:rPr>
            </w:pPr>
            <w:r w:rsidRPr="00C758B1">
              <w:rPr>
                <w:rFonts w:ascii="Lato" w:eastAsia="Malgun Gothic" w:hAnsi="Lato"/>
                <w:sz w:val="20"/>
                <w:szCs w:val="20"/>
              </w:rPr>
              <w:t>37,64</w:t>
            </w:r>
          </w:p>
        </w:tc>
      </w:tr>
    </w:tbl>
    <w:p w14:paraId="22491B15" w14:textId="5975C4F4" w:rsidR="00FD227B" w:rsidRPr="00C758B1" w:rsidRDefault="00FD227B" w:rsidP="00983C18">
      <w:pPr>
        <w:spacing w:before="120" w:line="276" w:lineRule="auto"/>
        <w:rPr>
          <w:rFonts w:ascii="Lato" w:eastAsia="Malgun Gothic" w:hAnsi="Lato"/>
          <w:i/>
          <w:sz w:val="20"/>
          <w:szCs w:val="20"/>
        </w:rPr>
      </w:pPr>
      <w:r w:rsidRPr="00983C18">
        <w:rPr>
          <w:rFonts w:ascii="Lato" w:eastAsia="Malgun Gothic" w:hAnsi="Lato" w:cs="Calibri"/>
          <w:i/>
          <w:sz w:val="20"/>
          <w:szCs w:val="20"/>
        </w:rPr>
        <w:t>Ź</w:t>
      </w:r>
      <w:r w:rsidRPr="00983C18">
        <w:rPr>
          <w:rFonts w:ascii="Lato" w:eastAsia="Malgun Gothic" w:hAnsi="Lato"/>
          <w:i/>
          <w:sz w:val="20"/>
          <w:szCs w:val="20"/>
        </w:rPr>
        <w:t>r</w:t>
      </w:r>
      <w:r w:rsidRPr="00983C18">
        <w:rPr>
          <w:rFonts w:ascii="Lato" w:eastAsia="Malgun Gothic" w:hAnsi="Lato" w:cs="Malgun Gothic"/>
          <w:i/>
          <w:sz w:val="20"/>
          <w:szCs w:val="20"/>
        </w:rPr>
        <w:t>ó</w:t>
      </w:r>
      <w:r w:rsidRPr="00983C18">
        <w:rPr>
          <w:rFonts w:ascii="Lato" w:eastAsia="Malgun Gothic" w:hAnsi="Lato"/>
          <w:i/>
          <w:sz w:val="20"/>
          <w:szCs w:val="20"/>
        </w:rPr>
        <w:t>d</w:t>
      </w:r>
      <w:r w:rsidRPr="00983C18">
        <w:rPr>
          <w:rFonts w:ascii="Lato" w:eastAsia="Malgun Gothic" w:hAnsi="Lato" w:cs="Malgun Gothic"/>
          <w:i/>
          <w:sz w:val="20"/>
          <w:szCs w:val="20"/>
        </w:rPr>
        <w:t>ł</w:t>
      </w:r>
      <w:r w:rsidRPr="00983C18">
        <w:rPr>
          <w:rFonts w:ascii="Lato" w:eastAsia="Malgun Gothic" w:hAnsi="Lato"/>
          <w:i/>
          <w:sz w:val="20"/>
          <w:szCs w:val="20"/>
        </w:rPr>
        <w:t>o: Gas Storage Poland Sp. z o.o.</w:t>
      </w:r>
    </w:p>
    <w:p w14:paraId="69A0B058" w14:textId="77777777" w:rsidR="00FD227B" w:rsidRPr="004F0DBF" w:rsidRDefault="00FD227B" w:rsidP="00983C18">
      <w:pPr>
        <w:spacing w:line="276" w:lineRule="auto"/>
        <w:ind w:firstLine="708"/>
        <w:rPr>
          <w:rFonts w:ascii="Lato" w:eastAsia="Malgun Gothic" w:hAnsi="Lato"/>
          <w:szCs w:val="24"/>
        </w:rPr>
      </w:pPr>
      <w:r w:rsidRPr="004F0DBF">
        <w:rPr>
          <w:rFonts w:ascii="Lato" w:eastAsia="Malgun Gothic" w:hAnsi="Lato"/>
          <w:szCs w:val="24"/>
        </w:rPr>
        <w:t>Obok ww. magazynów gazu wysokometanowego, funkcjonuj</w:t>
      </w:r>
      <w:r w:rsidRPr="004F0DBF">
        <w:rPr>
          <w:rFonts w:ascii="Lato" w:eastAsia="Malgun Gothic" w:hAnsi="Lato" w:cs="Calibri"/>
          <w:szCs w:val="24"/>
        </w:rPr>
        <w:t>ą</w:t>
      </w:r>
      <w:r w:rsidRPr="004F0DBF">
        <w:rPr>
          <w:rFonts w:ascii="Lato" w:eastAsia="Malgun Gothic" w:hAnsi="Lato"/>
          <w:szCs w:val="24"/>
        </w:rPr>
        <w:t xml:space="preserve"> dwa magazyny gazu zaazotowanego, zarz</w:t>
      </w:r>
      <w:r w:rsidRPr="004F0DBF">
        <w:rPr>
          <w:rFonts w:ascii="Lato" w:eastAsia="Malgun Gothic" w:hAnsi="Lato" w:cs="Calibri"/>
          <w:szCs w:val="24"/>
        </w:rPr>
        <w:t>ą</w:t>
      </w:r>
      <w:r w:rsidRPr="004F0DBF">
        <w:rPr>
          <w:rFonts w:ascii="Lato" w:eastAsia="Malgun Gothic" w:hAnsi="Lato"/>
          <w:szCs w:val="24"/>
        </w:rPr>
        <w:t>dzane przez Orlen S.A.: PMG Daszewo o pojemno</w:t>
      </w:r>
      <w:r w:rsidRPr="004F0DBF">
        <w:rPr>
          <w:rFonts w:ascii="Lato" w:eastAsia="Malgun Gothic" w:hAnsi="Lato" w:cs="Calibri"/>
          <w:szCs w:val="24"/>
        </w:rPr>
        <w:t>ś</w:t>
      </w:r>
      <w:r w:rsidRPr="004F0DBF">
        <w:rPr>
          <w:rFonts w:ascii="Lato" w:eastAsia="Malgun Gothic" w:hAnsi="Lato"/>
          <w:szCs w:val="24"/>
        </w:rPr>
        <w:t>ci 40 mln m</w:t>
      </w:r>
      <w:r w:rsidRPr="004F0DBF">
        <w:rPr>
          <w:rFonts w:ascii="Lato" w:eastAsia="Malgun Gothic" w:hAnsi="Lato"/>
          <w:szCs w:val="24"/>
          <w:vertAlign w:val="superscript"/>
        </w:rPr>
        <w:t>3</w:t>
      </w:r>
      <w:r w:rsidRPr="004F0DBF">
        <w:rPr>
          <w:rFonts w:ascii="Lato" w:eastAsia="Malgun Gothic" w:hAnsi="Lato"/>
          <w:szCs w:val="24"/>
        </w:rPr>
        <w:t xml:space="preserve"> (439 GWh) i maksymalnej mocy odbioru 0,48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(5,3 GWh/dob</w:t>
      </w:r>
      <w:r w:rsidRPr="004F0DBF">
        <w:rPr>
          <w:rFonts w:ascii="Lato" w:eastAsia="Malgun Gothic" w:hAnsi="Lato" w:cs="Calibri"/>
          <w:szCs w:val="24"/>
        </w:rPr>
        <w:t>ę</w:t>
      </w:r>
      <w:r w:rsidRPr="004F0DBF">
        <w:rPr>
          <w:rFonts w:ascii="Lato" w:eastAsia="Malgun Gothic" w:hAnsi="Lato"/>
          <w:szCs w:val="24"/>
        </w:rPr>
        <w:t>) i PMG Bonikowo o pojemno</w:t>
      </w:r>
      <w:r w:rsidRPr="004F0DBF">
        <w:rPr>
          <w:rFonts w:ascii="Lato" w:eastAsia="Malgun Gothic" w:hAnsi="Lato" w:cs="Calibri"/>
          <w:szCs w:val="24"/>
        </w:rPr>
        <w:t>ś</w:t>
      </w:r>
      <w:r w:rsidRPr="004F0DBF">
        <w:rPr>
          <w:rFonts w:ascii="Lato" w:eastAsia="Malgun Gothic" w:hAnsi="Lato"/>
          <w:szCs w:val="24"/>
        </w:rPr>
        <w:t>ci 200 mln m</w:t>
      </w:r>
      <w:r w:rsidRPr="004F0DBF">
        <w:rPr>
          <w:rFonts w:ascii="Lato" w:eastAsia="Malgun Gothic" w:hAnsi="Lato"/>
          <w:szCs w:val="24"/>
          <w:vertAlign w:val="superscript"/>
        </w:rPr>
        <w:t xml:space="preserve">3 </w:t>
      </w:r>
      <w:r w:rsidRPr="004F0DBF">
        <w:rPr>
          <w:rFonts w:ascii="Lato" w:eastAsia="Malgun Gothic" w:hAnsi="Lato"/>
          <w:szCs w:val="24"/>
        </w:rPr>
        <w:t>(2 194 GWh) i maksymalnej mocy odbioru 2,4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(26,3 GWh/dob</w:t>
      </w:r>
      <w:r w:rsidRPr="004F0DBF">
        <w:rPr>
          <w:rFonts w:ascii="Lato" w:eastAsia="Malgun Gothic" w:hAnsi="Lato" w:cs="Calibri"/>
          <w:szCs w:val="24"/>
        </w:rPr>
        <w:t>ę</w:t>
      </w:r>
      <w:r w:rsidRPr="004F0DBF">
        <w:rPr>
          <w:rFonts w:ascii="Lato" w:eastAsia="Malgun Gothic" w:hAnsi="Lato"/>
          <w:szCs w:val="24"/>
        </w:rPr>
        <w:t>), które wykorzystywane s</w:t>
      </w:r>
      <w:r w:rsidRPr="004F0DBF">
        <w:rPr>
          <w:rFonts w:ascii="Lato" w:eastAsia="Malgun Gothic" w:hAnsi="Lato" w:cs="Calibri"/>
          <w:szCs w:val="24"/>
        </w:rPr>
        <w:t>ą</w:t>
      </w:r>
      <w:r w:rsidRPr="004F0DBF">
        <w:rPr>
          <w:rFonts w:ascii="Lato" w:eastAsia="Malgun Gothic" w:hAnsi="Lato"/>
          <w:szCs w:val="24"/>
        </w:rPr>
        <w:t xml:space="preserve"> do stabilizacji wydobycia gazu zaazotowanego. </w:t>
      </w:r>
    </w:p>
    <w:p w14:paraId="01A06013" w14:textId="3A0C92B1" w:rsidR="00C17333" w:rsidRPr="00381EF8" w:rsidRDefault="00C7771E" w:rsidP="002F262E">
      <w:pPr>
        <w:pStyle w:val="Rozdzia3"/>
        <w:spacing w:after="120"/>
        <w:ind w:left="1077" w:hanging="1077"/>
        <w:rPr>
          <w:rFonts w:ascii="Lato" w:hAnsi="Lato"/>
        </w:rPr>
      </w:pPr>
      <w:bookmarkStart w:id="45" w:name="_Toc518482778"/>
      <w:bookmarkStart w:id="46" w:name="_Toc518482829"/>
      <w:bookmarkStart w:id="47" w:name="_Toc518482988"/>
      <w:bookmarkStart w:id="48" w:name="_Toc12287743"/>
      <w:bookmarkStart w:id="49" w:name="_Toc12953902"/>
      <w:bookmarkStart w:id="50" w:name="_Toc19782935"/>
      <w:bookmarkStart w:id="51" w:name="_Toc142469562"/>
      <w:bookmarkEnd w:id="45"/>
      <w:bookmarkEnd w:id="46"/>
      <w:bookmarkEnd w:id="47"/>
      <w:r w:rsidRPr="00C758B1">
        <w:rPr>
          <w:rFonts w:ascii="Lato" w:hAnsi="Lato"/>
        </w:rPr>
        <w:t>Krajowe wydobycie gazu ziemnego</w:t>
      </w:r>
      <w:bookmarkEnd w:id="48"/>
      <w:bookmarkEnd w:id="49"/>
      <w:bookmarkEnd w:id="50"/>
      <w:bookmarkEnd w:id="51"/>
    </w:p>
    <w:p w14:paraId="4FD3CBFB" w14:textId="1E10E809" w:rsidR="00FD227B" w:rsidRDefault="00C17333" w:rsidP="002F262E">
      <w:pPr>
        <w:spacing w:after="60" w:line="276" w:lineRule="auto"/>
        <w:ind w:firstLine="567"/>
        <w:rPr>
          <w:rFonts w:ascii="Lato" w:eastAsia="Malgun Gothic" w:hAnsi="Lato"/>
          <w:szCs w:val="24"/>
        </w:rPr>
      </w:pPr>
      <w:r w:rsidRPr="00C17333">
        <w:rPr>
          <w:rFonts w:ascii="Lato" w:eastAsia="Malgun Gothic" w:hAnsi="Lato"/>
          <w:szCs w:val="24"/>
        </w:rPr>
        <w:t xml:space="preserve">Według opracowania przygotowanego przez Państwowy Instytut Geologiczny – Państwowy Instytut Badawczy w 2023 r. pn. </w:t>
      </w:r>
      <w:r w:rsidRPr="00983C18">
        <w:rPr>
          <w:rFonts w:ascii="Lato" w:eastAsia="Malgun Gothic" w:hAnsi="Lato"/>
          <w:i/>
          <w:iCs/>
          <w:szCs w:val="24"/>
        </w:rPr>
        <w:t>Bilans zasobów złóż kopalin w Polsce wg stanu na 31.12.2022 r.</w:t>
      </w:r>
      <w:r w:rsidRPr="00C17333">
        <w:rPr>
          <w:rFonts w:ascii="Lato" w:eastAsia="Malgun Gothic" w:hAnsi="Lato"/>
          <w:szCs w:val="24"/>
        </w:rPr>
        <w:t xml:space="preserve"> stan wydobywalnych zasobów gazu ziemnego </w:t>
      </w:r>
      <w:r w:rsidR="002F262E" w:rsidRPr="00C17333">
        <w:rPr>
          <w:rFonts w:ascii="Lato" w:eastAsia="Malgun Gothic" w:hAnsi="Lato"/>
          <w:szCs w:val="24"/>
        </w:rPr>
        <w:t xml:space="preserve">(łącznie zasoby bilansowe i pozabilansowe) </w:t>
      </w:r>
      <w:r w:rsidRPr="00C17333">
        <w:rPr>
          <w:rFonts w:ascii="Lato" w:eastAsia="Malgun Gothic" w:hAnsi="Lato"/>
          <w:szCs w:val="24"/>
        </w:rPr>
        <w:t xml:space="preserve">wyniósł </w:t>
      </w:r>
      <w:r>
        <w:rPr>
          <w:rFonts w:ascii="Lato" w:eastAsia="Malgun Gothic" w:hAnsi="Lato"/>
          <w:szCs w:val="24"/>
        </w:rPr>
        <w:t>153,5</w:t>
      </w:r>
      <w:r w:rsidR="00847573">
        <w:rPr>
          <w:rFonts w:ascii="Lato" w:eastAsia="Malgun Gothic" w:hAnsi="Lato"/>
          <w:szCs w:val="24"/>
        </w:rPr>
        <w:t>2 mld m</w:t>
      </w:r>
      <w:r w:rsidR="00847573">
        <w:rPr>
          <w:rFonts w:ascii="Lato" w:eastAsia="Malgun Gothic" w:hAnsi="Lato"/>
          <w:szCs w:val="24"/>
          <w:vertAlign w:val="superscript"/>
        </w:rPr>
        <w:t>3</w:t>
      </w:r>
      <w:r w:rsidR="00847573">
        <w:rPr>
          <w:rFonts w:ascii="Lato" w:eastAsia="Malgun Gothic" w:hAnsi="Lato"/>
          <w:szCs w:val="24"/>
        </w:rPr>
        <w:t xml:space="preserve"> (</w:t>
      </w:r>
      <w:r w:rsidRPr="00C17333">
        <w:rPr>
          <w:rFonts w:ascii="Lato" w:eastAsia="Malgun Gothic" w:hAnsi="Lato"/>
          <w:szCs w:val="24"/>
        </w:rPr>
        <w:t>1 684,4 TWh</w:t>
      </w:r>
      <w:r w:rsidR="00847573">
        <w:rPr>
          <w:rFonts w:ascii="Lato" w:eastAsia="Malgun Gothic" w:hAnsi="Lato"/>
          <w:szCs w:val="24"/>
        </w:rPr>
        <w:t>)</w:t>
      </w:r>
      <w:r w:rsidRPr="00C17333">
        <w:rPr>
          <w:rFonts w:ascii="Lato" w:eastAsia="Malgun Gothic" w:hAnsi="Lato"/>
          <w:szCs w:val="24"/>
        </w:rPr>
        <w:t xml:space="preserve"> i w porównaniu z rokiem poprzednim zwiększyły się o </w:t>
      </w:r>
      <w:r w:rsidR="00847573">
        <w:rPr>
          <w:rFonts w:ascii="Lato" w:eastAsia="Malgun Gothic" w:hAnsi="Lato"/>
          <w:szCs w:val="24"/>
        </w:rPr>
        <w:t>8,25 mld m</w:t>
      </w:r>
      <w:r w:rsidR="00847573">
        <w:rPr>
          <w:rFonts w:ascii="Lato" w:eastAsia="Malgun Gothic" w:hAnsi="Lato"/>
          <w:szCs w:val="24"/>
          <w:vertAlign w:val="superscript"/>
        </w:rPr>
        <w:t>3</w:t>
      </w:r>
      <w:r w:rsidR="00847573">
        <w:rPr>
          <w:rFonts w:ascii="Lato" w:eastAsia="Malgun Gothic" w:hAnsi="Lato"/>
          <w:szCs w:val="24"/>
        </w:rPr>
        <w:t xml:space="preserve"> (</w:t>
      </w:r>
      <w:r w:rsidRPr="00C17333">
        <w:rPr>
          <w:rFonts w:ascii="Lato" w:eastAsia="Malgun Gothic" w:hAnsi="Lato"/>
          <w:szCs w:val="24"/>
        </w:rPr>
        <w:t>90,5 TWh</w:t>
      </w:r>
      <w:r w:rsidR="00847573">
        <w:rPr>
          <w:rFonts w:ascii="Lato" w:eastAsia="Malgun Gothic" w:hAnsi="Lato"/>
          <w:szCs w:val="24"/>
        </w:rPr>
        <w:t>)</w:t>
      </w:r>
      <w:r w:rsidRPr="00C17333">
        <w:rPr>
          <w:rFonts w:ascii="Lato" w:eastAsia="Malgun Gothic" w:hAnsi="Lato"/>
          <w:szCs w:val="24"/>
        </w:rPr>
        <w:t>.</w:t>
      </w:r>
      <w:r w:rsidR="00847573">
        <w:rPr>
          <w:rFonts w:ascii="Lato" w:eastAsia="Malgun Gothic" w:hAnsi="Lato"/>
          <w:szCs w:val="24"/>
        </w:rPr>
        <w:t xml:space="preserve"> </w:t>
      </w:r>
      <w:r w:rsidR="00847573" w:rsidRPr="00847573">
        <w:rPr>
          <w:rFonts w:ascii="Lato" w:eastAsia="Malgun Gothic" w:hAnsi="Lato"/>
          <w:szCs w:val="24"/>
        </w:rPr>
        <w:t>Największy przyrost zasobów wydobywalnych odnotowano w złożach Przemyśl, Lubiatów, Żuchlów i Mirocin. Ubytki zasobów spowodowane były głównie wydobyciem</w:t>
      </w:r>
      <w:r w:rsidR="00FD227B" w:rsidRPr="004F0DBF">
        <w:rPr>
          <w:rFonts w:ascii="Lato" w:eastAsia="Malgun Gothic" w:hAnsi="Lato"/>
          <w:szCs w:val="24"/>
        </w:rPr>
        <w:t>.</w:t>
      </w:r>
    </w:p>
    <w:p w14:paraId="7C9B08C1" w14:textId="17CBDDC2" w:rsidR="001F751F" w:rsidRDefault="00847573" w:rsidP="75FF27EA">
      <w:pPr>
        <w:spacing w:after="60" w:line="276" w:lineRule="auto"/>
        <w:ind w:firstLine="567"/>
        <w:rPr>
          <w:rFonts w:ascii="Lato" w:eastAsia="Malgun Gothic" w:hAnsi="Lato"/>
        </w:rPr>
      </w:pPr>
      <w:r w:rsidRPr="75FF27EA">
        <w:rPr>
          <w:rFonts w:ascii="Lato" w:eastAsia="Malgun Gothic" w:hAnsi="Lato"/>
        </w:rPr>
        <w:t xml:space="preserve">Zasoby wydobywalne </w:t>
      </w:r>
      <w:r w:rsidR="0CDCB55A" w:rsidRPr="75FF27EA">
        <w:rPr>
          <w:rFonts w:ascii="Lato" w:eastAsia="Malgun Gothic" w:hAnsi="Lato"/>
        </w:rPr>
        <w:t xml:space="preserve">z </w:t>
      </w:r>
      <w:r w:rsidRPr="75FF27EA">
        <w:rPr>
          <w:rFonts w:ascii="Lato" w:eastAsia="Malgun Gothic" w:hAnsi="Lato"/>
        </w:rPr>
        <w:t>zagospodarowanych złóż gazu ziemnego wynoszą 104,83 mld m</w:t>
      </w:r>
      <w:r w:rsidRPr="75FF27EA">
        <w:rPr>
          <w:rFonts w:ascii="Lato" w:eastAsia="Malgun Gothic" w:hAnsi="Lato"/>
          <w:vertAlign w:val="superscript"/>
        </w:rPr>
        <w:t>3</w:t>
      </w:r>
      <w:r w:rsidRPr="75FF27EA">
        <w:rPr>
          <w:rFonts w:ascii="Lato" w:eastAsia="Malgun Gothic" w:hAnsi="Lato"/>
        </w:rPr>
        <w:t xml:space="preserve"> (1 150,2 TWh), co stanowi 68,3% ogólnej ilości zasobów wydobywalnych. Zasoby przemysłowe złóż gazu ziemnego w 2022 r. wyniosły 77,96 mld m</w:t>
      </w:r>
      <w:r w:rsidRPr="75FF27EA">
        <w:rPr>
          <w:rFonts w:ascii="Lato" w:eastAsia="Malgun Gothic" w:hAnsi="Lato"/>
          <w:vertAlign w:val="superscript"/>
        </w:rPr>
        <w:t>3</w:t>
      </w:r>
      <w:r w:rsidRPr="75FF27EA">
        <w:rPr>
          <w:rFonts w:ascii="Lato" w:eastAsia="Malgun Gothic" w:hAnsi="Lato"/>
        </w:rPr>
        <w:t xml:space="preserve"> (855,4 TWh).</w:t>
      </w:r>
    </w:p>
    <w:p w14:paraId="796A1385" w14:textId="3679D3F4" w:rsidR="00FD227B" w:rsidRPr="004F0DBF" w:rsidRDefault="00FD227B" w:rsidP="002F262E">
      <w:pPr>
        <w:spacing w:after="60" w:line="276" w:lineRule="auto"/>
        <w:ind w:firstLine="567"/>
        <w:rPr>
          <w:rFonts w:ascii="Lato" w:eastAsia="Malgun Gothic" w:hAnsi="Lato"/>
          <w:szCs w:val="24"/>
        </w:rPr>
      </w:pPr>
      <w:r w:rsidRPr="004F0DBF">
        <w:rPr>
          <w:rFonts w:ascii="Lato" w:eastAsia="Malgun Gothic" w:hAnsi="Lato"/>
          <w:szCs w:val="24"/>
        </w:rPr>
        <w:t>W 2022 r. krajowe wydobycie gazu ziemnego stanowi</w:t>
      </w:r>
      <w:r w:rsidRPr="004F0DBF">
        <w:rPr>
          <w:rFonts w:ascii="Lato" w:eastAsia="Malgun Gothic" w:hAnsi="Lato" w:cs="Calibri"/>
          <w:szCs w:val="24"/>
        </w:rPr>
        <w:t>ą</w:t>
      </w:r>
      <w:r w:rsidRPr="004F0DBF">
        <w:rPr>
          <w:rFonts w:ascii="Lato" w:eastAsia="Malgun Gothic" w:hAnsi="Lato"/>
          <w:szCs w:val="24"/>
        </w:rPr>
        <w:t>ce 23,1% krajowego</w:t>
      </w:r>
      <w:r w:rsidR="002F262E">
        <w:rPr>
          <w:rFonts w:ascii="Lato" w:eastAsia="Malgun Gothic" w:hAnsi="Lato"/>
          <w:szCs w:val="24"/>
        </w:rPr>
        <w:t xml:space="preserve"> </w:t>
      </w:r>
      <w:r w:rsidRPr="004F0DBF">
        <w:rPr>
          <w:rFonts w:ascii="Lato" w:eastAsia="Malgun Gothic" w:hAnsi="Lato"/>
          <w:szCs w:val="24"/>
        </w:rPr>
        <w:t>zu</w:t>
      </w:r>
      <w:r w:rsidRPr="004F0DBF">
        <w:rPr>
          <w:rFonts w:ascii="Lato" w:eastAsia="Malgun Gothic" w:hAnsi="Lato" w:cs="Calibri"/>
          <w:szCs w:val="24"/>
        </w:rPr>
        <w:t>ż</w:t>
      </w:r>
      <w:r w:rsidRPr="004F0DBF">
        <w:rPr>
          <w:rFonts w:ascii="Lato" w:eastAsia="Malgun Gothic" w:hAnsi="Lato"/>
          <w:szCs w:val="24"/>
        </w:rPr>
        <w:t>ycia gazu ziemnego, wyniosło 3,85 mld m</w:t>
      </w:r>
      <w:r w:rsidRPr="004F0DBF">
        <w:rPr>
          <w:rFonts w:ascii="Lato" w:eastAsia="Malgun Gothic" w:hAnsi="Lato"/>
          <w:szCs w:val="24"/>
          <w:vertAlign w:val="superscript"/>
        </w:rPr>
        <w:t>3</w:t>
      </w:r>
      <w:r w:rsidRPr="004F0DBF">
        <w:rPr>
          <w:rFonts w:ascii="Lato" w:eastAsia="Malgun Gothic" w:hAnsi="Lato"/>
          <w:szCs w:val="24"/>
        </w:rPr>
        <w:t xml:space="preserve"> (42,2 TWh), </w:t>
      </w:r>
      <w:r w:rsidR="001F751F">
        <w:rPr>
          <w:rFonts w:ascii="Lato" w:eastAsia="Malgun Gothic" w:hAnsi="Lato"/>
          <w:szCs w:val="24"/>
        </w:rPr>
        <w:t>w</w:t>
      </w:r>
      <w:r w:rsidRPr="004F0DBF">
        <w:rPr>
          <w:rFonts w:ascii="Lato" w:eastAsia="Malgun Gothic" w:hAnsi="Lato"/>
          <w:szCs w:val="24"/>
        </w:rPr>
        <w:t xml:space="preserve"> tym: </w:t>
      </w:r>
    </w:p>
    <w:p w14:paraId="757BD79D" w14:textId="41BEA3E5" w:rsidR="00FD227B" w:rsidRPr="001F751F" w:rsidRDefault="00FD227B">
      <w:pPr>
        <w:pStyle w:val="Akapitzlist"/>
        <w:numPr>
          <w:ilvl w:val="0"/>
          <w:numId w:val="16"/>
        </w:numPr>
        <w:spacing w:after="0" w:line="276" w:lineRule="auto"/>
        <w:contextualSpacing w:val="0"/>
        <w:rPr>
          <w:rFonts w:ascii="Lato" w:eastAsia="Malgun Gothic" w:hAnsi="Lato"/>
          <w:spacing w:val="-4"/>
          <w:szCs w:val="24"/>
        </w:rPr>
      </w:pPr>
      <w:r w:rsidRPr="001F751F">
        <w:rPr>
          <w:rFonts w:ascii="Lato" w:eastAsia="Malgun Gothic" w:hAnsi="Lato"/>
          <w:szCs w:val="24"/>
        </w:rPr>
        <w:lastRenderedPageBreak/>
        <w:t xml:space="preserve">gazu </w:t>
      </w:r>
      <w:r w:rsidRPr="001F751F">
        <w:rPr>
          <w:rFonts w:ascii="Lato" w:eastAsia="Malgun Gothic" w:hAnsi="Lato"/>
          <w:spacing w:val="-4"/>
          <w:szCs w:val="24"/>
        </w:rPr>
        <w:t>wysokometanowego – 1,30 mld m</w:t>
      </w:r>
      <w:r w:rsidRPr="001F751F">
        <w:rPr>
          <w:rFonts w:ascii="Lato" w:eastAsia="Malgun Gothic" w:hAnsi="Lato"/>
          <w:spacing w:val="-4"/>
          <w:szCs w:val="24"/>
          <w:vertAlign w:val="superscript"/>
        </w:rPr>
        <w:t xml:space="preserve">3 </w:t>
      </w:r>
      <w:r w:rsidRPr="001F751F">
        <w:rPr>
          <w:rFonts w:ascii="Lato" w:eastAsia="Malgun Gothic" w:hAnsi="Lato"/>
          <w:spacing w:val="-4"/>
          <w:szCs w:val="24"/>
        </w:rPr>
        <w:t>(14,3 TWh)</w:t>
      </w:r>
      <w:r w:rsidR="001F751F">
        <w:rPr>
          <w:rFonts w:ascii="Lato" w:eastAsia="Malgun Gothic" w:hAnsi="Lato"/>
          <w:spacing w:val="-4"/>
          <w:szCs w:val="24"/>
        </w:rPr>
        <w:t>;</w:t>
      </w:r>
    </w:p>
    <w:p w14:paraId="2B0B9D72" w14:textId="3D1E0DBF" w:rsidR="00FD227B" w:rsidRPr="001F751F" w:rsidRDefault="00FD227B">
      <w:pPr>
        <w:pStyle w:val="Akapitzlist"/>
        <w:numPr>
          <w:ilvl w:val="0"/>
          <w:numId w:val="16"/>
        </w:numPr>
        <w:spacing w:after="0" w:line="276" w:lineRule="auto"/>
        <w:contextualSpacing w:val="0"/>
        <w:rPr>
          <w:rFonts w:ascii="Lato" w:eastAsia="Malgun Gothic" w:hAnsi="Lato"/>
          <w:spacing w:val="-4"/>
          <w:szCs w:val="24"/>
        </w:rPr>
      </w:pPr>
      <w:r w:rsidRPr="001F751F">
        <w:rPr>
          <w:rFonts w:ascii="Lato" w:eastAsia="Malgun Gothic" w:hAnsi="Lato"/>
          <w:spacing w:val="-4"/>
          <w:szCs w:val="24"/>
        </w:rPr>
        <w:t>gazu zaazotowanego – 2,31 mld m</w:t>
      </w:r>
      <w:r w:rsidRPr="001F751F">
        <w:rPr>
          <w:rFonts w:ascii="Lato" w:eastAsia="Malgun Gothic" w:hAnsi="Lato"/>
          <w:spacing w:val="-4"/>
          <w:szCs w:val="24"/>
          <w:vertAlign w:val="superscript"/>
        </w:rPr>
        <w:t xml:space="preserve">3 </w:t>
      </w:r>
      <w:r w:rsidRPr="001F751F">
        <w:rPr>
          <w:rFonts w:ascii="Lato" w:eastAsia="Malgun Gothic" w:hAnsi="Lato"/>
          <w:spacing w:val="-4"/>
          <w:szCs w:val="24"/>
        </w:rPr>
        <w:t>(25,3 TWh)</w:t>
      </w:r>
      <w:r w:rsidR="001F751F">
        <w:rPr>
          <w:rFonts w:ascii="Lato" w:eastAsia="Malgun Gothic" w:hAnsi="Lato"/>
          <w:spacing w:val="-4"/>
          <w:szCs w:val="24"/>
        </w:rPr>
        <w:t>;</w:t>
      </w:r>
    </w:p>
    <w:p w14:paraId="77A3D82E" w14:textId="479F19C0" w:rsidR="00FD227B" w:rsidRPr="001F751F" w:rsidRDefault="00FD227B">
      <w:pPr>
        <w:pStyle w:val="Akapitzlist"/>
        <w:numPr>
          <w:ilvl w:val="0"/>
          <w:numId w:val="16"/>
        </w:numPr>
        <w:spacing w:after="0" w:line="276" w:lineRule="auto"/>
        <w:contextualSpacing w:val="0"/>
        <w:rPr>
          <w:rFonts w:ascii="Lato" w:eastAsia="Malgun Gothic" w:hAnsi="Lato"/>
          <w:szCs w:val="24"/>
        </w:rPr>
      </w:pPr>
      <w:r w:rsidRPr="001F751F">
        <w:rPr>
          <w:rFonts w:ascii="Lato" w:eastAsia="Malgun Gothic" w:hAnsi="Lato"/>
          <w:spacing w:val="-4"/>
          <w:szCs w:val="24"/>
        </w:rPr>
        <w:t xml:space="preserve">gazu z odmetanowania </w:t>
      </w:r>
      <w:r w:rsidRPr="001F751F">
        <w:rPr>
          <w:rFonts w:ascii="Lato" w:eastAsia="Malgun Gothic" w:hAnsi="Lato"/>
          <w:szCs w:val="24"/>
        </w:rPr>
        <w:t>kopal</w:t>
      </w:r>
      <w:r w:rsidRPr="001F751F">
        <w:rPr>
          <w:rFonts w:ascii="Lato" w:eastAsia="Malgun Gothic" w:hAnsi="Lato" w:cs="Calibri"/>
          <w:szCs w:val="24"/>
        </w:rPr>
        <w:t>ń</w:t>
      </w:r>
      <w:r w:rsidRPr="001F751F">
        <w:rPr>
          <w:rFonts w:ascii="Lato" w:eastAsia="Malgun Gothic" w:hAnsi="Lato"/>
          <w:szCs w:val="24"/>
        </w:rPr>
        <w:t xml:space="preserve"> i z wydobycia podmorskiego – 237 mln m</w:t>
      </w:r>
      <w:r w:rsidRPr="001F751F">
        <w:rPr>
          <w:rFonts w:ascii="Lato" w:eastAsia="Malgun Gothic" w:hAnsi="Lato"/>
          <w:szCs w:val="24"/>
          <w:vertAlign w:val="superscript"/>
        </w:rPr>
        <w:t xml:space="preserve">3 </w:t>
      </w:r>
      <w:r w:rsidRPr="001F751F">
        <w:rPr>
          <w:rFonts w:ascii="Lato" w:eastAsia="Malgun Gothic" w:hAnsi="Lato"/>
          <w:szCs w:val="24"/>
        </w:rPr>
        <w:t xml:space="preserve">(2,6 </w:t>
      </w:r>
      <w:r w:rsidRPr="001F751F">
        <w:rPr>
          <w:rFonts w:ascii="Lato" w:eastAsia="Malgun Gothic" w:hAnsi="Lato"/>
          <w:spacing w:val="-4"/>
          <w:szCs w:val="24"/>
        </w:rPr>
        <w:t>TWh</w:t>
      </w:r>
      <w:r w:rsidRPr="001F751F">
        <w:rPr>
          <w:rFonts w:ascii="Lato" w:eastAsia="Malgun Gothic" w:hAnsi="Lato"/>
          <w:szCs w:val="24"/>
        </w:rPr>
        <w:t>).</w:t>
      </w:r>
    </w:p>
    <w:p w14:paraId="63A95EA2" w14:textId="6A4E6D66" w:rsidR="00FD227B" w:rsidRPr="004F0DBF" w:rsidRDefault="00FD227B" w:rsidP="002F262E">
      <w:pPr>
        <w:spacing w:after="60" w:line="276" w:lineRule="auto"/>
        <w:ind w:firstLine="567"/>
        <w:rPr>
          <w:rFonts w:ascii="Lato" w:eastAsia="Malgun Gothic" w:hAnsi="Lato"/>
          <w:szCs w:val="24"/>
        </w:rPr>
      </w:pPr>
      <w:r w:rsidRPr="004F0DBF">
        <w:rPr>
          <w:rFonts w:ascii="Lato" w:eastAsia="Malgun Gothic" w:hAnsi="Lato"/>
          <w:szCs w:val="24"/>
        </w:rPr>
        <w:t>Cz</w:t>
      </w:r>
      <w:r w:rsidRPr="004F0DBF">
        <w:rPr>
          <w:rFonts w:ascii="Lato" w:eastAsia="Malgun Gothic" w:hAnsi="Lato" w:cs="Calibri"/>
          <w:szCs w:val="24"/>
        </w:rPr>
        <w:t>ęść</w:t>
      </w:r>
      <w:r w:rsidRPr="004F0DBF">
        <w:rPr>
          <w:rFonts w:ascii="Lato" w:eastAsia="Malgun Gothic" w:hAnsi="Lato"/>
          <w:szCs w:val="24"/>
        </w:rPr>
        <w:t xml:space="preserve"> wydobywanego gazu zaazotowanego przekazywana jest do systemu gazu zaazotowanego i odbierana przez odbiorców, natomiast cz</w:t>
      </w:r>
      <w:r w:rsidRPr="004F0DBF">
        <w:rPr>
          <w:rFonts w:ascii="Lato" w:eastAsia="Malgun Gothic" w:hAnsi="Lato" w:cs="Calibri"/>
          <w:szCs w:val="24"/>
        </w:rPr>
        <w:t>ęść</w:t>
      </w:r>
      <w:r w:rsidRPr="004F0DBF">
        <w:rPr>
          <w:rFonts w:ascii="Lato" w:eastAsia="Malgun Gothic" w:hAnsi="Lato"/>
          <w:szCs w:val="24"/>
        </w:rPr>
        <w:t xml:space="preserve"> podlega przetworzeniu w odazotowniach w Odolanowie o maksymalnej mocy przetwórczej 5,76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(63,2 GWh/dob</w:t>
      </w:r>
      <w:r w:rsidRPr="004F0DBF">
        <w:rPr>
          <w:rFonts w:ascii="Lato" w:eastAsia="Malgun Gothic" w:hAnsi="Lato" w:cs="Calibri"/>
          <w:szCs w:val="24"/>
        </w:rPr>
        <w:t>ę</w:t>
      </w:r>
      <w:r w:rsidRPr="004F0DBF">
        <w:rPr>
          <w:rFonts w:ascii="Lato" w:eastAsia="Malgun Gothic" w:hAnsi="Lato"/>
          <w:szCs w:val="24"/>
        </w:rPr>
        <w:t>) i zdolno</w:t>
      </w:r>
      <w:r w:rsidRPr="004F0DBF">
        <w:rPr>
          <w:rFonts w:ascii="Lato" w:eastAsia="Malgun Gothic" w:hAnsi="Lato" w:cs="Calibri"/>
          <w:szCs w:val="24"/>
        </w:rPr>
        <w:t>ś</w:t>
      </w:r>
      <w:r w:rsidRPr="004F0DBF">
        <w:rPr>
          <w:rFonts w:ascii="Lato" w:eastAsia="Malgun Gothic" w:hAnsi="Lato"/>
          <w:szCs w:val="24"/>
        </w:rPr>
        <w:t>ci optymalnej 3,84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(42,1 GWh/dob</w:t>
      </w:r>
      <w:r w:rsidRPr="004F0DBF">
        <w:rPr>
          <w:rFonts w:ascii="Lato" w:eastAsia="Malgun Gothic" w:hAnsi="Lato" w:cs="Calibri"/>
          <w:szCs w:val="24"/>
        </w:rPr>
        <w:t>ę</w:t>
      </w:r>
      <w:r w:rsidRPr="004F0DBF">
        <w:rPr>
          <w:rFonts w:ascii="Lato" w:eastAsia="Malgun Gothic" w:hAnsi="Lato"/>
          <w:szCs w:val="24"/>
        </w:rPr>
        <w:t>) oraz w Grodzisku Wielkopolskim o maksymalnych zdolno</w:t>
      </w:r>
      <w:r w:rsidRPr="004F0DBF">
        <w:rPr>
          <w:rFonts w:ascii="Lato" w:eastAsia="Malgun Gothic" w:hAnsi="Lato" w:cs="Calibri"/>
          <w:szCs w:val="24"/>
        </w:rPr>
        <w:t>ś</w:t>
      </w:r>
      <w:r w:rsidRPr="004F0DBF">
        <w:rPr>
          <w:rFonts w:ascii="Lato" w:eastAsia="Malgun Gothic" w:hAnsi="Lato"/>
          <w:szCs w:val="24"/>
        </w:rPr>
        <w:t>ciach technicznych pracy wynosz</w:t>
      </w:r>
      <w:r w:rsidRPr="004F0DBF">
        <w:rPr>
          <w:rFonts w:ascii="Lato" w:eastAsia="Malgun Gothic" w:hAnsi="Lato" w:cs="Calibri"/>
          <w:szCs w:val="24"/>
        </w:rPr>
        <w:t>ą</w:t>
      </w:r>
      <w:r w:rsidRPr="004F0DBF">
        <w:rPr>
          <w:rFonts w:ascii="Lato" w:eastAsia="Malgun Gothic" w:hAnsi="Lato"/>
          <w:szCs w:val="24"/>
        </w:rPr>
        <w:t>cych 1,92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(21,1 GWh/dob</w:t>
      </w:r>
      <w:r w:rsidRPr="004F0DBF">
        <w:rPr>
          <w:rFonts w:ascii="Lato" w:eastAsia="Malgun Gothic" w:hAnsi="Lato" w:cs="Calibri"/>
          <w:szCs w:val="24"/>
        </w:rPr>
        <w:t>ę</w:t>
      </w:r>
      <w:r w:rsidRPr="004F0DBF">
        <w:rPr>
          <w:rFonts w:ascii="Lato" w:eastAsia="Malgun Gothic" w:hAnsi="Lato"/>
          <w:szCs w:val="24"/>
        </w:rPr>
        <w:t>) i zdolno</w:t>
      </w:r>
      <w:r w:rsidRPr="004F0DBF">
        <w:rPr>
          <w:rFonts w:ascii="Lato" w:eastAsia="Malgun Gothic" w:hAnsi="Lato" w:cs="Calibri"/>
          <w:szCs w:val="24"/>
        </w:rPr>
        <w:t>ś</w:t>
      </w:r>
      <w:r w:rsidRPr="004F0DBF">
        <w:rPr>
          <w:rFonts w:ascii="Lato" w:eastAsia="Malgun Gothic" w:hAnsi="Lato"/>
          <w:szCs w:val="24"/>
        </w:rPr>
        <w:t>ci optymalnej 1,44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(15,8 GWh/dob</w:t>
      </w:r>
      <w:r w:rsidRPr="004F0DBF">
        <w:rPr>
          <w:rFonts w:ascii="Lato" w:eastAsia="Malgun Gothic" w:hAnsi="Lato" w:cs="Calibri"/>
          <w:szCs w:val="24"/>
        </w:rPr>
        <w:t>ę</w:t>
      </w:r>
      <w:r w:rsidRPr="004F0DBF">
        <w:rPr>
          <w:rFonts w:ascii="Lato" w:eastAsia="Malgun Gothic" w:hAnsi="Lato"/>
          <w:szCs w:val="24"/>
        </w:rPr>
        <w:t>).</w:t>
      </w:r>
    </w:p>
    <w:p w14:paraId="73A06BDA" w14:textId="091B993E" w:rsidR="00FD227B" w:rsidRPr="004F0DBF" w:rsidRDefault="00FD227B" w:rsidP="002F262E">
      <w:pPr>
        <w:spacing w:after="60" w:line="276" w:lineRule="auto"/>
        <w:ind w:firstLine="567"/>
        <w:contextualSpacing/>
        <w:rPr>
          <w:rFonts w:ascii="Lato" w:eastAsia="Malgun Gothic" w:hAnsi="Lato"/>
          <w:szCs w:val="24"/>
        </w:rPr>
      </w:pPr>
      <w:r w:rsidRPr="004F0DBF">
        <w:rPr>
          <w:rFonts w:ascii="Lato" w:eastAsia="Malgun Gothic" w:hAnsi="Lato" w:cs="Calibri"/>
          <w:szCs w:val="24"/>
        </w:rPr>
        <w:t>Ś</w:t>
      </w:r>
      <w:r w:rsidRPr="004F0DBF">
        <w:rPr>
          <w:rFonts w:ascii="Lato" w:eastAsia="Malgun Gothic" w:hAnsi="Lato"/>
          <w:szCs w:val="24"/>
        </w:rPr>
        <w:t>rednia dzienna zdolno</w:t>
      </w:r>
      <w:r w:rsidRPr="004F0DBF">
        <w:rPr>
          <w:rFonts w:ascii="Lato" w:eastAsia="Malgun Gothic" w:hAnsi="Lato" w:cs="Calibri"/>
          <w:szCs w:val="24"/>
        </w:rPr>
        <w:t>ść</w:t>
      </w:r>
      <w:r w:rsidRPr="004F0DBF">
        <w:rPr>
          <w:rFonts w:ascii="Lato" w:eastAsia="Malgun Gothic" w:hAnsi="Lato"/>
          <w:szCs w:val="24"/>
        </w:rPr>
        <w:t xml:space="preserve"> produkcyjna kopal</w:t>
      </w:r>
      <w:r w:rsidRPr="004F0DBF">
        <w:rPr>
          <w:rFonts w:ascii="Lato" w:eastAsia="Malgun Gothic" w:hAnsi="Lato" w:cs="Calibri"/>
          <w:szCs w:val="24"/>
        </w:rPr>
        <w:t>ń</w:t>
      </w:r>
      <w:r w:rsidRPr="004F0DBF">
        <w:rPr>
          <w:rFonts w:ascii="Lato" w:eastAsia="Malgun Gothic" w:hAnsi="Lato"/>
          <w:szCs w:val="24"/>
        </w:rPr>
        <w:t xml:space="preserve"> przy</w:t>
      </w:r>
      <w:r w:rsidRPr="004F0DBF">
        <w:rPr>
          <w:rFonts w:ascii="Lato" w:eastAsia="Malgun Gothic" w:hAnsi="Lato" w:cs="Malgun Gothic"/>
          <w:szCs w:val="24"/>
        </w:rPr>
        <w:t>ł</w:t>
      </w:r>
      <w:r w:rsidRPr="004F0DBF">
        <w:rPr>
          <w:rFonts w:ascii="Lato" w:eastAsia="Malgun Gothic" w:hAnsi="Lato" w:cs="Calibri"/>
          <w:szCs w:val="24"/>
        </w:rPr>
        <w:t>ą</w:t>
      </w:r>
      <w:r w:rsidRPr="004F0DBF">
        <w:rPr>
          <w:rFonts w:ascii="Lato" w:eastAsia="Malgun Gothic" w:hAnsi="Lato"/>
          <w:szCs w:val="24"/>
        </w:rPr>
        <w:t>czonych do krajowego systemu przesy</w:t>
      </w:r>
      <w:r w:rsidRPr="004F0DBF">
        <w:rPr>
          <w:rFonts w:ascii="Lato" w:eastAsia="Malgun Gothic" w:hAnsi="Lato" w:cs="Malgun Gothic"/>
          <w:szCs w:val="24"/>
        </w:rPr>
        <w:t>ł</w:t>
      </w:r>
      <w:r w:rsidRPr="004F0DBF">
        <w:rPr>
          <w:rFonts w:ascii="Lato" w:eastAsia="Malgun Gothic" w:hAnsi="Lato"/>
          <w:szCs w:val="24"/>
        </w:rPr>
        <w:t>owego oraz odazotowni kszta</w:t>
      </w:r>
      <w:r w:rsidRPr="004F0DBF">
        <w:rPr>
          <w:rFonts w:ascii="Lato" w:eastAsia="Malgun Gothic" w:hAnsi="Lato" w:cs="Malgun Gothic"/>
          <w:szCs w:val="24"/>
        </w:rPr>
        <w:t>ł</w:t>
      </w:r>
      <w:r w:rsidRPr="004F0DBF">
        <w:rPr>
          <w:rFonts w:ascii="Lato" w:eastAsia="Malgun Gothic" w:hAnsi="Lato"/>
          <w:szCs w:val="24"/>
        </w:rPr>
        <w:t>towa</w:t>
      </w:r>
      <w:r w:rsidRPr="004F0DBF">
        <w:rPr>
          <w:rFonts w:ascii="Lato" w:eastAsia="Malgun Gothic" w:hAnsi="Lato" w:cs="Malgun Gothic"/>
          <w:szCs w:val="24"/>
        </w:rPr>
        <w:t>ł</w:t>
      </w:r>
      <w:r w:rsidRPr="004F0DBF">
        <w:rPr>
          <w:rFonts w:ascii="Lato" w:eastAsia="Malgun Gothic" w:hAnsi="Lato"/>
          <w:szCs w:val="24"/>
        </w:rPr>
        <w:t>a si</w:t>
      </w:r>
      <w:r w:rsidRPr="004F0DBF">
        <w:rPr>
          <w:rFonts w:ascii="Lato" w:eastAsia="Malgun Gothic" w:hAnsi="Lato" w:cs="Calibri"/>
          <w:szCs w:val="24"/>
        </w:rPr>
        <w:t>ę</w:t>
      </w:r>
      <w:r w:rsidRPr="004F0DBF">
        <w:rPr>
          <w:rFonts w:ascii="Lato" w:eastAsia="Malgun Gothic" w:hAnsi="Lato"/>
          <w:szCs w:val="24"/>
        </w:rPr>
        <w:t xml:space="preserve"> na poziomie ok. 12,79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(108 GWh/dob</w:t>
      </w:r>
      <w:r w:rsidRPr="004F0DBF">
        <w:rPr>
          <w:rFonts w:ascii="Lato" w:eastAsia="Malgun Gothic" w:hAnsi="Lato" w:cs="Calibri"/>
          <w:szCs w:val="24"/>
        </w:rPr>
        <w:t>ę</w:t>
      </w:r>
      <w:r w:rsidRPr="004F0DBF">
        <w:rPr>
          <w:rFonts w:ascii="Lato" w:eastAsia="Malgun Gothic" w:hAnsi="Lato"/>
          <w:szCs w:val="24"/>
        </w:rPr>
        <w:t>). Maksymalna zdolno</w:t>
      </w:r>
      <w:r w:rsidRPr="004F0DBF">
        <w:rPr>
          <w:rFonts w:ascii="Lato" w:eastAsia="Malgun Gothic" w:hAnsi="Lato" w:cs="Calibri"/>
          <w:szCs w:val="24"/>
        </w:rPr>
        <w:t>ść</w:t>
      </w:r>
      <w:r w:rsidRPr="004F0DBF">
        <w:rPr>
          <w:rFonts w:ascii="Lato" w:eastAsia="Malgun Gothic" w:hAnsi="Lato"/>
          <w:szCs w:val="24"/>
        </w:rPr>
        <w:t xml:space="preserve"> produkcyjna w 2022 r. wyniosła 13,894 mln m</w:t>
      </w:r>
      <w:r w:rsidRPr="004F0DBF">
        <w:rPr>
          <w:rFonts w:ascii="Lato" w:eastAsia="Malgun Gothic" w:hAnsi="Lato"/>
          <w:szCs w:val="24"/>
          <w:vertAlign w:val="superscript"/>
        </w:rPr>
        <w:t>3</w:t>
      </w:r>
      <w:r w:rsidRPr="004F0DBF">
        <w:rPr>
          <w:rFonts w:ascii="Lato" w:eastAsia="Malgun Gothic" w:hAnsi="Lato"/>
          <w:szCs w:val="24"/>
        </w:rPr>
        <w:t>/dob</w:t>
      </w:r>
      <w:r w:rsidRPr="004F0DBF">
        <w:rPr>
          <w:rFonts w:ascii="Lato" w:eastAsia="Malgun Gothic" w:hAnsi="Lato" w:cs="Calibri"/>
          <w:szCs w:val="24"/>
        </w:rPr>
        <w:t>ę</w:t>
      </w:r>
      <w:r w:rsidRPr="004F0DBF">
        <w:rPr>
          <w:rFonts w:ascii="Lato" w:eastAsia="Malgun Gothic" w:hAnsi="Lato"/>
          <w:szCs w:val="24"/>
        </w:rPr>
        <w:t xml:space="preserve"> (116,01 GWh/dob</w:t>
      </w:r>
      <w:r w:rsidRPr="004F0DBF">
        <w:rPr>
          <w:rFonts w:ascii="Lato" w:eastAsia="Malgun Gothic" w:hAnsi="Lato" w:cs="Calibri"/>
          <w:szCs w:val="24"/>
        </w:rPr>
        <w:t>ę</w:t>
      </w:r>
      <w:r w:rsidRPr="004F0DBF">
        <w:rPr>
          <w:rFonts w:ascii="Lato" w:eastAsia="Malgun Gothic" w:hAnsi="Lato"/>
          <w:szCs w:val="24"/>
        </w:rPr>
        <w:t>).</w:t>
      </w:r>
    </w:p>
    <w:p w14:paraId="06A90F68" w14:textId="2DE01B78" w:rsidR="001F751F" w:rsidRPr="002F262E" w:rsidRDefault="00FD227B" w:rsidP="002F262E">
      <w:pPr>
        <w:spacing w:after="60" w:line="276" w:lineRule="auto"/>
        <w:ind w:firstLine="567"/>
        <w:rPr>
          <w:rFonts w:ascii="Lato" w:eastAsia="Malgun Gothic" w:hAnsi="Lato"/>
          <w:szCs w:val="24"/>
        </w:rPr>
      </w:pPr>
      <w:r w:rsidRPr="004F0DBF">
        <w:rPr>
          <w:rFonts w:ascii="Lato" w:eastAsia="Malgun Gothic" w:hAnsi="Lato"/>
          <w:szCs w:val="24"/>
        </w:rPr>
        <w:t>W stosunku do roku poprzedniego całkowite wydobycie zmniejszyło się o 1,8%. Na spadek wydobycia miało wpływ sczerpywanie się eksploatowanych złóż oraz zróżnicowana i skomplikowana struktura geologiczna nowych złóż uniemożliwiająca pełne zastąpienie wydobycia z obecnie eksploatowanych złóż.</w:t>
      </w:r>
    </w:p>
    <w:p w14:paraId="165697F0" w14:textId="77777777" w:rsidR="0067393E" w:rsidRDefault="0067393E" w:rsidP="00983C18">
      <w:pPr>
        <w:spacing w:before="100" w:beforeAutospacing="1" w:line="276" w:lineRule="auto"/>
        <w:rPr>
          <w:rFonts w:ascii="Lato" w:eastAsia="Malgun Gothic" w:hAnsi="Lato"/>
          <w:b/>
          <w:szCs w:val="24"/>
        </w:rPr>
      </w:pPr>
    </w:p>
    <w:p w14:paraId="58CEF6AA" w14:textId="77777777" w:rsidR="0067393E" w:rsidRDefault="0067393E" w:rsidP="00983C18">
      <w:pPr>
        <w:spacing w:before="100" w:beforeAutospacing="1" w:line="276" w:lineRule="auto"/>
        <w:rPr>
          <w:rFonts w:ascii="Lato" w:eastAsia="Malgun Gothic" w:hAnsi="Lato"/>
          <w:b/>
          <w:szCs w:val="24"/>
        </w:rPr>
      </w:pPr>
    </w:p>
    <w:p w14:paraId="2B0DD425" w14:textId="1058689F" w:rsidR="0067393E" w:rsidRPr="004D7EBB" w:rsidRDefault="00FD227B" w:rsidP="004D7EBB">
      <w:pPr>
        <w:spacing w:before="100" w:beforeAutospacing="1" w:line="276" w:lineRule="auto"/>
        <w:rPr>
          <w:rFonts w:ascii="Lato" w:eastAsia="Malgun Gothic" w:hAnsi="Lato"/>
          <w:b/>
          <w:szCs w:val="24"/>
        </w:rPr>
      </w:pPr>
      <w:r w:rsidRPr="006E0158">
        <w:rPr>
          <w:rFonts w:ascii="Lato" w:eastAsia="Malgun Gothic" w:hAnsi="Lato"/>
          <w:b/>
          <w:szCs w:val="24"/>
        </w:rPr>
        <w:t xml:space="preserve">Rysunek </w:t>
      </w:r>
      <w:r w:rsidR="001B1D8F">
        <w:rPr>
          <w:rFonts w:ascii="Lato" w:eastAsia="Malgun Gothic" w:hAnsi="Lato"/>
          <w:b/>
          <w:szCs w:val="24"/>
        </w:rPr>
        <w:t>10</w:t>
      </w:r>
      <w:r w:rsidRPr="006E0158">
        <w:rPr>
          <w:rFonts w:ascii="Lato" w:eastAsia="Malgun Gothic" w:hAnsi="Lato"/>
          <w:b/>
          <w:szCs w:val="24"/>
        </w:rPr>
        <w:t>. Wydobycie krajowe gazu ziemnego w 2022 r.</w:t>
      </w:r>
    </w:p>
    <w:p w14:paraId="35C38DD3" w14:textId="448AA8F8" w:rsidR="00FD227B" w:rsidRPr="001F751F" w:rsidRDefault="001F751F" w:rsidP="001F751F">
      <w:pPr>
        <w:spacing w:before="240" w:line="276" w:lineRule="auto"/>
        <w:ind w:firstLine="357"/>
        <w:rPr>
          <w:rFonts w:ascii="Lato" w:eastAsia="Malgun Gothic" w:hAnsi="Lato"/>
          <w:sz w:val="20"/>
          <w:szCs w:val="20"/>
        </w:rPr>
      </w:pPr>
      <w:r w:rsidRPr="001F751F">
        <w:rPr>
          <w:rFonts w:ascii="Lato" w:eastAsia="Malgun Gothic" w:hAnsi="Lato" w:cs="Calibri"/>
          <w:i/>
          <w:sz w:val="20"/>
          <w:szCs w:val="20"/>
        </w:rPr>
        <w:t>Ź</w:t>
      </w:r>
      <w:r w:rsidRPr="001F751F">
        <w:rPr>
          <w:rFonts w:ascii="Lato" w:eastAsia="Malgun Gothic" w:hAnsi="Lato"/>
          <w:i/>
          <w:sz w:val="20"/>
          <w:szCs w:val="20"/>
        </w:rPr>
        <w:t>r</w:t>
      </w:r>
      <w:r w:rsidRPr="001F751F">
        <w:rPr>
          <w:rFonts w:ascii="Lato" w:eastAsia="Malgun Gothic" w:hAnsi="Lato" w:cs="Malgun Gothic"/>
          <w:i/>
          <w:sz w:val="20"/>
          <w:szCs w:val="20"/>
        </w:rPr>
        <w:t>ó</w:t>
      </w:r>
      <w:r w:rsidRPr="001F751F">
        <w:rPr>
          <w:rFonts w:ascii="Lato" w:eastAsia="Malgun Gothic" w:hAnsi="Lato"/>
          <w:i/>
          <w:sz w:val="20"/>
          <w:szCs w:val="20"/>
        </w:rPr>
        <w:t>d</w:t>
      </w:r>
      <w:r w:rsidRPr="001F751F">
        <w:rPr>
          <w:rFonts w:ascii="Lato" w:eastAsia="Malgun Gothic" w:hAnsi="Lato" w:cs="Malgun Gothic"/>
          <w:i/>
          <w:sz w:val="20"/>
          <w:szCs w:val="20"/>
        </w:rPr>
        <w:t>ł</w:t>
      </w:r>
      <w:r w:rsidRPr="001F751F">
        <w:rPr>
          <w:rFonts w:ascii="Lato" w:eastAsia="Malgun Gothic" w:hAnsi="Lato"/>
          <w:i/>
          <w:sz w:val="20"/>
          <w:szCs w:val="20"/>
        </w:rPr>
        <w:t>o: Badania statystyczne Ministra Klimatu i Środowiska</w:t>
      </w:r>
    </w:p>
    <w:p w14:paraId="09A75BA8" w14:textId="266D50BF" w:rsidR="00B03DBA" w:rsidRPr="00C758B1" w:rsidRDefault="0067393E" w:rsidP="002F262E">
      <w:pPr>
        <w:pStyle w:val="Rozdzia3"/>
        <w:spacing w:after="120"/>
        <w:ind w:left="1077" w:hanging="1077"/>
        <w:rPr>
          <w:rFonts w:ascii="Lato" w:hAnsi="Lato"/>
        </w:rPr>
      </w:pPr>
      <w:bookmarkStart w:id="52" w:name="_Toc12287744"/>
      <w:bookmarkStart w:id="53" w:name="_Toc12953903"/>
      <w:bookmarkStart w:id="54" w:name="_Toc19782936"/>
      <w:bookmarkStart w:id="55" w:name="_Toc142469563"/>
      <w:r w:rsidRPr="001F751F">
        <w:rPr>
          <w:rFonts w:ascii="Lato" w:hAnsi="Lato"/>
          <w:noProof/>
          <w:sz w:val="22"/>
        </w:rPr>
        <w:lastRenderedPageBreak/>
        <w:drawing>
          <wp:anchor distT="0" distB="0" distL="114300" distR="114300" simplePos="0" relativeHeight="251658244" behindDoc="1" locked="0" layoutInCell="1" allowOverlap="1" wp14:anchorId="5CD3DF48" wp14:editId="5A9DD514">
            <wp:simplePos x="0" y="0"/>
            <wp:positionH relativeFrom="margin">
              <wp:posOffset>579120</wp:posOffset>
            </wp:positionH>
            <wp:positionV relativeFrom="page">
              <wp:posOffset>1327150</wp:posOffset>
            </wp:positionV>
            <wp:extent cx="3166110" cy="2626995"/>
            <wp:effectExtent l="0" t="0" r="0" b="1905"/>
            <wp:wrapTopAndBottom/>
            <wp:docPr id="103" name="Wykres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C7771E" w:rsidRPr="00C758B1">
        <w:rPr>
          <w:rFonts w:ascii="Lato" w:hAnsi="Lato"/>
        </w:rPr>
        <w:t>Wykorzystanie gazu ziemnego przy produkcji energii elektrycznej</w:t>
      </w:r>
      <w:bookmarkEnd w:id="52"/>
      <w:bookmarkEnd w:id="53"/>
      <w:bookmarkEnd w:id="54"/>
      <w:bookmarkEnd w:id="55"/>
    </w:p>
    <w:p w14:paraId="0BB84A23" w14:textId="55DD50B0" w:rsidR="002F262E" w:rsidRDefault="00C7771E" w:rsidP="00086AFF">
      <w:pPr>
        <w:spacing w:after="60" w:line="276" w:lineRule="auto"/>
        <w:ind w:firstLine="567"/>
        <w:rPr>
          <w:rFonts w:ascii="Lato" w:eastAsia="Malgun Gothic" w:hAnsi="Lato"/>
          <w:szCs w:val="24"/>
        </w:rPr>
      </w:pPr>
      <w:r w:rsidRPr="00C758B1">
        <w:rPr>
          <w:rFonts w:ascii="Lato" w:hAnsi="Lato"/>
        </w:rPr>
        <w:tab/>
      </w:r>
      <w:r w:rsidR="00FD227B" w:rsidRPr="004F0DBF">
        <w:rPr>
          <w:rFonts w:ascii="Lato" w:eastAsia="Malgun Gothic" w:hAnsi="Lato"/>
          <w:szCs w:val="24"/>
        </w:rPr>
        <w:t>Panujący w Europie w 2022 r. kryzys energetyczny (napaść zbrojna Rosji na Ukrainę oraz wzrost hurtowych cen gazu ziemnego) spowodował</w:t>
      </w:r>
      <w:r w:rsidR="00954099">
        <w:rPr>
          <w:rFonts w:ascii="Lato" w:eastAsia="Malgun Gothic" w:hAnsi="Lato"/>
          <w:szCs w:val="24"/>
        </w:rPr>
        <w:t xml:space="preserve"> </w:t>
      </w:r>
      <w:r w:rsidR="00FD227B" w:rsidRPr="004F0DBF">
        <w:rPr>
          <w:rFonts w:ascii="Lato" w:eastAsia="Malgun Gothic" w:hAnsi="Lato"/>
          <w:szCs w:val="24"/>
        </w:rPr>
        <w:t xml:space="preserve">tymczasowy spadek zużycia gazu ziemnego przede wszystkim przez odbiorców przemysłowych, w tym przez elektroenergetykę. W 2022 r. w Polsce z paliw gazowych wytworzono 11,69 TWh energii elektrycznej, co odpowiadało udziałowi wynoszącemu 6,5% całkowitej jej produkcji, stanowi to spadek w stosunku do lat poprzednich. Niemniej </w:t>
      </w:r>
      <w:r w:rsidR="00D128A1">
        <w:rPr>
          <w:rFonts w:ascii="Lato" w:eastAsia="Malgun Gothic" w:hAnsi="Lato"/>
          <w:szCs w:val="24"/>
        </w:rPr>
        <w:t xml:space="preserve">jednak, </w:t>
      </w:r>
      <w:r w:rsidR="00FD227B" w:rsidRPr="004F0DBF">
        <w:rPr>
          <w:rFonts w:ascii="Lato" w:eastAsia="Malgun Gothic" w:hAnsi="Lato"/>
          <w:szCs w:val="24"/>
        </w:rPr>
        <w:t>w związku z procesem transformacji polskiego sektora energetycznego, w tym z realizacją zaplanowanych już inwestycji w nowe moce wytwórcze, udział paliw gazowych w produkcji energii elektrycznej i ciepła w następnych latach może wzrastać.</w:t>
      </w:r>
    </w:p>
    <w:p w14:paraId="0985D619" w14:textId="7070026E" w:rsidR="00FD227B" w:rsidRPr="002F262E" w:rsidRDefault="00FD227B" w:rsidP="00270AE5">
      <w:pPr>
        <w:tabs>
          <w:tab w:val="left" w:pos="709"/>
        </w:tabs>
        <w:spacing w:before="240" w:after="240" w:line="276" w:lineRule="auto"/>
        <w:rPr>
          <w:rFonts w:ascii="Lato" w:eastAsia="Malgun Gothic" w:hAnsi="Lato"/>
          <w:b/>
          <w:bCs/>
          <w:szCs w:val="24"/>
        </w:rPr>
      </w:pPr>
      <w:r w:rsidRPr="002F262E">
        <w:rPr>
          <w:rFonts w:ascii="Lato" w:eastAsia="Malgun Gothic" w:hAnsi="Lato"/>
          <w:b/>
          <w:bCs/>
          <w:szCs w:val="24"/>
        </w:rPr>
        <w:t xml:space="preserve">Tabela </w:t>
      </w:r>
      <w:r w:rsidRPr="002F262E">
        <w:rPr>
          <w:rFonts w:ascii="Lato" w:eastAsia="Malgun Gothic" w:hAnsi="Lato"/>
          <w:b/>
          <w:bCs/>
          <w:szCs w:val="24"/>
        </w:rPr>
        <w:fldChar w:fldCharType="begin"/>
      </w:r>
      <w:r w:rsidRPr="002F262E">
        <w:rPr>
          <w:rFonts w:ascii="Lato" w:eastAsia="Malgun Gothic" w:hAnsi="Lato"/>
          <w:b/>
          <w:bCs/>
          <w:szCs w:val="24"/>
        </w:rPr>
        <w:instrText xml:space="preserve"> SEQ Tabela \* ARABIC </w:instrText>
      </w:r>
      <w:r w:rsidRPr="002F262E">
        <w:rPr>
          <w:rFonts w:ascii="Lato" w:eastAsia="Malgun Gothic" w:hAnsi="Lato"/>
          <w:b/>
          <w:bCs/>
          <w:szCs w:val="24"/>
        </w:rPr>
        <w:fldChar w:fldCharType="separate"/>
      </w:r>
      <w:r w:rsidR="00D520CA">
        <w:rPr>
          <w:rFonts w:ascii="Lato" w:eastAsia="Malgun Gothic" w:hAnsi="Lato"/>
          <w:b/>
          <w:bCs/>
          <w:noProof/>
          <w:szCs w:val="24"/>
        </w:rPr>
        <w:t>4</w:t>
      </w:r>
      <w:r w:rsidRPr="002F262E">
        <w:rPr>
          <w:rFonts w:ascii="Lato" w:eastAsia="Malgun Gothic" w:hAnsi="Lato"/>
          <w:b/>
          <w:bCs/>
          <w:szCs w:val="24"/>
        </w:rPr>
        <w:fldChar w:fldCharType="end"/>
      </w:r>
      <w:r w:rsidRPr="002F262E">
        <w:rPr>
          <w:rFonts w:ascii="Lato" w:eastAsia="Malgun Gothic" w:hAnsi="Lato"/>
          <w:b/>
          <w:bCs/>
          <w:szCs w:val="24"/>
        </w:rPr>
        <w:t>. Produkcja energii elektrycznej z gazu ziemnego [TWh]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402"/>
        <w:gridCol w:w="2268"/>
        <w:gridCol w:w="1418"/>
      </w:tblGrid>
      <w:tr w:rsidR="00FD227B" w:rsidRPr="00847573" w14:paraId="5F11C017" w14:textId="77777777" w:rsidTr="00CE63C5">
        <w:trPr>
          <w:trHeight w:val="680"/>
          <w:jc w:val="center"/>
        </w:trPr>
        <w:tc>
          <w:tcPr>
            <w:tcW w:w="1134" w:type="dxa"/>
            <w:shd w:val="clear" w:color="auto" w:fill="00A499"/>
            <w:vAlign w:val="center"/>
          </w:tcPr>
          <w:p w14:paraId="55D83B93" w14:textId="77777777" w:rsidR="00FD227B" w:rsidRPr="002F262E" w:rsidRDefault="00FD227B" w:rsidP="002F262E">
            <w:pPr>
              <w:spacing w:before="40" w:afterLines="40" w:after="96" w:line="276" w:lineRule="auto"/>
              <w:jc w:val="center"/>
              <w:rPr>
                <w:rFonts w:ascii="Lato" w:eastAsia="Calibri" w:hAnsi="Lato"/>
                <w:b/>
                <w:sz w:val="20"/>
                <w:szCs w:val="20"/>
              </w:rPr>
            </w:pPr>
            <w:r w:rsidRPr="002F262E">
              <w:rPr>
                <w:rFonts w:ascii="Lato" w:eastAsia="Calibri" w:hAnsi="Lato"/>
                <w:b/>
                <w:sz w:val="20"/>
                <w:szCs w:val="20"/>
              </w:rPr>
              <w:t>Rok</w:t>
            </w:r>
          </w:p>
        </w:tc>
        <w:tc>
          <w:tcPr>
            <w:tcW w:w="3402" w:type="dxa"/>
            <w:shd w:val="clear" w:color="auto" w:fill="00A499"/>
            <w:vAlign w:val="center"/>
          </w:tcPr>
          <w:p w14:paraId="63725D47" w14:textId="4E226E3E" w:rsidR="00FD227B" w:rsidRPr="002F262E" w:rsidRDefault="00FD227B" w:rsidP="002F262E">
            <w:pPr>
              <w:spacing w:before="40" w:afterLines="40" w:after="96" w:line="276" w:lineRule="auto"/>
              <w:jc w:val="center"/>
              <w:rPr>
                <w:rFonts w:ascii="Lato" w:eastAsia="Calibri" w:hAnsi="Lato"/>
                <w:b/>
                <w:sz w:val="20"/>
                <w:szCs w:val="20"/>
              </w:rPr>
            </w:pPr>
            <w:r w:rsidRPr="002F262E">
              <w:rPr>
                <w:rFonts w:ascii="Lato" w:eastAsia="Calibri" w:hAnsi="Lato"/>
                <w:b/>
                <w:sz w:val="20"/>
                <w:szCs w:val="20"/>
              </w:rPr>
              <w:t>Produkcja energii elektrycznej – ogółem [TWh]</w:t>
            </w:r>
          </w:p>
        </w:tc>
        <w:tc>
          <w:tcPr>
            <w:tcW w:w="2268" w:type="dxa"/>
            <w:shd w:val="clear" w:color="auto" w:fill="00A499"/>
            <w:vAlign w:val="center"/>
          </w:tcPr>
          <w:p w14:paraId="357155B2" w14:textId="50640DF6" w:rsidR="00FD227B" w:rsidRPr="002F262E" w:rsidRDefault="00FD227B" w:rsidP="002F262E">
            <w:pPr>
              <w:spacing w:before="40" w:afterLines="40" w:after="96" w:line="276" w:lineRule="auto"/>
              <w:jc w:val="center"/>
              <w:rPr>
                <w:rFonts w:ascii="Lato" w:eastAsia="Calibri" w:hAnsi="Lato"/>
                <w:b/>
                <w:sz w:val="20"/>
                <w:szCs w:val="20"/>
              </w:rPr>
            </w:pPr>
            <w:r w:rsidRPr="002F262E">
              <w:rPr>
                <w:rFonts w:ascii="Lato" w:eastAsia="Calibri" w:hAnsi="Lato"/>
                <w:b/>
                <w:sz w:val="20"/>
                <w:szCs w:val="20"/>
              </w:rPr>
              <w:t>w tym z paliw gazowych [TWh]</w:t>
            </w:r>
          </w:p>
        </w:tc>
        <w:tc>
          <w:tcPr>
            <w:tcW w:w="1418" w:type="dxa"/>
            <w:shd w:val="clear" w:color="auto" w:fill="00A499"/>
            <w:vAlign w:val="center"/>
          </w:tcPr>
          <w:p w14:paraId="57F14C87" w14:textId="77777777" w:rsidR="00FD227B" w:rsidRPr="002F262E" w:rsidRDefault="00FD227B" w:rsidP="002F262E">
            <w:pPr>
              <w:spacing w:before="40" w:afterLines="40" w:after="96" w:line="276" w:lineRule="auto"/>
              <w:jc w:val="center"/>
              <w:rPr>
                <w:rFonts w:ascii="Lato" w:eastAsia="Calibri" w:hAnsi="Lato"/>
                <w:b/>
                <w:sz w:val="20"/>
                <w:szCs w:val="20"/>
              </w:rPr>
            </w:pPr>
            <w:r w:rsidRPr="002F262E">
              <w:rPr>
                <w:rFonts w:ascii="Lato" w:eastAsia="Calibri" w:hAnsi="Lato"/>
                <w:b/>
                <w:sz w:val="20"/>
                <w:szCs w:val="20"/>
              </w:rPr>
              <w:t>%</w:t>
            </w:r>
          </w:p>
        </w:tc>
      </w:tr>
      <w:tr w:rsidR="00FD227B" w:rsidRPr="00847573" w14:paraId="6355BC3D" w14:textId="77777777" w:rsidTr="00CE63C5">
        <w:trPr>
          <w:trHeight w:val="340"/>
          <w:jc w:val="center"/>
        </w:trPr>
        <w:tc>
          <w:tcPr>
            <w:tcW w:w="1134" w:type="dxa"/>
            <w:vAlign w:val="center"/>
          </w:tcPr>
          <w:p w14:paraId="47032585"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2010</w:t>
            </w:r>
          </w:p>
        </w:tc>
        <w:tc>
          <w:tcPr>
            <w:tcW w:w="3402" w:type="dxa"/>
            <w:vAlign w:val="center"/>
          </w:tcPr>
          <w:p w14:paraId="5EC3401F"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157,7</w:t>
            </w:r>
          </w:p>
        </w:tc>
        <w:tc>
          <w:tcPr>
            <w:tcW w:w="2268" w:type="dxa"/>
            <w:vAlign w:val="center"/>
          </w:tcPr>
          <w:p w14:paraId="037FD92E"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4,9</w:t>
            </w:r>
          </w:p>
        </w:tc>
        <w:tc>
          <w:tcPr>
            <w:tcW w:w="1418" w:type="dxa"/>
            <w:vAlign w:val="center"/>
          </w:tcPr>
          <w:p w14:paraId="5ABB6D1C"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3,1%</w:t>
            </w:r>
          </w:p>
        </w:tc>
      </w:tr>
      <w:tr w:rsidR="00FD227B" w:rsidRPr="00847573" w14:paraId="3DF95BAB" w14:textId="77777777" w:rsidTr="00CE63C5">
        <w:trPr>
          <w:trHeight w:val="340"/>
          <w:jc w:val="center"/>
        </w:trPr>
        <w:tc>
          <w:tcPr>
            <w:tcW w:w="1134" w:type="dxa"/>
            <w:vAlign w:val="center"/>
          </w:tcPr>
          <w:p w14:paraId="6B234DAB"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2015</w:t>
            </w:r>
          </w:p>
        </w:tc>
        <w:tc>
          <w:tcPr>
            <w:tcW w:w="3402" w:type="dxa"/>
            <w:vAlign w:val="center"/>
          </w:tcPr>
          <w:p w14:paraId="44678D56"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164,9</w:t>
            </w:r>
          </w:p>
        </w:tc>
        <w:tc>
          <w:tcPr>
            <w:tcW w:w="2268" w:type="dxa"/>
            <w:vAlign w:val="center"/>
          </w:tcPr>
          <w:p w14:paraId="53A5EB97" w14:textId="3079F40D"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6,4</w:t>
            </w:r>
          </w:p>
        </w:tc>
        <w:tc>
          <w:tcPr>
            <w:tcW w:w="1418" w:type="dxa"/>
            <w:vAlign w:val="center"/>
          </w:tcPr>
          <w:p w14:paraId="1F4BE769"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3,9%</w:t>
            </w:r>
          </w:p>
        </w:tc>
      </w:tr>
      <w:tr w:rsidR="00FD227B" w:rsidRPr="00847573" w14:paraId="486B46E5" w14:textId="77777777" w:rsidTr="00CE63C5">
        <w:trPr>
          <w:trHeight w:val="340"/>
          <w:jc w:val="center"/>
        </w:trPr>
        <w:tc>
          <w:tcPr>
            <w:tcW w:w="1134" w:type="dxa"/>
            <w:vAlign w:val="center"/>
          </w:tcPr>
          <w:p w14:paraId="223E95A0"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2016</w:t>
            </w:r>
          </w:p>
        </w:tc>
        <w:tc>
          <w:tcPr>
            <w:tcW w:w="3402" w:type="dxa"/>
            <w:vAlign w:val="center"/>
          </w:tcPr>
          <w:p w14:paraId="55FEE12F"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166,6</w:t>
            </w:r>
          </w:p>
        </w:tc>
        <w:tc>
          <w:tcPr>
            <w:tcW w:w="2268" w:type="dxa"/>
            <w:vAlign w:val="center"/>
          </w:tcPr>
          <w:p w14:paraId="2E119B8C"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7,9</w:t>
            </w:r>
          </w:p>
        </w:tc>
        <w:tc>
          <w:tcPr>
            <w:tcW w:w="1418" w:type="dxa"/>
            <w:vAlign w:val="center"/>
          </w:tcPr>
          <w:p w14:paraId="74890AAB"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4,7%</w:t>
            </w:r>
          </w:p>
        </w:tc>
      </w:tr>
      <w:tr w:rsidR="00FD227B" w:rsidRPr="00847573" w14:paraId="15254124" w14:textId="77777777" w:rsidTr="00CE63C5">
        <w:trPr>
          <w:trHeight w:val="340"/>
          <w:jc w:val="center"/>
        </w:trPr>
        <w:tc>
          <w:tcPr>
            <w:tcW w:w="1134" w:type="dxa"/>
            <w:vAlign w:val="center"/>
          </w:tcPr>
          <w:p w14:paraId="568B93EF"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2017</w:t>
            </w:r>
          </w:p>
        </w:tc>
        <w:tc>
          <w:tcPr>
            <w:tcW w:w="3402" w:type="dxa"/>
            <w:vAlign w:val="center"/>
          </w:tcPr>
          <w:p w14:paraId="43B7225F"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170,5</w:t>
            </w:r>
          </w:p>
        </w:tc>
        <w:tc>
          <w:tcPr>
            <w:tcW w:w="2268" w:type="dxa"/>
            <w:vAlign w:val="center"/>
          </w:tcPr>
          <w:p w14:paraId="63AE7B97"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10,1</w:t>
            </w:r>
          </w:p>
        </w:tc>
        <w:tc>
          <w:tcPr>
            <w:tcW w:w="1418" w:type="dxa"/>
            <w:vAlign w:val="center"/>
          </w:tcPr>
          <w:p w14:paraId="37C82AF8"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5,9%</w:t>
            </w:r>
          </w:p>
        </w:tc>
      </w:tr>
      <w:tr w:rsidR="00FD227B" w:rsidRPr="00847573" w14:paraId="6E1A7D40" w14:textId="77777777" w:rsidTr="00CE63C5">
        <w:trPr>
          <w:trHeight w:val="340"/>
          <w:jc w:val="center"/>
        </w:trPr>
        <w:tc>
          <w:tcPr>
            <w:tcW w:w="1134" w:type="dxa"/>
            <w:vAlign w:val="center"/>
          </w:tcPr>
          <w:p w14:paraId="5140BBC6"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2018</w:t>
            </w:r>
          </w:p>
        </w:tc>
        <w:tc>
          <w:tcPr>
            <w:tcW w:w="3402" w:type="dxa"/>
            <w:vAlign w:val="center"/>
          </w:tcPr>
          <w:p w14:paraId="3B706F86"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170,0</w:t>
            </w:r>
          </w:p>
        </w:tc>
        <w:tc>
          <w:tcPr>
            <w:tcW w:w="2268" w:type="dxa"/>
            <w:vAlign w:val="center"/>
          </w:tcPr>
          <w:p w14:paraId="6373444A"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12,7</w:t>
            </w:r>
          </w:p>
        </w:tc>
        <w:tc>
          <w:tcPr>
            <w:tcW w:w="1418" w:type="dxa"/>
            <w:vAlign w:val="center"/>
          </w:tcPr>
          <w:p w14:paraId="580FB834"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7,5%</w:t>
            </w:r>
          </w:p>
        </w:tc>
      </w:tr>
      <w:tr w:rsidR="00FD227B" w:rsidRPr="00847573" w14:paraId="7FACE6AC" w14:textId="77777777" w:rsidTr="00CE63C5">
        <w:trPr>
          <w:trHeight w:val="340"/>
          <w:jc w:val="center"/>
        </w:trPr>
        <w:tc>
          <w:tcPr>
            <w:tcW w:w="1134" w:type="dxa"/>
            <w:vAlign w:val="center"/>
          </w:tcPr>
          <w:p w14:paraId="094402B4"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2019</w:t>
            </w:r>
          </w:p>
        </w:tc>
        <w:tc>
          <w:tcPr>
            <w:tcW w:w="3402" w:type="dxa"/>
            <w:vAlign w:val="center"/>
          </w:tcPr>
          <w:p w14:paraId="11287003"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163,9</w:t>
            </w:r>
          </w:p>
        </w:tc>
        <w:tc>
          <w:tcPr>
            <w:tcW w:w="2268" w:type="dxa"/>
            <w:vAlign w:val="center"/>
          </w:tcPr>
          <w:p w14:paraId="575DD48B"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14,5</w:t>
            </w:r>
          </w:p>
        </w:tc>
        <w:tc>
          <w:tcPr>
            <w:tcW w:w="1418" w:type="dxa"/>
            <w:vAlign w:val="center"/>
          </w:tcPr>
          <w:p w14:paraId="45AFADD7"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8,8%</w:t>
            </w:r>
          </w:p>
        </w:tc>
      </w:tr>
      <w:tr w:rsidR="00FD227B" w:rsidRPr="00847573" w14:paraId="13FE9995" w14:textId="77777777" w:rsidTr="00CE63C5">
        <w:trPr>
          <w:trHeight w:val="340"/>
          <w:jc w:val="center"/>
        </w:trPr>
        <w:tc>
          <w:tcPr>
            <w:tcW w:w="1134" w:type="dxa"/>
            <w:vAlign w:val="center"/>
          </w:tcPr>
          <w:p w14:paraId="271A3EF6"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2020</w:t>
            </w:r>
          </w:p>
        </w:tc>
        <w:tc>
          <w:tcPr>
            <w:tcW w:w="3402" w:type="dxa"/>
            <w:vAlign w:val="center"/>
          </w:tcPr>
          <w:p w14:paraId="34EE1B31"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157,9</w:t>
            </w:r>
          </w:p>
        </w:tc>
        <w:tc>
          <w:tcPr>
            <w:tcW w:w="2268" w:type="dxa"/>
            <w:vAlign w:val="center"/>
          </w:tcPr>
          <w:p w14:paraId="2D95E6A4"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16,1</w:t>
            </w:r>
          </w:p>
        </w:tc>
        <w:tc>
          <w:tcPr>
            <w:tcW w:w="1418" w:type="dxa"/>
            <w:vAlign w:val="center"/>
          </w:tcPr>
          <w:p w14:paraId="6ABDF220"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10,3%</w:t>
            </w:r>
          </w:p>
        </w:tc>
      </w:tr>
      <w:tr w:rsidR="00FD227B" w:rsidRPr="00847573" w14:paraId="3934526A" w14:textId="77777777" w:rsidTr="00CE63C5">
        <w:trPr>
          <w:trHeight w:val="340"/>
          <w:jc w:val="center"/>
        </w:trPr>
        <w:tc>
          <w:tcPr>
            <w:tcW w:w="1134" w:type="dxa"/>
            <w:shd w:val="clear" w:color="auto" w:fill="FFFFFF" w:themeFill="background1"/>
            <w:vAlign w:val="center"/>
          </w:tcPr>
          <w:p w14:paraId="2956A872" w14:textId="77777777" w:rsidR="00FD227B" w:rsidRPr="002F262E" w:rsidRDefault="00FD227B" w:rsidP="002F262E">
            <w:pPr>
              <w:spacing w:before="40" w:afterLines="40" w:after="96"/>
              <w:jc w:val="center"/>
              <w:rPr>
                <w:rFonts w:ascii="Lato" w:eastAsia="Calibri" w:hAnsi="Lato"/>
                <w:sz w:val="20"/>
                <w:szCs w:val="20"/>
                <w:vertAlign w:val="superscript"/>
              </w:rPr>
            </w:pPr>
            <w:r w:rsidRPr="002F262E">
              <w:rPr>
                <w:rFonts w:ascii="Lato" w:eastAsia="Calibri" w:hAnsi="Lato"/>
                <w:sz w:val="20"/>
                <w:szCs w:val="20"/>
              </w:rPr>
              <w:t>2021</w:t>
            </w:r>
          </w:p>
        </w:tc>
        <w:tc>
          <w:tcPr>
            <w:tcW w:w="3402" w:type="dxa"/>
            <w:shd w:val="clear" w:color="auto" w:fill="FFFFFF" w:themeFill="background1"/>
            <w:vAlign w:val="center"/>
          </w:tcPr>
          <w:p w14:paraId="7C88E38B"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179,6</w:t>
            </w:r>
          </w:p>
        </w:tc>
        <w:tc>
          <w:tcPr>
            <w:tcW w:w="2268" w:type="dxa"/>
            <w:shd w:val="clear" w:color="auto" w:fill="FFFFFF" w:themeFill="background1"/>
            <w:vAlign w:val="center"/>
          </w:tcPr>
          <w:p w14:paraId="2A8E4C4D"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15,6</w:t>
            </w:r>
          </w:p>
        </w:tc>
        <w:tc>
          <w:tcPr>
            <w:tcW w:w="1418" w:type="dxa"/>
            <w:shd w:val="clear" w:color="auto" w:fill="FFFFFF" w:themeFill="background1"/>
            <w:vAlign w:val="center"/>
          </w:tcPr>
          <w:p w14:paraId="3011E2BE"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8,7%</w:t>
            </w:r>
          </w:p>
        </w:tc>
      </w:tr>
      <w:tr w:rsidR="00FD227B" w:rsidRPr="00847573" w14:paraId="190DA794" w14:textId="77777777" w:rsidTr="00CE63C5">
        <w:trPr>
          <w:trHeight w:val="340"/>
          <w:jc w:val="center"/>
        </w:trPr>
        <w:tc>
          <w:tcPr>
            <w:tcW w:w="1134" w:type="dxa"/>
            <w:shd w:val="clear" w:color="auto" w:fill="EEDC00"/>
            <w:vAlign w:val="center"/>
          </w:tcPr>
          <w:p w14:paraId="274A799C" w14:textId="3BFD3692"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2022</w:t>
            </w:r>
          </w:p>
        </w:tc>
        <w:tc>
          <w:tcPr>
            <w:tcW w:w="3402" w:type="dxa"/>
            <w:shd w:val="clear" w:color="auto" w:fill="EEDC00"/>
            <w:vAlign w:val="center"/>
          </w:tcPr>
          <w:p w14:paraId="6F282BFD"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178,8</w:t>
            </w:r>
          </w:p>
        </w:tc>
        <w:tc>
          <w:tcPr>
            <w:tcW w:w="2268" w:type="dxa"/>
            <w:shd w:val="clear" w:color="auto" w:fill="EEDC00"/>
            <w:vAlign w:val="center"/>
          </w:tcPr>
          <w:p w14:paraId="732C6C56"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11,7</w:t>
            </w:r>
          </w:p>
        </w:tc>
        <w:tc>
          <w:tcPr>
            <w:tcW w:w="1418" w:type="dxa"/>
            <w:shd w:val="clear" w:color="auto" w:fill="EEDC00"/>
            <w:vAlign w:val="center"/>
          </w:tcPr>
          <w:p w14:paraId="0A4520F2" w14:textId="77777777" w:rsidR="00FD227B" w:rsidRPr="002F262E" w:rsidRDefault="00FD227B" w:rsidP="002F262E">
            <w:pPr>
              <w:spacing w:before="40" w:afterLines="40" w:after="96"/>
              <w:jc w:val="center"/>
              <w:rPr>
                <w:rFonts w:ascii="Lato" w:eastAsia="Calibri" w:hAnsi="Lato"/>
                <w:sz w:val="20"/>
                <w:szCs w:val="20"/>
              </w:rPr>
            </w:pPr>
            <w:r w:rsidRPr="002F262E">
              <w:rPr>
                <w:rFonts w:ascii="Lato" w:eastAsia="Calibri" w:hAnsi="Lato"/>
                <w:sz w:val="20"/>
                <w:szCs w:val="20"/>
              </w:rPr>
              <w:t>6,5%</w:t>
            </w:r>
          </w:p>
        </w:tc>
      </w:tr>
    </w:tbl>
    <w:p w14:paraId="7D4A96C5" w14:textId="77777777" w:rsidR="00FD227B" w:rsidRPr="001F751F" w:rsidRDefault="00FD227B" w:rsidP="001F751F">
      <w:pPr>
        <w:spacing w:before="120" w:line="276" w:lineRule="auto"/>
        <w:ind w:firstLine="357"/>
        <w:rPr>
          <w:rFonts w:ascii="Lato" w:eastAsia="Malgun Gothic" w:hAnsi="Lato"/>
          <w:sz w:val="20"/>
          <w:szCs w:val="20"/>
        </w:rPr>
      </w:pPr>
      <w:r w:rsidRPr="001F751F">
        <w:rPr>
          <w:rFonts w:ascii="Lato" w:eastAsia="Malgun Gothic" w:hAnsi="Lato" w:cs="Calibri"/>
          <w:i/>
          <w:sz w:val="20"/>
          <w:szCs w:val="20"/>
        </w:rPr>
        <w:t>Ź</w:t>
      </w:r>
      <w:r w:rsidRPr="001F751F">
        <w:rPr>
          <w:rFonts w:ascii="Lato" w:eastAsia="Malgun Gothic" w:hAnsi="Lato"/>
          <w:i/>
          <w:sz w:val="20"/>
          <w:szCs w:val="20"/>
        </w:rPr>
        <w:t>r</w:t>
      </w:r>
      <w:r w:rsidRPr="001F751F">
        <w:rPr>
          <w:rFonts w:ascii="Lato" w:eastAsia="Malgun Gothic" w:hAnsi="Lato" w:cs="Malgun Gothic"/>
          <w:i/>
          <w:sz w:val="20"/>
          <w:szCs w:val="20"/>
        </w:rPr>
        <w:t>ó</w:t>
      </w:r>
      <w:r w:rsidRPr="001F751F">
        <w:rPr>
          <w:rFonts w:ascii="Lato" w:eastAsia="Malgun Gothic" w:hAnsi="Lato"/>
          <w:i/>
          <w:sz w:val="20"/>
          <w:szCs w:val="20"/>
        </w:rPr>
        <w:t>d</w:t>
      </w:r>
      <w:r w:rsidRPr="001F751F">
        <w:rPr>
          <w:rFonts w:ascii="Lato" w:eastAsia="Malgun Gothic" w:hAnsi="Lato" w:cs="Malgun Gothic"/>
          <w:i/>
          <w:sz w:val="20"/>
          <w:szCs w:val="20"/>
        </w:rPr>
        <w:t>ł</w:t>
      </w:r>
      <w:r w:rsidRPr="001F751F">
        <w:rPr>
          <w:rFonts w:ascii="Lato" w:eastAsia="Malgun Gothic" w:hAnsi="Lato"/>
          <w:i/>
          <w:sz w:val="20"/>
          <w:szCs w:val="20"/>
        </w:rPr>
        <w:t>o: Badania statystyczne Ministra Klimatu i Środowiska</w:t>
      </w:r>
    </w:p>
    <w:p w14:paraId="3893F8B8" w14:textId="50505030" w:rsidR="00B03DBA" w:rsidRPr="004F0DBF" w:rsidRDefault="00C7771E" w:rsidP="002F262E">
      <w:pPr>
        <w:spacing w:after="60" w:line="276" w:lineRule="auto"/>
        <w:rPr>
          <w:rFonts w:ascii="Lato" w:hAnsi="Lato"/>
        </w:rPr>
      </w:pPr>
      <w:r w:rsidRPr="004F0DBF">
        <w:rPr>
          <w:rFonts w:ascii="Lato" w:hAnsi="Lato"/>
        </w:rPr>
        <w:tab/>
        <w:t xml:space="preserve">W kolejnych latach </w:t>
      </w:r>
      <w:r w:rsidR="00257046">
        <w:rPr>
          <w:rFonts w:ascii="Lato" w:hAnsi="Lato"/>
        </w:rPr>
        <w:t>j</w:t>
      </w:r>
      <w:r w:rsidR="00257046" w:rsidRPr="00257046">
        <w:rPr>
          <w:rFonts w:ascii="Lato" w:hAnsi="Lato"/>
        </w:rPr>
        <w:t xml:space="preserve">ednostki gazowe wciąż będą miały znaczenie dla regulowania pracy systemu energetycznego, ale w kontekście nowej sytuacji geopolitycznej, </w:t>
      </w:r>
      <w:r w:rsidR="00257046" w:rsidRPr="00257046">
        <w:rPr>
          <w:rFonts w:ascii="Lato" w:hAnsi="Lato"/>
        </w:rPr>
        <w:lastRenderedPageBreak/>
        <w:t>weryfikacji mogą podlegać dotychczasowe plany inwestycyjne dotyczące nowych mocy gazowych, co będzie oddziaływać na prognozy wykorzystania gazu ziemnego w kolejnych latach.</w:t>
      </w:r>
      <w:r w:rsidR="00E270EB">
        <w:rPr>
          <w:rFonts w:ascii="Lato" w:hAnsi="Lato"/>
        </w:rPr>
        <w:t xml:space="preserve"> W związku z tym, o</w:t>
      </w:r>
      <w:r w:rsidRPr="004F0DBF">
        <w:rPr>
          <w:rFonts w:ascii="Lato" w:hAnsi="Lato"/>
        </w:rPr>
        <w:t>peratorzy systemów przesyłowych – gazowego i elektroenergetycznego (OGP Gaz-System S.A. i Polskie Sieci Elektroenergetyczne S.A)</w:t>
      </w:r>
      <w:r w:rsidR="00257046">
        <w:rPr>
          <w:rFonts w:ascii="Lato" w:hAnsi="Lato"/>
        </w:rPr>
        <w:t>, kontynuują współpracę mającą na</w:t>
      </w:r>
      <w:r w:rsidRPr="004F0DBF">
        <w:rPr>
          <w:rFonts w:ascii="Lato" w:hAnsi="Lato"/>
        </w:rPr>
        <w:t xml:space="preserve"> celu:</w:t>
      </w:r>
    </w:p>
    <w:p w14:paraId="1FB988F5" w14:textId="680D0541" w:rsidR="00B03DBA" w:rsidRPr="004F0DBF" w:rsidRDefault="00C7771E">
      <w:pPr>
        <w:pStyle w:val="Akapitzlist"/>
        <w:numPr>
          <w:ilvl w:val="0"/>
          <w:numId w:val="11"/>
        </w:numPr>
        <w:spacing w:line="276" w:lineRule="auto"/>
        <w:rPr>
          <w:rFonts w:ascii="Lato" w:hAnsi="Lato"/>
        </w:rPr>
      </w:pPr>
      <w:r w:rsidRPr="004F0DBF">
        <w:rPr>
          <w:rFonts w:ascii="Lato" w:hAnsi="Lato"/>
        </w:rPr>
        <w:t>rozw</w:t>
      </w:r>
      <w:r w:rsidR="00D128A1">
        <w:rPr>
          <w:rFonts w:ascii="Lato" w:hAnsi="Lato"/>
        </w:rPr>
        <w:t>ój</w:t>
      </w:r>
      <w:r w:rsidRPr="004F0DBF">
        <w:rPr>
          <w:rFonts w:ascii="Lato" w:hAnsi="Lato"/>
        </w:rPr>
        <w:t xml:space="preserve"> systemów elektroenergetycznego i gazowego, </w:t>
      </w:r>
    </w:p>
    <w:p w14:paraId="2BC7D7E0" w14:textId="044FC911" w:rsidR="00B03DBA" w:rsidRPr="004F0DBF" w:rsidRDefault="00C7771E">
      <w:pPr>
        <w:pStyle w:val="Akapitzlist"/>
        <w:numPr>
          <w:ilvl w:val="0"/>
          <w:numId w:val="11"/>
        </w:numPr>
        <w:spacing w:line="276" w:lineRule="auto"/>
        <w:rPr>
          <w:rFonts w:ascii="Lato" w:hAnsi="Lato"/>
        </w:rPr>
      </w:pPr>
      <w:r w:rsidRPr="004F0DBF">
        <w:rPr>
          <w:rFonts w:ascii="Lato" w:hAnsi="Lato"/>
        </w:rPr>
        <w:t>rozw</w:t>
      </w:r>
      <w:r w:rsidR="00D128A1">
        <w:rPr>
          <w:rFonts w:ascii="Lato" w:hAnsi="Lato"/>
        </w:rPr>
        <w:t>ój</w:t>
      </w:r>
      <w:r w:rsidRPr="004F0DBF">
        <w:rPr>
          <w:rFonts w:ascii="Lato" w:hAnsi="Lato"/>
        </w:rPr>
        <w:t xml:space="preserve"> zasad rynku energii elektrycznej i rynku gazu ziemnego</w:t>
      </w:r>
      <w:r w:rsidR="00457C7E" w:rsidRPr="004F0DBF">
        <w:rPr>
          <w:rFonts w:ascii="Lato" w:hAnsi="Lato"/>
        </w:rPr>
        <w:t>;</w:t>
      </w:r>
    </w:p>
    <w:p w14:paraId="2CB1810C" w14:textId="751EEBCE" w:rsidR="00B03DBA" w:rsidRPr="004F0DBF" w:rsidRDefault="00C7771E">
      <w:pPr>
        <w:pStyle w:val="Akapitzlist"/>
        <w:numPr>
          <w:ilvl w:val="0"/>
          <w:numId w:val="11"/>
        </w:numPr>
        <w:spacing w:line="276" w:lineRule="auto"/>
        <w:rPr>
          <w:rFonts w:ascii="Lato" w:hAnsi="Lato"/>
        </w:rPr>
      </w:pPr>
      <w:r w:rsidRPr="004F0DBF">
        <w:rPr>
          <w:rFonts w:ascii="Lato" w:hAnsi="Lato"/>
        </w:rPr>
        <w:t>prowadzeni</w:t>
      </w:r>
      <w:r w:rsidR="00D128A1">
        <w:rPr>
          <w:rFonts w:ascii="Lato" w:hAnsi="Lato"/>
        </w:rPr>
        <w:t>e</w:t>
      </w:r>
      <w:r w:rsidRPr="004F0DBF">
        <w:rPr>
          <w:rFonts w:ascii="Lato" w:hAnsi="Lato"/>
        </w:rPr>
        <w:t xml:space="preserve"> ruchu w systemach elektroenergetycznym i gazowym.</w:t>
      </w:r>
    </w:p>
    <w:p w14:paraId="30B06694" w14:textId="77777777" w:rsidR="00B03DBA" w:rsidRPr="00D128A1" w:rsidRDefault="00C7771E" w:rsidP="00730C94">
      <w:pPr>
        <w:pStyle w:val="Rozdzia3"/>
        <w:spacing w:after="120"/>
        <w:ind w:left="1077" w:hanging="1077"/>
        <w:rPr>
          <w:rFonts w:ascii="Lato" w:hAnsi="Lato"/>
        </w:rPr>
      </w:pPr>
      <w:bookmarkStart w:id="56" w:name="_Toc12953904"/>
      <w:bookmarkStart w:id="57" w:name="_Toc19782937"/>
      <w:bookmarkStart w:id="58" w:name="_Toc142469564"/>
      <w:r w:rsidRPr="00D128A1">
        <w:rPr>
          <w:rFonts w:ascii="Lato" w:hAnsi="Lato"/>
        </w:rPr>
        <w:t>Rola środków na rzecz efektywności energetycznej</w:t>
      </w:r>
      <w:bookmarkEnd w:id="56"/>
      <w:bookmarkEnd w:id="57"/>
      <w:bookmarkEnd w:id="58"/>
    </w:p>
    <w:p w14:paraId="7A5BFE99" w14:textId="497633FA" w:rsidR="00B03DBA" w:rsidRPr="004F0DBF" w:rsidRDefault="00C7771E" w:rsidP="00D128A1">
      <w:pPr>
        <w:spacing w:after="0" w:line="276" w:lineRule="auto"/>
        <w:rPr>
          <w:rFonts w:ascii="Lato" w:hAnsi="Lato"/>
        </w:rPr>
      </w:pPr>
      <w:r w:rsidRPr="00C758B1">
        <w:tab/>
      </w:r>
      <w:r w:rsidRPr="004F0DBF">
        <w:rPr>
          <w:rFonts w:ascii="Lato" w:hAnsi="Lato"/>
        </w:rPr>
        <w:t xml:space="preserve">W </w:t>
      </w:r>
      <w:r w:rsidR="00730C94">
        <w:rPr>
          <w:rFonts w:ascii="Lato" w:hAnsi="Lato"/>
        </w:rPr>
        <w:t>polskim systemie</w:t>
      </w:r>
      <w:r w:rsidRPr="004F0DBF">
        <w:rPr>
          <w:rFonts w:ascii="Lato" w:hAnsi="Lato"/>
        </w:rPr>
        <w:t xml:space="preserve"> prawnym</w:t>
      </w:r>
      <w:r w:rsidR="00730C94">
        <w:rPr>
          <w:rFonts w:ascii="Lato" w:hAnsi="Lato"/>
        </w:rPr>
        <w:t xml:space="preserve"> aktem</w:t>
      </w:r>
      <w:r w:rsidRPr="004F0DBF">
        <w:rPr>
          <w:rFonts w:ascii="Lato" w:hAnsi="Lato"/>
        </w:rPr>
        <w:t xml:space="preserve"> regulującym kwestie efektywności energetycznej jest ustawa z dnia 20 maja 2016 r</w:t>
      </w:r>
      <w:r w:rsidRPr="004F0DBF">
        <w:rPr>
          <w:rFonts w:ascii="Lato" w:hAnsi="Lato"/>
          <w:i/>
        </w:rPr>
        <w:t>. o efektywności energetycznej</w:t>
      </w:r>
      <w:r w:rsidRPr="004F0DBF">
        <w:rPr>
          <w:rFonts w:ascii="Lato" w:hAnsi="Lato"/>
        </w:rPr>
        <w:t xml:space="preserve"> (t.j. </w:t>
      </w:r>
      <w:r w:rsidR="000D42F8" w:rsidRPr="000D42F8">
        <w:rPr>
          <w:rFonts w:ascii="Lato" w:hAnsi="Lato"/>
        </w:rPr>
        <w:t>Dz.U. z 2021 r. poz. 2166</w:t>
      </w:r>
      <w:r w:rsidRPr="004F0DBF">
        <w:rPr>
          <w:rFonts w:ascii="Lato" w:hAnsi="Lato"/>
        </w:rPr>
        <w:t xml:space="preserve"> z późn. zm.), na podstawie której podmioty </w:t>
      </w:r>
      <w:r w:rsidR="00D128A1" w:rsidRPr="004F0DBF">
        <w:rPr>
          <w:rFonts w:ascii="Lato" w:hAnsi="Lato"/>
        </w:rPr>
        <w:t xml:space="preserve">są </w:t>
      </w:r>
      <w:r w:rsidRPr="004F0DBF">
        <w:rPr>
          <w:rFonts w:ascii="Lato" w:hAnsi="Lato"/>
        </w:rPr>
        <w:t>zobowiązane do realizacji przedsięwzięć zwiększających efektywność energetyczną. Ustawa obejmuje zarówno sektor prywatny, jak i sektor publiczny</w:t>
      </w:r>
      <w:r w:rsidR="00730C94">
        <w:rPr>
          <w:rFonts w:ascii="Lato" w:hAnsi="Lato"/>
        </w:rPr>
        <w:t>, określając</w:t>
      </w:r>
      <w:r w:rsidRPr="004F0DBF">
        <w:rPr>
          <w:rFonts w:ascii="Lato" w:hAnsi="Lato"/>
        </w:rPr>
        <w:t xml:space="preserve"> środki zwiększające efektywność </w:t>
      </w:r>
      <w:r w:rsidR="004D6A74">
        <w:rPr>
          <w:rFonts w:ascii="Lato" w:hAnsi="Lato"/>
        </w:rPr>
        <w:t xml:space="preserve">jednostek </w:t>
      </w:r>
      <w:r w:rsidRPr="004F0DBF">
        <w:rPr>
          <w:rFonts w:ascii="Lato" w:hAnsi="Lato"/>
        </w:rPr>
        <w:t>sektora publicznego</w:t>
      </w:r>
      <w:r w:rsidR="00730C94">
        <w:rPr>
          <w:rFonts w:ascii="Lato" w:hAnsi="Lato"/>
        </w:rPr>
        <w:t xml:space="preserve">, np. </w:t>
      </w:r>
      <w:r w:rsidRPr="004F0DBF">
        <w:rPr>
          <w:rFonts w:ascii="Lato" w:hAnsi="Lato"/>
        </w:rPr>
        <w:t>rozwiązani</w:t>
      </w:r>
      <w:r w:rsidR="004D6A74">
        <w:rPr>
          <w:rFonts w:ascii="Lato" w:hAnsi="Lato"/>
        </w:rPr>
        <w:t>a</w:t>
      </w:r>
      <w:r w:rsidRPr="004F0DBF">
        <w:rPr>
          <w:rFonts w:ascii="Lato" w:hAnsi="Lato"/>
        </w:rPr>
        <w:t xml:space="preserve"> </w:t>
      </w:r>
      <w:r w:rsidR="00730C94">
        <w:rPr>
          <w:rFonts w:ascii="Lato" w:hAnsi="Lato"/>
        </w:rPr>
        <w:t>w zakresie</w:t>
      </w:r>
      <w:r w:rsidRPr="004F0DBF">
        <w:rPr>
          <w:rFonts w:ascii="Lato" w:hAnsi="Lato"/>
        </w:rPr>
        <w:t xml:space="preserve"> zawiązania umowy o poprawę efektywności. Ponadto</w:t>
      </w:r>
      <w:r w:rsidR="00E270EB">
        <w:rPr>
          <w:rFonts w:ascii="Lato" w:hAnsi="Lato"/>
        </w:rPr>
        <w:t>,</w:t>
      </w:r>
      <w:r w:rsidRPr="004F0DBF">
        <w:rPr>
          <w:rFonts w:ascii="Lato" w:hAnsi="Lato"/>
        </w:rPr>
        <w:t xml:space="preserve"> zgodnie z ustawą</w:t>
      </w:r>
      <w:r w:rsidR="004D6A74">
        <w:rPr>
          <w:rFonts w:ascii="Lato" w:hAnsi="Lato"/>
        </w:rPr>
        <w:t>,</w:t>
      </w:r>
      <w:r w:rsidRPr="004F0DBF">
        <w:rPr>
          <w:rFonts w:ascii="Lato" w:hAnsi="Lato"/>
        </w:rPr>
        <w:t xml:space="preserve"> duże przedsiębiorstwa zostały </w:t>
      </w:r>
      <w:r w:rsidR="00730C94" w:rsidRPr="004F0DBF">
        <w:rPr>
          <w:rFonts w:ascii="Lato" w:hAnsi="Lato"/>
        </w:rPr>
        <w:t xml:space="preserve">zobligowane </w:t>
      </w:r>
      <w:r w:rsidRPr="004F0DBF">
        <w:rPr>
          <w:rFonts w:ascii="Lato" w:hAnsi="Lato"/>
        </w:rPr>
        <w:t>do przeprowadzania audytów energetycznych w odstępach czteroletnich.</w:t>
      </w:r>
    </w:p>
    <w:p w14:paraId="4B48F637" w14:textId="44962116" w:rsidR="00B03DBA" w:rsidRPr="004F0DBF" w:rsidRDefault="00C7771E" w:rsidP="00983C18">
      <w:pPr>
        <w:spacing w:line="276" w:lineRule="auto"/>
        <w:rPr>
          <w:rFonts w:ascii="Lato" w:hAnsi="Lato"/>
        </w:rPr>
      </w:pPr>
      <w:r w:rsidRPr="004F0DBF">
        <w:rPr>
          <w:rFonts w:ascii="Lato" w:hAnsi="Lato"/>
        </w:rPr>
        <w:tab/>
        <w:t xml:space="preserve">Określone w ustawie przedsięwzięcia, </w:t>
      </w:r>
      <w:r w:rsidR="00730C94">
        <w:rPr>
          <w:rFonts w:ascii="Lato" w:hAnsi="Lato"/>
        </w:rPr>
        <w:t>które stanowią</w:t>
      </w:r>
      <w:r w:rsidRPr="004F0DBF">
        <w:rPr>
          <w:rFonts w:ascii="Lato" w:hAnsi="Lato"/>
        </w:rPr>
        <w:t xml:space="preserve"> podstaw</w:t>
      </w:r>
      <w:r w:rsidR="00730C94">
        <w:rPr>
          <w:rFonts w:ascii="Lato" w:hAnsi="Lato"/>
        </w:rPr>
        <w:t>ę dla</w:t>
      </w:r>
      <w:r w:rsidRPr="004F0DBF">
        <w:rPr>
          <w:rFonts w:ascii="Lato" w:hAnsi="Lato"/>
        </w:rPr>
        <w:t xml:space="preserve"> mechanizmów poprawy efektywności energetycznej</w:t>
      </w:r>
      <w:r w:rsidR="00730C94">
        <w:rPr>
          <w:rFonts w:ascii="Lato" w:hAnsi="Lato"/>
        </w:rPr>
        <w:t xml:space="preserve">, </w:t>
      </w:r>
      <w:r w:rsidR="00730C94" w:rsidRPr="004F0DBF">
        <w:rPr>
          <w:rFonts w:ascii="Lato" w:hAnsi="Lato"/>
        </w:rPr>
        <w:t xml:space="preserve">w zależności od ich specyfiki </w:t>
      </w:r>
      <w:r w:rsidRPr="004F0DBF">
        <w:rPr>
          <w:rFonts w:ascii="Lato" w:hAnsi="Lato"/>
        </w:rPr>
        <w:t xml:space="preserve">mogą wywierać dwojaki wpływ na </w:t>
      </w:r>
      <w:r w:rsidR="00730C94">
        <w:rPr>
          <w:rFonts w:ascii="Lato" w:hAnsi="Lato"/>
        </w:rPr>
        <w:t xml:space="preserve">skalę </w:t>
      </w:r>
      <w:r w:rsidRPr="004F0DBF">
        <w:rPr>
          <w:rFonts w:ascii="Lato" w:hAnsi="Lato"/>
        </w:rPr>
        <w:t>roczne</w:t>
      </w:r>
      <w:r w:rsidR="00730C94">
        <w:rPr>
          <w:rFonts w:ascii="Lato" w:hAnsi="Lato"/>
        </w:rPr>
        <w:t>go</w:t>
      </w:r>
      <w:r w:rsidRPr="004F0DBF">
        <w:rPr>
          <w:rFonts w:ascii="Lato" w:hAnsi="Lato"/>
        </w:rPr>
        <w:t xml:space="preserve"> zużycie gazu ziemnego.</w:t>
      </w:r>
      <w:r w:rsidR="00730C94">
        <w:rPr>
          <w:rFonts w:ascii="Lato" w:hAnsi="Lato"/>
        </w:rPr>
        <w:t xml:space="preserve"> </w:t>
      </w:r>
      <w:r w:rsidRPr="004F0DBF">
        <w:rPr>
          <w:rFonts w:ascii="Lato" w:hAnsi="Lato"/>
        </w:rPr>
        <w:t>Usprawnienia i modernizacje realizowane w</w:t>
      </w:r>
      <w:r w:rsidR="000D42F8">
        <w:rPr>
          <w:rFonts w:ascii="Lato" w:hAnsi="Lato"/>
        </w:rPr>
        <w:t xml:space="preserve"> </w:t>
      </w:r>
      <w:r w:rsidRPr="004F0DBF">
        <w:rPr>
          <w:rFonts w:ascii="Lato" w:hAnsi="Lato"/>
        </w:rPr>
        <w:t>obrębie zużywających gaz ziemny urządzeń i instalacji wykorzystywanych w procesach przemysłowych lub w</w:t>
      </w:r>
      <w:r w:rsidR="000D42F8">
        <w:rPr>
          <w:rFonts w:ascii="Lato" w:hAnsi="Lato"/>
        </w:rPr>
        <w:t xml:space="preserve"> </w:t>
      </w:r>
      <w:r w:rsidRPr="004F0DBF">
        <w:rPr>
          <w:rFonts w:ascii="Lato" w:hAnsi="Lato"/>
        </w:rPr>
        <w:t>procesach energetycznych, co do zasady ograniczą jego finalne zużycie. Niemniej jednak</w:t>
      </w:r>
      <w:r w:rsidR="004D6A74">
        <w:rPr>
          <w:rFonts w:ascii="Lato" w:hAnsi="Lato"/>
        </w:rPr>
        <w:t>,</w:t>
      </w:r>
      <w:r w:rsidRPr="004F0DBF">
        <w:rPr>
          <w:rFonts w:ascii="Lato" w:hAnsi="Lato"/>
        </w:rPr>
        <w:t xml:space="preserve"> przedsięwzięcia zakładające zmianę rodzaju zużywanego paliwa, przykładowo polegające na zastosowaniu układów kogeneracyjnych zasilanych gazem ziemnym w lokalnych źródłach ciepła, w miejsce kotłów zasilanych paliwami stałymi (np. węglem kamiennym) spowodują zwiększenie rocznego zużycia gazu ziemnego.</w:t>
      </w:r>
    </w:p>
    <w:p w14:paraId="40226F54" w14:textId="2AB251C9" w:rsidR="00457C7E" w:rsidRPr="00C758B1" w:rsidRDefault="00457C7E" w:rsidP="00983C18">
      <w:pPr>
        <w:spacing w:line="276" w:lineRule="auto"/>
        <w:jc w:val="left"/>
        <w:rPr>
          <w:rFonts w:ascii="Lato" w:hAnsi="Lato"/>
        </w:rPr>
      </w:pPr>
    </w:p>
    <w:p w14:paraId="67D1393D" w14:textId="77777777" w:rsidR="00B03DBA" w:rsidRPr="004D6A74" w:rsidRDefault="00C7771E" w:rsidP="00D128A1">
      <w:pPr>
        <w:pStyle w:val="Rozdzia1"/>
        <w:rPr>
          <w:rFonts w:ascii="Lato" w:hAnsi="Lato"/>
          <w:sz w:val="28"/>
          <w:szCs w:val="28"/>
        </w:rPr>
      </w:pPr>
      <w:bookmarkStart w:id="59" w:name="_Toc12953905"/>
      <w:bookmarkStart w:id="60" w:name="_Toc19782938"/>
      <w:bookmarkStart w:id="61" w:name="_Toc142469565"/>
      <w:r w:rsidRPr="004D6A74">
        <w:rPr>
          <w:rFonts w:ascii="Lato" w:hAnsi="Lato"/>
          <w:sz w:val="28"/>
          <w:szCs w:val="28"/>
        </w:rPr>
        <w:t>Streszczenie oceny ryzyka</w:t>
      </w:r>
      <w:bookmarkEnd w:id="59"/>
      <w:bookmarkEnd w:id="60"/>
      <w:bookmarkEnd w:id="61"/>
    </w:p>
    <w:p w14:paraId="608DD95C" w14:textId="77777777" w:rsidR="00B03DBA" w:rsidRPr="004D6A74" w:rsidRDefault="00C7771E" w:rsidP="00983C18">
      <w:pPr>
        <w:pStyle w:val="Rozdzia2"/>
        <w:rPr>
          <w:rFonts w:ascii="Lato" w:hAnsi="Lato"/>
          <w:szCs w:val="28"/>
        </w:rPr>
      </w:pPr>
      <w:bookmarkStart w:id="62" w:name="_Toc12953906"/>
      <w:bookmarkStart w:id="63" w:name="_Toc19782939"/>
      <w:bookmarkStart w:id="64" w:name="_Toc142469566"/>
      <w:r w:rsidRPr="004D6A74">
        <w:rPr>
          <w:rFonts w:ascii="Lato" w:hAnsi="Lato"/>
          <w:szCs w:val="28"/>
        </w:rPr>
        <w:t>Wspólna ocena ryzyka</w:t>
      </w:r>
      <w:bookmarkEnd w:id="62"/>
      <w:bookmarkEnd w:id="63"/>
      <w:bookmarkEnd w:id="64"/>
    </w:p>
    <w:p w14:paraId="7491E79F" w14:textId="5DC7E40E" w:rsidR="00372640" w:rsidRPr="00C758B1" w:rsidRDefault="00372640" w:rsidP="00D128A1">
      <w:pPr>
        <w:spacing w:line="276" w:lineRule="auto"/>
        <w:ind w:firstLine="709"/>
        <w:contextualSpacing/>
        <w:rPr>
          <w:rFonts w:ascii="Lato" w:hAnsi="Lato"/>
        </w:rPr>
      </w:pPr>
      <w:r w:rsidRPr="00C758B1">
        <w:rPr>
          <w:rFonts w:ascii="Lato" w:hAnsi="Lato"/>
        </w:rPr>
        <w:t xml:space="preserve">Polska do 2022 r. była </w:t>
      </w:r>
      <w:r w:rsidRPr="68C61004">
        <w:rPr>
          <w:rFonts w:ascii="Lato" w:hAnsi="Lato"/>
        </w:rPr>
        <w:t>członkiem</w:t>
      </w:r>
      <w:r w:rsidRPr="00C758B1">
        <w:rPr>
          <w:rFonts w:ascii="Lato" w:hAnsi="Lato"/>
        </w:rPr>
        <w:t xml:space="preserve"> </w:t>
      </w:r>
      <w:r w:rsidR="00CA062E" w:rsidRPr="68C61004">
        <w:rPr>
          <w:rFonts w:ascii="Lato" w:hAnsi="Lato"/>
        </w:rPr>
        <w:t xml:space="preserve">jedynie </w:t>
      </w:r>
      <w:r w:rsidRPr="00C758B1">
        <w:rPr>
          <w:rFonts w:ascii="Lato" w:hAnsi="Lato"/>
        </w:rPr>
        <w:t xml:space="preserve">białoruskiej i ukraińskiej grupy ryzyka. </w:t>
      </w:r>
      <w:r w:rsidR="00730C94">
        <w:rPr>
          <w:rFonts w:ascii="Lato" w:hAnsi="Lato"/>
        </w:rPr>
        <w:t>W wyniku</w:t>
      </w:r>
      <w:r w:rsidRPr="00C758B1">
        <w:rPr>
          <w:rFonts w:ascii="Lato" w:hAnsi="Lato"/>
        </w:rPr>
        <w:t xml:space="preserve"> realizacji inwestycji zwiększających bezpieczeństwo polskiego systemu gazowego Polsk</w:t>
      </w:r>
      <w:r w:rsidR="00E270EB">
        <w:rPr>
          <w:rFonts w:ascii="Lato" w:hAnsi="Lato"/>
        </w:rPr>
        <w:t>a</w:t>
      </w:r>
      <w:r w:rsidRPr="00C758B1">
        <w:rPr>
          <w:rFonts w:ascii="Lato" w:hAnsi="Lato"/>
        </w:rPr>
        <w:t xml:space="preserve"> </w:t>
      </w:r>
      <w:r w:rsidR="00730C94">
        <w:rPr>
          <w:rFonts w:ascii="Lato" w:hAnsi="Lato"/>
        </w:rPr>
        <w:t xml:space="preserve">dołączyła </w:t>
      </w:r>
      <w:r w:rsidRPr="00C758B1">
        <w:rPr>
          <w:rFonts w:ascii="Lato" w:hAnsi="Lato"/>
        </w:rPr>
        <w:t>do nowych grup ryzyka wskazanych w załączniku</w:t>
      </w:r>
      <w:r w:rsidR="002C0B0A">
        <w:rPr>
          <w:rFonts w:ascii="Lato" w:hAnsi="Lato"/>
        </w:rPr>
        <w:t xml:space="preserve"> „I”</w:t>
      </w:r>
      <w:r w:rsidRPr="00C758B1">
        <w:rPr>
          <w:rFonts w:ascii="Lato" w:hAnsi="Lato"/>
        </w:rPr>
        <w:t xml:space="preserve"> do rozporządzenia 2017/1938. W wyniku budowy połączenia międzysystemowego Polska-Litwa, Polska dołączyła do północno-wschodniej grupy ryzyka, związanej z dostawami gazu z kierunku wschodniego, natomiast w wyniku budowy gazociągu Baltic Pipe, łączącego polski system gazowy przez Danię </w:t>
      </w:r>
      <w:r w:rsidRPr="68C61004">
        <w:rPr>
          <w:rFonts w:ascii="Lato" w:hAnsi="Lato"/>
        </w:rPr>
        <w:t>z</w:t>
      </w:r>
      <w:r w:rsidR="1049CB71" w:rsidRPr="68C61004">
        <w:rPr>
          <w:rFonts w:ascii="Lato" w:hAnsi="Lato"/>
        </w:rPr>
        <w:t>e</w:t>
      </w:r>
      <w:r w:rsidRPr="00C758B1">
        <w:rPr>
          <w:rFonts w:ascii="Lato" w:hAnsi="Lato"/>
        </w:rPr>
        <w:t xml:space="preserve"> złożami Norweskiego Szelfu </w:t>
      </w:r>
      <w:r w:rsidRPr="00C758B1">
        <w:rPr>
          <w:rFonts w:ascii="Lato" w:hAnsi="Lato"/>
        </w:rPr>
        <w:lastRenderedPageBreak/>
        <w:t xml:space="preserve">Kontynentalnego, Polska stała się członkiem </w:t>
      </w:r>
      <w:r w:rsidR="00E270EB">
        <w:rPr>
          <w:rFonts w:ascii="Lato" w:hAnsi="Lato"/>
        </w:rPr>
        <w:t>n</w:t>
      </w:r>
      <w:r w:rsidR="00E270EB" w:rsidRPr="00C758B1">
        <w:rPr>
          <w:rFonts w:ascii="Lato" w:hAnsi="Lato"/>
        </w:rPr>
        <w:t xml:space="preserve">orweskiej i </w:t>
      </w:r>
      <w:r w:rsidR="00E270EB">
        <w:rPr>
          <w:rFonts w:ascii="Lato" w:hAnsi="Lato"/>
        </w:rPr>
        <w:t>d</w:t>
      </w:r>
      <w:r w:rsidR="00E270EB" w:rsidRPr="00C758B1">
        <w:rPr>
          <w:rFonts w:ascii="Lato" w:hAnsi="Lato"/>
        </w:rPr>
        <w:t xml:space="preserve">uńskiej </w:t>
      </w:r>
      <w:r w:rsidRPr="00C758B1">
        <w:rPr>
          <w:rFonts w:ascii="Lato" w:hAnsi="Lato"/>
        </w:rPr>
        <w:t>grup</w:t>
      </w:r>
      <w:r w:rsidR="00E270EB">
        <w:rPr>
          <w:rFonts w:ascii="Lato" w:hAnsi="Lato"/>
        </w:rPr>
        <w:t>y</w:t>
      </w:r>
      <w:r w:rsidRPr="00C758B1">
        <w:rPr>
          <w:rFonts w:ascii="Lato" w:hAnsi="Lato"/>
        </w:rPr>
        <w:t xml:space="preserve"> ryzyka. Poziom bezpieczeństwa polskiego systemu gazowego od ostatniej aktualizacji </w:t>
      </w:r>
      <w:r w:rsidR="004B3A0A">
        <w:rPr>
          <w:rFonts w:ascii="Lato" w:hAnsi="Lato"/>
        </w:rPr>
        <w:t>planu działań zapobiegawczych</w:t>
      </w:r>
      <w:r w:rsidRPr="00C758B1">
        <w:rPr>
          <w:rFonts w:ascii="Lato" w:hAnsi="Lato"/>
        </w:rPr>
        <w:t>, dzięki realizacji wskazanych powyżej inwestycji</w:t>
      </w:r>
      <w:r w:rsidR="00E270EB">
        <w:rPr>
          <w:rFonts w:ascii="Lato" w:hAnsi="Lato"/>
        </w:rPr>
        <w:t>,</w:t>
      </w:r>
      <w:r w:rsidRPr="00C758B1">
        <w:rPr>
          <w:rFonts w:ascii="Lato" w:hAnsi="Lato"/>
        </w:rPr>
        <w:t xml:space="preserve"> uległ znacznej poprawie. </w:t>
      </w:r>
      <w:r w:rsidR="00E270EB">
        <w:rPr>
          <w:rFonts w:ascii="Lato" w:hAnsi="Lato"/>
        </w:rPr>
        <w:t>Szczegółowe informacje</w:t>
      </w:r>
      <w:r w:rsidR="000E780A">
        <w:rPr>
          <w:rFonts w:ascii="Lato" w:hAnsi="Lato"/>
        </w:rPr>
        <w:t xml:space="preserve"> </w:t>
      </w:r>
      <w:r w:rsidR="004C439A">
        <w:rPr>
          <w:rFonts w:ascii="Lato" w:hAnsi="Lato"/>
        </w:rPr>
        <w:t xml:space="preserve">związane </w:t>
      </w:r>
      <w:r w:rsidR="00245AD3">
        <w:rPr>
          <w:rFonts w:ascii="Lato" w:hAnsi="Lato"/>
        </w:rPr>
        <w:t>z bezpieczeństwem w ramach poszczególnych grup ryzyka zostały opisane w podrozdziale 3.1.</w:t>
      </w:r>
      <w:r w:rsidR="000E780A">
        <w:rPr>
          <w:rFonts w:ascii="Lato" w:hAnsi="Lato"/>
        </w:rPr>
        <w:t xml:space="preserve"> </w:t>
      </w:r>
    </w:p>
    <w:p w14:paraId="1C6FB633" w14:textId="0FB58A9A" w:rsidR="00372640" w:rsidRPr="00C758B1" w:rsidRDefault="00372640" w:rsidP="00D128A1">
      <w:pPr>
        <w:spacing w:line="276" w:lineRule="auto"/>
        <w:ind w:firstLine="709"/>
        <w:contextualSpacing/>
        <w:rPr>
          <w:rFonts w:ascii="Lato" w:hAnsi="Lato"/>
        </w:rPr>
      </w:pPr>
      <w:r w:rsidRPr="00C758B1">
        <w:rPr>
          <w:rFonts w:ascii="Lato" w:hAnsi="Lato"/>
        </w:rPr>
        <w:t>W związku z działaniami Federacji Rosyjskiej w 202</w:t>
      </w:r>
      <w:r w:rsidR="004C439A">
        <w:rPr>
          <w:rFonts w:ascii="Lato" w:hAnsi="Lato"/>
        </w:rPr>
        <w:t xml:space="preserve">1 </w:t>
      </w:r>
      <w:r w:rsidRPr="00C758B1">
        <w:rPr>
          <w:rFonts w:ascii="Lato" w:hAnsi="Lato"/>
        </w:rPr>
        <w:t xml:space="preserve">r. i 2022 r. polegającymi na ograniczaniu dostaw gazu ziemnego do Europy, w ramach </w:t>
      </w:r>
      <w:r w:rsidR="004C439A">
        <w:rPr>
          <w:rFonts w:ascii="Lato" w:hAnsi="Lato"/>
        </w:rPr>
        <w:t xml:space="preserve">prac zarówno </w:t>
      </w:r>
      <w:r w:rsidRPr="00C758B1">
        <w:rPr>
          <w:rFonts w:ascii="Lato" w:hAnsi="Lato"/>
        </w:rPr>
        <w:t>Grupy Koordynacyjnej ds. Gazu</w:t>
      </w:r>
      <w:r w:rsidR="004C439A">
        <w:rPr>
          <w:rFonts w:ascii="Lato" w:hAnsi="Lato"/>
        </w:rPr>
        <w:t xml:space="preserve">, jak również </w:t>
      </w:r>
      <w:r w:rsidRPr="00C758B1">
        <w:rPr>
          <w:rFonts w:ascii="Lato" w:hAnsi="Lato"/>
        </w:rPr>
        <w:t>białoruskiej, ukraińskiej, północno-wschodniej, duńskiej oraz norweskiej grupy ryzyka, jako największe zagrożenie bezpieczeństwa dostaw gazu ziemnego dla europejskiego systemu gazowego w sezonie zimowym 2022/2023 wskazan</w:t>
      </w:r>
      <w:r w:rsidR="004C439A">
        <w:rPr>
          <w:rFonts w:ascii="Lato" w:hAnsi="Lato"/>
        </w:rPr>
        <w:t>o</w:t>
      </w:r>
      <w:r w:rsidRPr="00C758B1">
        <w:rPr>
          <w:rFonts w:ascii="Lato" w:hAnsi="Lato"/>
        </w:rPr>
        <w:t xml:space="preserve"> całkowite wstrzymanie dostaw gazu ziemnego z kierunku wschodniego. W wyniku przeprowadzonych symulacji</w:t>
      </w:r>
      <w:r w:rsidR="004C439A">
        <w:rPr>
          <w:rFonts w:ascii="Lato" w:hAnsi="Lato"/>
        </w:rPr>
        <w:t xml:space="preserve">, określonych w załączniku </w:t>
      </w:r>
      <w:r w:rsidR="004B3A0A">
        <w:rPr>
          <w:rFonts w:ascii="Lato" w:hAnsi="Lato"/>
        </w:rPr>
        <w:t xml:space="preserve">do wspólnej oceny ryzyka </w:t>
      </w:r>
      <w:r w:rsidR="00F46D86">
        <w:rPr>
          <w:rFonts w:ascii="Lato" w:hAnsi="Lato"/>
        </w:rPr>
        <w:t xml:space="preserve">poszczególnych </w:t>
      </w:r>
      <w:r w:rsidR="004B3A0A">
        <w:rPr>
          <w:rFonts w:ascii="Lato" w:hAnsi="Lato"/>
        </w:rPr>
        <w:t xml:space="preserve">grup ryzyka, </w:t>
      </w:r>
      <w:r w:rsidR="004C439A">
        <w:rPr>
          <w:rFonts w:ascii="Lato" w:hAnsi="Lato"/>
        </w:rPr>
        <w:t>zidentyfikowano</w:t>
      </w:r>
      <w:r w:rsidRPr="00C758B1">
        <w:rPr>
          <w:rFonts w:ascii="Lato" w:hAnsi="Lato"/>
        </w:rPr>
        <w:t xml:space="preserve"> skutki </w:t>
      </w:r>
      <w:r w:rsidR="004B3A0A">
        <w:rPr>
          <w:rFonts w:ascii="Lato" w:hAnsi="Lato"/>
        </w:rPr>
        <w:t>wstrzymania dostaw gazu ziemnego z kierunku wschodniego</w:t>
      </w:r>
      <w:r w:rsidR="004C439A" w:rsidRPr="004C439A">
        <w:rPr>
          <w:rFonts w:ascii="Lato" w:hAnsi="Lato"/>
        </w:rPr>
        <w:t xml:space="preserve"> </w:t>
      </w:r>
      <w:r w:rsidR="004C439A" w:rsidRPr="00C758B1">
        <w:rPr>
          <w:rFonts w:ascii="Lato" w:hAnsi="Lato"/>
        </w:rPr>
        <w:t>dla europejskiego systemu gazowego</w:t>
      </w:r>
      <w:r w:rsidRPr="00C758B1">
        <w:rPr>
          <w:rFonts w:ascii="Lato" w:hAnsi="Lato"/>
        </w:rPr>
        <w:t xml:space="preserve">. Z przeprowadzonych symulacji wynika, że skoordynowane działania państw członkowskich zmniejszają niedobór gazu ziemnego, który może wystąpić w momencie szczytowego zapotrzebowania na gaz ziemny. </w:t>
      </w:r>
      <w:r w:rsidR="004B3A0A">
        <w:rPr>
          <w:rFonts w:ascii="Lato" w:hAnsi="Lato"/>
        </w:rPr>
        <w:t>Dodatkowo, d</w:t>
      </w:r>
      <w:r w:rsidRPr="00C758B1">
        <w:rPr>
          <w:rFonts w:ascii="Lato" w:hAnsi="Lato"/>
        </w:rPr>
        <w:t>ługoterminowa strategia zarządzania magazynami pozytywnie wpływa na bezpieczeństwo systemu gazowego poszczególnych państw członkowskich oraz bezpieczeństwo europejskiego systemu gazowego jako całości, w szczególności w przypadku wystąpienia nadzwyczajnie niskich temperatur w sezonie zimowym i wystąpienia nadzwyczajnie wysokiego zapotrzebowania na gaz ziemny.</w:t>
      </w:r>
    </w:p>
    <w:p w14:paraId="04AD8AB0" w14:textId="2F37D436" w:rsidR="00372640" w:rsidRPr="00C758B1" w:rsidRDefault="00372640" w:rsidP="00D128A1">
      <w:pPr>
        <w:spacing w:after="0" w:line="276" w:lineRule="auto"/>
        <w:ind w:firstLine="708"/>
        <w:rPr>
          <w:rFonts w:ascii="Lato" w:hAnsi="Lato"/>
        </w:rPr>
      </w:pPr>
      <w:r w:rsidRPr="00C758B1">
        <w:rPr>
          <w:rFonts w:ascii="Lato" w:hAnsi="Lato"/>
        </w:rPr>
        <w:t xml:space="preserve">Przeprowadzone symulacje dotyczące bezpieczeństwa europejskiego systemu gazowego w sezonie zimowym 2022/2023 wskazują, że w przypadku wystąpienia poważnego zagrożenia dostaw gazu ziemnego, </w:t>
      </w:r>
      <w:r w:rsidR="004C439A">
        <w:rPr>
          <w:rFonts w:ascii="Lato" w:hAnsi="Lato"/>
        </w:rPr>
        <w:t>dla</w:t>
      </w:r>
      <w:r w:rsidRPr="00C758B1">
        <w:rPr>
          <w:rFonts w:ascii="Lato" w:hAnsi="Lato"/>
        </w:rPr>
        <w:t xml:space="preserve"> zapewnienia możliwie najwyższego poziomu bezpieczeństwa systemu gazowego</w:t>
      </w:r>
      <w:r w:rsidR="004C439A">
        <w:rPr>
          <w:rFonts w:ascii="Lato" w:hAnsi="Lato"/>
        </w:rPr>
        <w:t xml:space="preserve"> </w:t>
      </w:r>
      <w:r w:rsidRPr="00C758B1">
        <w:rPr>
          <w:rFonts w:ascii="Lato" w:hAnsi="Lato"/>
        </w:rPr>
        <w:t xml:space="preserve">kluczowe </w:t>
      </w:r>
      <w:r w:rsidR="004C439A">
        <w:rPr>
          <w:rFonts w:ascii="Lato" w:hAnsi="Lato"/>
        </w:rPr>
        <w:t>znaczenie ma</w:t>
      </w:r>
      <w:r w:rsidRPr="00C758B1">
        <w:rPr>
          <w:rFonts w:ascii="Lato" w:hAnsi="Lato"/>
        </w:rPr>
        <w:t xml:space="preserve"> utrzymanie jak najwyższego poziomu wypełnienia magazynów gazu ziemnego, co może zostać osiągnięte przez strategię długoterminowego zarządzania tymi instalacjami. </w:t>
      </w:r>
      <w:r w:rsidR="004C439A">
        <w:rPr>
          <w:rFonts w:ascii="Lato" w:hAnsi="Lato"/>
        </w:rPr>
        <w:t>P</w:t>
      </w:r>
      <w:r w:rsidRPr="00C758B1">
        <w:rPr>
          <w:rFonts w:ascii="Lato" w:hAnsi="Lato"/>
        </w:rPr>
        <w:t>odjęci</w:t>
      </w:r>
      <w:r w:rsidR="004C439A">
        <w:rPr>
          <w:rFonts w:ascii="Lato" w:hAnsi="Lato"/>
        </w:rPr>
        <w:t>e</w:t>
      </w:r>
      <w:r w:rsidRPr="00C758B1">
        <w:rPr>
          <w:rFonts w:ascii="Lato" w:hAnsi="Lato"/>
        </w:rPr>
        <w:t xml:space="preserve"> działań wskazanych w</w:t>
      </w:r>
      <w:r w:rsidR="004C439A">
        <w:rPr>
          <w:rFonts w:ascii="Lato" w:hAnsi="Lato"/>
        </w:rPr>
        <w:t>e</w:t>
      </w:r>
      <w:r w:rsidRPr="00C758B1">
        <w:rPr>
          <w:rFonts w:ascii="Lato" w:hAnsi="Lato"/>
        </w:rPr>
        <w:t xml:space="preserve"> wnioskach z przeprowadzonych symulacji</w:t>
      </w:r>
      <w:r w:rsidR="004C439A">
        <w:rPr>
          <w:rFonts w:ascii="Lato" w:hAnsi="Lato"/>
        </w:rPr>
        <w:t xml:space="preserve"> ograniczyłoby również ryzyko </w:t>
      </w:r>
      <w:r w:rsidRPr="00C758B1">
        <w:rPr>
          <w:rFonts w:ascii="Lato" w:hAnsi="Lato"/>
        </w:rPr>
        <w:t>zagrożenia dostaw gazu ziemnego do odbiorców chronionych w ramach solidarnego wsparcia.</w:t>
      </w:r>
    </w:p>
    <w:p w14:paraId="10AE3258" w14:textId="7FC50D32" w:rsidR="00372640" w:rsidRPr="00C758B1" w:rsidRDefault="00372640" w:rsidP="00D128A1">
      <w:pPr>
        <w:spacing w:after="0" w:line="276" w:lineRule="auto"/>
        <w:ind w:firstLine="709"/>
        <w:contextualSpacing/>
        <w:rPr>
          <w:rFonts w:ascii="Lato" w:hAnsi="Lato"/>
        </w:rPr>
      </w:pPr>
      <w:r w:rsidRPr="00C758B1">
        <w:rPr>
          <w:rFonts w:ascii="Lato" w:hAnsi="Lato"/>
        </w:rPr>
        <w:t xml:space="preserve">Państwa członkowskie w reakcji na kryzys na rynku gazu </w:t>
      </w:r>
      <w:r w:rsidR="00F46D86">
        <w:rPr>
          <w:rFonts w:ascii="Lato" w:hAnsi="Lato"/>
        </w:rPr>
        <w:t xml:space="preserve">ziemnego </w:t>
      </w:r>
      <w:r w:rsidRPr="00C758B1">
        <w:rPr>
          <w:rFonts w:ascii="Lato" w:hAnsi="Lato"/>
        </w:rPr>
        <w:t>podjęły ekstraordynaryjne działania, w szczególności polegające na budowie nowych terminali LNG, które umożliwiły zwiększenie dostaw gazu ziemnego do Europy w trakcie sezonu zimowego 2022/2023</w:t>
      </w:r>
      <w:r w:rsidR="00D128A1">
        <w:rPr>
          <w:rFonts w:ascii="Lato" w:hAnsi="Lato"/>
        </w:rPr>
        <w:t xml:space="preserve">. </w:t>
      </w:r>
      <w:r w:rsidR="00D34078">
        <w:rPr>
          <w:rFonts w:ascii="Lato" w:hAnsi="Lato"/>
        </w:rPr>
        <w:t>Terminale LNG w</w:t>
      </w:r>
      <w:r w:rsidRPr="00C758B1">
        <w:rPr>
          <w:rFonts w:ascii="Lato" w:hAnsi="Lato"/>
        </w:rPr>
        <w:t xml:space="preserve"> zauważalny sposób zwiększają </w:t>
      </w:r>
      <w:r w:rsidR="00D128A1">
        <w:rPr>
          <w:rFonts w:ascii="Lato" w:hAnsi="Lato"/>
        </w:rPr>
        <w:t xml:space="preserve">również </w:t>
      </w:r>
      <w:r w:rsidRPr="00C758B1">
        <w:rPr>
          <w:rFonts w:ascii="Lato" w:hAnsi="Lato"/>
        </w:rPr>
        <w:t xml:space="preserve">dostępność gazu ziemnego na europejskim rynku, co przyczynia się do szybszego wypełnienia magazynów gazu ziemnego przed sezonem zimowym 2023/2024, a także do ograniczenia poboru gazu ziemnego z magazynów w sezonie zimowym. </w:t>
      </w:r>
      <w:r w:rsidR="00D128A1">
        <w:rPr>
          <w:rFonts w:ascii="Lato" w:hAnsi="Lato"/>
        </w:rPr>
        <w:t xml:space="preserve">Działania te wzmacniają </w:t>
      </w:r>
      <w:r w:rsidRPr="00C758B1">
        <w:rPr>
          <w:rFonts w:ascii="Lato" w:hAnsi="Lato"/>
        </w:rPr>
        <w:t xml:space="preserve">odporność europejskiego systemu gazowego na wewnętrzne i zewnętrzne zakłócenia dostaw. </w:t>
      </w:r>
    </w:p>
    <w:p w14:paraId="0F5A4BE4" w14:textId="79A7DA11" w:rsidR="00372640" w:rsidRPr="00C758B1" w:rsidRDefault="00372640" w:rsidP="00D128A1">
      <w:pPr>
        <w:spacing w:line="276" w:lineRule="auto"/>
        <w:ind w:firstLine="709"/>
        <w:contextualSpacing/>
        <w:rPr>
          <w:rFonts w:ascii="Lato" w:hAnsi="Lato"/>
        </w:rPr>
      </w:pPr>
      <w:r w:rsidRPr="00C758B1">
        <w:rPr>
          <w:rFonts w:ascii="Lato" w:hAnsi="Lato"/>
        </w:rPr>
        <w:lastRenderedPageBreak/>
        <w:t>W wyniku ograniczenia dostaw gazu ziemnego z kierunku wschodniego do europejskiego systemu gazowego, a także dzięki realizacji inwestycji umożliwiających zwiększenie dostaw LNG w sezonie zimowym 2023/2024, skutki scenariuszy zdarzeń rozpatrywanych w symulacji będącej wkładem do wspólnej oceny ryzyka grup</w:t>
      </w:r>
      <w:r w:rsidR="00D128A1">
        <w:rPr>
          <w:rFonts w:ascii="Lato" w:hAnsi="Lato"/>
        </w:rPr>
        <w:t xml:space="preserve"> </w:t>
      </w:r>
      <w:r w:rsidRPr="00C758B1">
        <w:rPr>
          <w:rFonts w:ascii="Lato" w:hAnsi="Lato"/>
        </w:rPr>
        <w:t>mogą okazać się wyraźnie mniej dotkliwe niż przewidywane dla sezonu zimowego 2022/2023.</w:t>
      </w:r>
    </w:p>
    <w:p w14:paraId="5302BF3A" w14:textId="77777777" w:rsidR="00B03DBA" w:rsidRPr="00C758B1" w:rsidRDefault="00C7771E" w:rsidP="00D128A1">
      <w:pPr>
        <w:pStyle w:val="Rozdzia2"/>
        <w:rPr>
          <w:rFonts w:ascii="Lato" w:hAnsi="Lato"/>
        </w:rPr>
      </w:pPr>
      <w:bookmarkStart w:id="65" w:name="_Toc140488262"/>
      <w:bookmarkStart w:id="66" w:name="_Toc140580254"/>
      <w:bookmarkStart w:id="67" w:name="_Toc140488263"/>
      <w:bookmarkStart w:id="68" w:name="_Toc140580255"/>
      <w:bookmarkStart w:id="69" w:name="_Toc140488264"/>
      <w:bookmarkStart w:id="70" w:name="_Toc140580256"/>
      <w:bookmarkStart w:id="71" w:name="_Toc140488265"/>
      <w:bookmarkStart w:id="72" w:name="_Toc140580257"/>
      <w:bookmarkStart w:id="73" w:name="_Toc140488266"/>
      <w:bookmarkStart w:id="74" w:name="_Toc140580258"/>
      <w:bookmarkStart w:id="75" w:name="_Toc140488267"/>
      <w:bookmarkStart w:id="76" w:name="_Toc140580259"/>
      <w:bookmarkStart w:id="77" w:name="_Toc140488268"/>
      <w:bookmarkStart w:id="78" w:name="_Toc140580260"/>
      <w:bookmarkStart w:id="79" w:name="_Toc140488269"/>
      <w:bookmarkStart w:id="80" w:name="_Toc140580261"/>
      <w:bookmarkStart w:id="81" w:name="_Toc140488270"/>
      <w:bookmarkStart w:id="82" w:name="_Toc140580262"/>
      <w:bookmarkStart w:id="83" w:name="_Toc140488271"/>
      <w:bookmarkStart w:id="84" w:name="_Toc140580263"/>
      <w:bookmarkStart w:id="85" w:name="_Toc140488272"/>
      <w:bookmarkStart w:id="86" w:name="_Toc140580264"/>
      <w:bookmarkStart w:id="87" w:name="_Toc140488273"/>
      <w:bookmarkStart w:id="88" w:name="_Toc140580265"/>
      <w:bookmarkStart w:id="89" w:name="_Toc140488274"/>
      <w:bookmarkStart w:id="90" w:name="_Toc140580266"/>
      <w:bookmarkStart w:id="91" w:name="_Toc140488275"/>
      <w:bookmarkStart w:id="92" w:name="_Toc140580267"/>
      <w:bookmarkStart w:id="93" w:name="_Toc140488276"/>
      <w:bookmarkStart w:id="94" w:name="_Toc140580268"/>
      <w:bookmarkStart w:id="95" w:name="_Toc140488277"/>
      <w:bookmarkStart w:id="96" w:name="_Toc140580269"/>
      <w:bookmarkStart w:id="97" w:name="_Toc140488278"/>
      <w:bookmarkStart w:id="98" w:name="_Toc140580270"/>
      <w:bookmarkStart w:id="99" w:name="_Toc140488279"/>
      <w:bookmarkStart w:id="100" w:name="_Toc140580271"/>
      <w:bookmarkStart w:id="101" w:name="_Toc140488280"/>
      <w:bookmarkStart w:id="102" w:name="_Toc140580272"/>
      <w:bookmarkStart w:id="103" w:name="_Toc140488281"/>
      <w:bookmarkStart w:id="104" w:name="_Toc140580273"/>
      <w:bookmarkStart w:id="105" w:name="_Toc140488282"/>
      <w:bookmarkStart w:id="106" w:name="_Toc140580274"/>
      <w:bookmarkStart w:id="107" w:name="_Toc140488283"/>
      <w:bookmarkStart w:id="108" w:name="_Toc140580275"/>
      <w:bookmarkStart w:id="109" w:name="_Toc140488284"/>
      <w:bookmarkStart w:id="110" w:name="_Toc140580276"/>
      <w:bookmarkStart w:id="111" w:name="_Toc140488285"/>
      <w:bookmarkStart w:id="112" w:name="_Toc140580277"/>
      <w:bookmarkStart w:id="113" w:name="_Toc140488286"/>
      <w:bookmarkStart w:id="114" w:name="_Toc140580278"/>
      <w:bookmarkStart w:id="115" w:name="_Toc140488287"/>
      <w:bookmarkStart w:id="116" w:name="_Toc140580279"/>
      <w:bookmarkStart w:id="117" w:name="_Toc140488288"/>
      <w:bookmarkStart w:id="118" w:name="_Toc140580280"/>
      <w:bookmarkStart w:id="119" w:name="_Toc140488289"/>
      <w:bookmarkStart w:id="120" w:name="_Toc140580281"/>
      <w:bookmarkStart w:id="121" w:name="_Toc140488290"/>
      <w:bookmarkStart w:id="122" w:name="_Toc140580282"/>
      <w:bookmarkStart w:id="123" w:name="_Toc140488291"/>
      <w:bookmarkStart w:id="124" w:name="_Toc140580283"/>
      <w:bookmarkStart w:id="125" w:name="_Toc140488292"/>
      <w:bookmarkStart w:id="126" w:name="_Toc140580284"/>
      <w:bookmarkStart w:id="127" w:name="_Toc140488293"/>
      <w:bookmarkStart w:id="128" w:name="_Toc140580285"/>
      <w:bookmarkStart w:id="129" w:name="_Toc140488294"/>
      <w:bookmarkStart w:id="130" w:name="_Toc140580286"/>
      <w:bookmarkStart w:id="131" w:name="_Toc140488295"/>
      <w:bookmarkStart w:id="132" w:name="_Toc140580287"/>
      <w:bookmarkStart w:id="133" w:name="_Toc140488296"/>
      <w:bookmarkStart w:id="134" w:name="_Toc140580288"/>
      <w:bookmarkStart w:id="135" w:name="_Toc140488297"/>
      <w:bookmarkStart w:id="136" w:name="_Toc140580289"/>
      <w:bookmarkStart w:id="137" w:name="_Toc140488298"/>
      <w:bookmarkStart w:id="138" w:name="_Toc140580290"/>
      <w:bookmarkStart w:id="139" w:name="_Toc12953909"/>
      <w:bookmarkStart w:id="140" w:name="_Toc19782942"/>
      <w:bookmarkStart w:id="141" w:name="_Toc142469567"/>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C758B1">
        <w:rPr>
          <w:rFonts w:ascii="Lato" w:hAnsi="Lato"/>
        </w:rPr>
        <w:t>Krajowa ocena ryzyka</w:t>
      </w:r>
      <w:bookmarkEnd w:id="139"/>
      <w:bookmarkEnd w:id="140"/>
      <w:bookmarkEnd w:id="141"/>
    </w:p>
    <w:p w14:paraId="06EEEE66" w14:textId="77777777" w:rsidR="002223E5" w:rsidRDefault="00C7771E" w:rsidP="002223E5">
      <w:pPr>
        <w:spacing w:line="276" w:lineRule="auto"/>
        <w:contextualSpacing/>
        <w:rPr>
          <w:rFonts w:ascii="Lato" w:hAnsi="Lato"/>
          <w:szCs w:val="24"/>
        </w:rPr>
      </w:pPr>
      <w:r w:rsidRPr="00C758B1">
        <w:tab/>
      </w:r>
      <w:r w:rsidRPr="00D1163A">
        <w:rPr>
          <w:rFonts w:ascii="Lato" w:hAnsi="Lato"/>
          <w:szCs w:val="24"/>
        </w:rPr>
        <w:t>Uwzgl</w:t>
      </w:r>
      <w:r w:rsidRPr="00D1163A">
        <w:rPr>
          <w:rFonts w:ascii="Lato" w:hAnsi="Lato" w:cs="Calibri"/>
          <w:szCs w:val="24"/>
        </w:rPr>
        <w:t>ę</w:t>
      </w:r>
      <w:r w:rsidRPr="00D1163A">
        <w:rPr>
          <w:rFonts w:ascii="Lato" w:hAnsi="Lato"/>
          <w:szCs w:val="24"/>
        </w:rPr>
        <w:t>dnione w analizach hydraulicznych maksymalne przewidywane zapotrzebowanie na gaz ziemny w szczycie zimowym 20</w:t>
      </w:r>
      <w:r w:rsidR="008124FC" w:rsidRPr="00D1163A">
        <w:rPr>
          <w:rFonts w:ascii="Lato" w:hAnsi="Lato"/>
          <w:szCs w:val="24"/>
        </w:rPr>
        <w:t>22</w:t>
      </w:r>
      <w:r w:rsidRPr="00D1163A">
        <w:rPr>
          <w:rFonts w:ascii="Lato" w:hAnsi="Lato"/>
          <w:szCs w:val="24"/>
        </w:rPr>
        <w:t>/202</w:t>
      </w:r>
      <w:r w:rsidR="008124FC" w:rsidRPr="00D1163A">
        <w:rPr>
          <w:rFonts w:ascii="Lato" w:hAnsi="Lato"/>
          <w:szCs w:val="24"/>
        </w:rPr>
        <w:t>3</w:t>
      </w:r>
      <w:r w:rsidRPr="00D1163A">
        <w:rPr>
          <w:rFonts w:ascii="Lato" w:hAnsi="Lato"/>
          <w:szCs w:val="24"/>
        </w:rPr>
        <w:t xml:space="preserve"> oszacowano na poziomie ok. </w:t>
      </w:r>
      <w:r w:rsidR="0072293F" w:rsidRPr="00D1163A">
        <w:rPr>
          <w:rFonts w:ascii="Lato" w:hAnsi="Lato"/>
          <w:szCs w:val="24"/>
        </w:rPr>
        <w:t>100,3</w:t>
      </w:r>
      <w:r w:rsidRPr="00D1163A">
        <w:rPr>
          <w:rFonts w:ascii="Lato" w:hAnsi="Lato"/>
          <w:szCs w:val="24"/>
        </w:rPr>
        <w:t xml:space="preserve"> mln m</w:t>
      </w:r>
      <w:r w:rsidRPr="00D1163A">
        <w:rPr>
          <w:rFonts w:ascii="Lato" w:hAnsi="Lato"/>
          <w:szCs w:val="24"/>
          <w:vertAlign w:val="superscript"/>
        </w:rPr>
        <w:t>3</w:t>
      </w:r>
      <w:r w:rsidRPr="00D1163A">
        <w:rPr>
          <w:rFonts w:ascii="Lato" w:hAnsi="Lato"/>
          <w:szCs w:val="24"/>
        </w:rPr>
        <w:t>/dob</w:t>
      </w:r>
      <w:r w:rsidRPr="00D1163A">
        <w:rPr>
          <w:rFonts w:ascii="Lato" w:hAnsi="Lato" w:cs="Calibri"/>
          <w:szCs w:val="24"/>
        </w:rPr>
        <w:t>ę</w:t>
      </w:r>
      <w:r w:rsidRPr="00D1163A">
        <w:rPr>
          <w:rFonts w:ascii="Lato" w:hAnsi="Lato"/>
          <w:szCs w:val="24"/>
        </w:rPr>
        <w:t xml:space="preserve"> (1 </w:t>
      </w:r>
      <w:r w:rsidR="00C71656" w:rsidRPr="00D1163A">
        <w:rPr>
          <w:rFonts w:ascii="Lato" w:hAnsi="Lato"/>
          <w:szCs w:val="24"/>
        </w:rPr>
        <w:t xml:space="preserve">133 </w:t>
      </w:r>
      <w:r w:rsidRPr="00D1163A">
        <w:rPr>
          <w:rFonts w:ascii="Lato" w:hAnsi="Lato"/>
          <w:szCs w:val="24"/>
        </w:rPr>
        <w:t>GWh/dob</w:t>
      </w:r>
      <w:r w:rsidRPr="00D1163A">
        <w:rPr>
          <w:rFonts w:ascii="Lato" w:hAnsi="Lato" w:cs="Calibri"/>
          <w:szCs w:val="24"/>
        </w:rPr>
        <w:t>ę</w:t>
      </w:r>
      <w:r w:rsidRPr="00D1163A">
        <w:rPr>
          <w:rFonts w:ascii="Lato" w:hAnsi="Lato"/>
          <w:szCs w:val="24"/>
        </w:rPr>
        <w:t>). Wielko</w:t>
      </w:r>
      <w:r w:rsidRPr="00D1163A">
        <w:rPr>
          <w:rFonts w:ascii="Lato" w:hAnsi="Lato" w:cs="Calibri"/>
          <w:szCs w:val="24"/>
        </w:rPr>
        <w:t>ść</w:t>
      </w:r>
      <w:r w:rsidRPr="00D1163A">
        <w:rPr>
          <w:rFonts w:ascii="Lato" w:hAnsi="Lato"/>
          <w:szCs w:val="24"/>
        </w:rPr>
        <w:t xml:space="preserve"> ta jest zgodna z prognoz</w:t>
      </w:r>
      <w:r w:rsidRPr="00D1163A">
        <w:rPr>
          <w:rFonts w:ascii="Lato" w:hAnsi="Lato" w:cs="Calibri"/>
          <w:szCs w:val="24"/>
        </w:rPr>
        <w:t>ą</w:t>
      </w:r>
      <w:r w:rsidRPr="00D1163A">
        <w:rPr>
          <w:rFonts w:ascii="Lato" w:hAnsi="Lato"/>
          <w:szCs w:val="24"/>
        </w:rPr>
        <w:t xml:space="preserve"> zu</w:t>
      </w:r>
      <w:r w:rsidRPr="00D1163A">
        <w:rPr>
          <w:rFonts w:ascii="Lato" w:hAnsi="Lato" w:cs="Calibri"/>
          <w:szCs w:val="24"/>
        </w:rPr>
        <w:t>ż</w:t>
      </w:r>
      <w:r w:rsidRPr="00D1163A">
        <w:rPr>
          <w:rFonts w:ascii="Lato" w:hAnsi="Lato"/>
          <w:szCs w:val="24"/>
        </w:rPr>
        <w:t>ycia gazu opracowan</w:t>
      </w:r>
      <w:r w:rsidRPr="00D1163A">
        <w:rPr>
          <w:rFonts w:ascii="Lato" w:hAnsi="Lato" w:cs="Calibri"/>
          <w:szCs w:val="24"/>
        </w:rPr>
        <w:t>ą</w:t>
      </w:r>
      <w:r w:rsidRPr="00D1163A">
        <w:rPr>
          <w:rFonts w:ascii="Lato" w:hAnsi="Lato"/>
          <w:szCs w:val="24"/>
        </w:rPr>
        <w:t xml:space="preserve"> przez OGP Gaz-System S.A. Analiza zapotrzebowania odbiorców na gaz ziemny została przygotowana z</w:t>
      </w:r>
      <w:r w:rsidR="000E780A">
        <w:rPr>
          <w:rFonts w:ascii="Lato" w:hAnsi="Lato"/>
          <w:szCs w:val="24"/>
        </w:rPr>
        <w:t xml:space="preserve"> </w:t>
      </w:r>
      <w:r w:rsidRPr="00D1163A">
        <w:rPr>
          <w:rFonts w:ascii="Lato" w:hAnsi="Lato"/>
          <w:szCs w:val="24"/>
        </w:rPr>
        <w:t>uwzgl</w:t>
      </w:r>
      <w:r w:rsidRPr="00D1163A">
        <w:rPr>
          <w:rFonts w:ascii="Lato" w:hAnsi="Lato" w:cs="Calibri"/>
          <w:szCs w:val="24"/>
        </w:rPr>
        <w:t>ę</w:t>
      </w:r>
      <w:r w:rsidRPr="00D1163A">
        <w:rPr>
          <w:rFonts w:ascii="Lato" w:hAnsi="Lato"/>
          <w:szCs w:val="24"/>
        </w:rPr>
        <w:t>dnieniem danych archiwalnych o historycznych dobach szczytowych oraz informacjach w zakresie nowych przył</w:t>
      </w:r>
      <w:r w:rsidRPr="00D1163A">
        <w:rPr>
          <w:rFonts w:ascii="Lato" w:hAnsi="Lato" w:cs="Calibri"/>
          <w:szCs w:val="24"/>
        </w:rPr>
        <w:t>ą</w:t>
      </w:r>
      <w:r w:rsidRPr="00D1163A">
        <w:rPr>
          <w:rFonts w:ascii="Lato" w:hAnsi="Lato"/>
          <w:szCs w:val="24"/>
        </w:rPr>
        <w:t>cze</w:t>
      </w:r>
      <w:r w:rsidRPr="00D1163A">
        <w:rPr>
          <w:rFonts w:ascii="Lato" w:hAnsi="Lato" w:cs="Calibri"/>
          <w:szCs w:val="24"/>
        </w:rPr>
        <w:t>ń</w:t>
      </w:r>
      <w:r w:rsidRPr="00D1163A">
        <w:rPr>
          <w:rFonts w:ascii="Lato" w:hAnsi="Lato"/>
          <w:szCs w:val="24"/>
        </w:rPr>
        <w:t xml:space="preserve"> do krajowego systemu przesy</w:t>
      </w:r>
      <w:r w:rsidRPr="00D1163A">
        <w:rPr>
          <w:rFonts w:ascii="Lato" w:hAnsi="Lato" w:cs="Malgun Gothic"/>
          <w:szCs w:val="24"/>
        </w:rPr>
        <w:t>ł</w:t>
      </w:r>
      <w:r w:rsidRPr="00D1163A">
        <w:rPr>
          <w:rFonts w:ascii="Lato" w:hAnsi="Lato"/>
          <w:szCs w:val="24"/>
        </w:rPr>
        <w:t>owego. Techniczne zdolno</w:t>
      </w:r>
      <w:r w:rsidRPr="00D1163A">
        <w:rPr>
          <w:rFonts w:ascii="Lato" w:hAnsi="Lato" w:cs="Calibri"/>
          <w:szCs w:val="24"/>
        </w:rPr>
        <w:t>ś</w:t>
      </w:r>
      <w:r w:rsidRPr="00D1163A">
        <w:rPr>
          <w:rFonts w:ascii="Lato" w:hAnsi="Lato"/>
          <w:szCs w:val="24"/>
        </w:rPr>
        <w:t>ci punktów wej</w:t>
      </w:r>
      <w:r w:rsidRPr="00D1163A">
        <w:rPr>
          <w:rFonts w:ascii="Lato" w:hAnsi="Lato" w:cs="Calibri"/>
          <w:szCs w:val="24"/>
        </w:rPr>
        <w:t>ś</w:t>
      </w:r>
      <w:r w:rsidRPr="00D1163A">
        <w:rPr>
          <w:rFonts w:ascii="Lato" w:hAnsi="Lato"/>
          <w:szCs w:val="24"/>
        </w:rPr>
        <w:t>cia do systemu przesy</w:t>
      </w:r>
      <w:r w:rsidRPr="00D1163A">
        <w:rPr>
          <w:rFonts w:ascii="Lato" w:hAnsi="Lato" w:cs="Malgun Gothic"/>
          <w:szCs w:val="24"/>
        </w:rPr>
        <w:t>ł</w:t>
      </w:r>
      <w:r w:rsidRPr="00D1163A">
        <w:rPr>
          <w:rFonts w:ascii="Lato" w:hAnsi="Lato"/>
          <w:szCs w:val="24"/>
        </w:rPr>
        <w:t>owego systematycznie rosn</w:t>
      </w:r>
      <w:r w:rsidRPr="00D1163A">
        <w:rPr>
          <w:rFonts w:ascii="Lato" w:hAnsi="Lato" w:cs="Calibri"/>
          <w:szCs w:val="24"/>
        </w:rPr>
        <w:t>ą</w:t>
      </w:r>
      <w:r w:rsidRPr="00D1163A">
        <w:rPr>
          <w:rFonts w:ascii="Lato" w:hAnsi="Lato"/>
          <w:szCs w:val="24"/>
        </w:rPr>
        <w:t xml:space="preserve"> i</w:t>
      </w:r>
      <w:r w:rsidR="000E780A">
        <w:rPr>
          <w:rFonts w:ascii="Lato" w:hAnsi="Lato"/>
          <w:szCs w:val="24"/>
        </w:rPr>
        <w:t xml:space="preserve"> </w:t>
      </w:r>
      <w:r w:rsidRPr="00D1163A">
        <w:rPr>
          <w:rFonts w:ascii="Lato" w:hAnsi="Lato"/>
          <w:szCs w:val="24"/>
        </w:rPr>
        <w:t>kształtuj</w:t>
      </w:r>
      <w:r w:rsidRPr="00D1163A">
        <w:rPr>
          <w:rFonts w:ascii="Lato" w:hAnsi="Lato" w:cs="Calibri"/>
          <w:szCs w:val="24"/>
        </w:rPr>
        <w:t>ą</w:t>
      </w:r>
      <w:r w:rsidRPr="00D1163A">
        <w:rPr>
          <w:rFonts w:ascii="Lato" w:hAnsi="Lato"/>
          <w:szCs w:val="24"/>
        </w:rPr>
        <w:t xml:space="preserve"> si</w:t>
      </w:r>
      <w:r w:rsidRPr="00D1163A">
        <w:rPr>
          <w:rFonts w:ascii="Lato" w:hAnsi="Lato" w:cs="Calibri"/>
          <w:szCs w:val="24"/>
        </w:rPr>
        <w:t>ę</w:t>
      </w:r>
      <w:r w:rsidRPr="00D1163A">
        <w:rPr>
          <w:rFonts w:ascii="Lato" w:hAnsi="Lato"/>
          <w:szCs w:val="24"/>
        </w:rPr>
        <w:t xml:space="preserve"> na poziomie przekraczaj</w:t>
      </w:r>
      <w:r w:rsidRPr="00D1163A">
        <w:rPr>
          <w:rFonts w:ascii="Lato" w:hAnsi="Lato" w:cs="Calibri"/>
          <w:szCs w:val="24"/>
        </w:rPr>
        <w:t>ą</w:t>
      </w:r>
      <w:r w:rsidRPr="00D1163A">
        <w:rPr>
          <w:rFonts w:ascii="Lato" w:hAnsi="Lato"/>
          <w:szCs w:val="24"/>
        </w:rPr>
        <w:t xml:space="preserve">cym </w:t>
      </w:r>
      <w:r w:rsidR="00403217" w:rsidRPr="00D1163A">
        <w:rPr>
          <w:rFonts w:ascii="Lato" w:hAnsi="Lato"/>
          <w:szCs w:val="24"/>
        </w:rPr>
        <w:t xml:space="preserve">171 </w:t>
      </w:r>
      <w:r w:rsidRPr="00D1163A">
        <w:rPr>
          <w:rFonts w:ascii="Lato" w:hAnsi="Lato"/>
          <w:szCs w:val="24"/>
        </w:rPr>
        <w:t>mln m</w:t>
      </w:r>
      <w:r w:rsidRPr="00D1163A">
        <w:rPr>
          <w:rFonts w:ascii="Lato" w:hAnsi="Lato"/>
          <w:szCs w:val="24"/>
          <w:vertAlign w:val="superscript"/>
        </w:rPr>
        <w:t>3</w:t>
      </w:r>
      <w:r w:rsidRPr="00D1163A">
        <w:rPr>
          <w:rFonts w:ascii="Lato" w:hAnsi="Lato"/>
          <w:szCs w:val="24"/>
        </w:rPr>
        <w:t>/dob</w:t>
      </w:r>
      <w:r w:rsidRPr="00D1163A">
        <w:rPr>
          <w:rFonts w:ascii="Lato" w:hAnsi="Lato" w:cs="Calibri"/>
          <w:szCs w:val="24"/>
        </w:rPr>
        <w:t>ę</w:t>
      </w:r>
      <w:r w:rsidRPr="00D1163A">
        <w:rPr>
          <w:rFonts w:ascii="Lato" w:hAnsi="Lato"/>
          <w:szCs w:val="24"/>
        </w:rPr>
        <w:t xml:space="preserve"> (1 </w:t>
      </w:r>
      <w:r w:rsidR="00BF1DF1" w:rsidRPr="00D1163A">
        <w:rPr>
          <w:rFonts w:ascii="Lato" w:hAnsi="Lato"/>
          <w:szCs w:val="24"/>
        </w:rPr>
        <w:t>945</w:t>
      </w:r>
      <w:r w:rsidRPr="00D1163A">
        <w:rPr>
          <w:rFonts w:ascii="Lato" w:hAnsi="Lato"/>
          <w:szCs w:val="24"/>
        </w:rPr>
        <w:t xml:space="preserve"> GWh/dob</w:t>
      </w:r>
      <w:r w:rsidRPr="00D1163A">
        <w:rPr>
          <w:rFonts w:ascii="Lato" w:hAnsi="Lato" w:cs="Calibri"/>
          <w:szCs w:val="24"/>
        </w:rPr>
        <w:t>ę</w:t>
      </w:r>
      <w:r w:rsidRPr="00D1163A">
        <w:rPr>
          <w:rFonts w:ascii="Lato" w:hAnsi="Lato"/>
          <w:szCs w:val="24"/>
        </w:rPr>
        <w:t>), przy zało</w:t>
      </w:r>
      <w:r w:rsidRPr="00D1163A">
        <w:rPr>
          <w:rFonts w:ascii="Lato" w:hAnsi="Lato" w:cs="Calibri"/>
          <w:szCs w:val="24"/>
        </w:rPr>
        <w:t>ż</w:t>
      </w:r>
      <w:r w:rsidRPr="00D1163A">
        <w:rPr>
          <w:rFonts w:ascii="Lato" w:hAnsi="Lato"/>
          <w:szCs w:val="24"/>
        </w:rPr>
        <w:t>eniu maksymalnych dost</w:t>
      </w:r>
      <w:r w:rsidRPr="00D1163A">
        <w:rPr>
          <w:rFonts w:ascii="Lato" w:hAnsi="Lato" w:cs="Calibri"/>
          <w:szCs w:val="24"/>
        </w:rPr>
        <w:t>ę</w:t>
      </w:r>
      <w:r w:rsidRPr="00D1163A">
        <w:rPr>
          <w:rFonts w:ascii="Lato" w:hAnsi="Lato"/>
          <w:szCs w:val="24"/>
        </w:rPr>
        <w:t>pnych zdolno</w:t>
      </w:r>
      <w:r w:rsidRPr="00D1163A">
        <w:rPr>
          <w:rFonts w:ascii="Lato" w:hAnsi="Lato" w:cs="Calibri"/>
          <w:szCs w:val="24"/>
        </w:rPr>
        <w:t>ś</w:t>
      </w:r>
      <w:r w:rsidRPr="00D1163A">
        <w:rPr>
          <w:rFonts w:ascii="Lato" w:hAnsi="Lato"/>
          <w:szCs w:val="24"/>
        </w:rPr>
        <w:t>ci odbioru na punktach wej</w:t>
      </w:r>
      <w:r w:rsidRPr="00D1163A">
        <w:rPr>
          <w:rFonts w:ascii="Lato" w:hAnsi="Lato" w:cs="Calibri"/>
          <w:szCs w:val="24"/>
        </w:rPr>
        <w:t>ś</w:t>
      </w:r>
      <w:r w:rsidRPr="00D1163A">
        <w:rPr>
          <w:rFonts w:ascii="Lato" w:hAnsi="Lato"/>
          <w:szCs w:val="24"/>
        </w:rPr>
        <w:t>cia z importu, dostaw wewn</w:t>
      </w:r>
      <w:r w:rsidRPr="00D1163A">
        <w:rPr>
          <w:rFonts w:ascii="Lato" w:hAnsi="Lato" w:cs="Calibri"/>
          <w:szCs w:val="24"/>
        </w:rPr>
        <w:t>ą</w:t>
      </w:r>
      <w:r w:rsidRPr="00D1163A">
        <w:rPr>
          <w:rFonts w:ascii="Lato" w:hAnsi="Lato"/>
          <w:szCs w:val="24"/>
        </w:rPr>
        <w:t>trzwsp</w:t>
      </w:r>
      <w:r w:rsidRPr="00D1163A">
        <w:rPr>
          <w:rFonts w:ascii="Lato" w:hAnsi="Lato" w:cs="Malgun Gothic"/>
          <w:szCs w:val="24"/>
        </w:rPr>
        <w:t>ó</w:t>
      </w:r>
      <w:r w:rsidRPr="00D1163A">
        <w:rPr>
          <w:rFonts w:ascii="Lato" w:hAnsi="Lato"/>
          <w:szCs w:val="24"/>
        </w:rPr>
        <w:t>lnotowych, terminalu LNG i z PMG, tj. mocy odbioru na pocz</w:t>
      </w:r>
      <w:r w:rsidRPr="00D1163A">
        <w:rPr>
          <w:rFonts w:ascii="Lato" w:hAnsi="Lato" w:cs="Calibri"/>
          <w:szCs w:val="24"/>
        </w:rPr>
        <w:t>ą</w:t>
      </w:r>
      <w:r w:rsidRPr="00D1163A">
        <w:rPr>
          <w:rFonts w:ascii="Lato" w:hAnsi="Lato"/>
          <w:szCs w:val="24"/>
        </w:rPr>
        <w:t>tku cyklu odbioru gazu ziemnego z magazynów (na pocz</w:t>
      </w:r>
      <w:r w:rsidRPr="00D1163A">
        <w:rPr>
          <w:rFonts w:ascii="Lato" w:hAnsi="Lato" w:cs="Calibri"/>
          <w:szCs w:val="24"/>
        </w:rPr>
        <w:t>ą</w:t>
      </w:r>
      <w:r w:rsidRPr="00D1163A">
        <w:rPr>
          <w:rFonts w:ascii="Lato" w:hAnsi="Lato"/>
          <w:szCs w:val="24"/>
        </w:rPr>
        <w:t>tku charakterystyki). W analizie scenariuszy zało</w:t>
      </w:r>
      <w:r w:rsidRPr="00D1163A">
        <w:rPr>
          <w:rFonts w:ascii="Lato" w:hAnsi="Lato" w:cs="Calibri"/>
          <w:szCs w:val="24"/>
        </w:rPr>
        <w:t>ż</w:t>
      </w:r>
      <w:r w:rsidRPr="00D1163A">
        <w:rPr>
          <w:rFonts w:ascii="Lato" w:hAnsi="Lato"/>
          <w:szCs w:val="24"/>
        </w:rPr>
        <w:t>ono mo</w:t>
      </w:r>
      <w:r w:rsidRPr="00D1163A">
        <w:rPr>
          <w:rFonts w:ascii="Lato" w:hAnsi="Lato" w:cs="Calibri"/>
          <w:szCs w:val="24"/>
        </w:rPr>
        <w:t>ż</w:t>
      </w:r>
      <w:r w:rsidRPr="00D1163A">
        <w:rPr>
          <w:rFonts w:ascii="Lato" w:hAnsi="Lato"/>
          <w:szCs w:val="24"/>
        </w:rPr>
        <w:t>liwo</w:t>
      </w:r>
      <w:r w:rsidRPr="00D1163A">
        <w:rPr>
          <w:rFonts w:ascii="Lato" w:hAnsi="Lato" w:cs="Calibri"/>
          <w:szCs w:val="24"/>
        </w:rPr>
        <w:t>ść</w:t>
      </w:r>
      <w:r w:rsidRPr="00D1163A">
        <w:rPr>
          <w:rFonts w:ascii="Lato" w:hAnsi="Lato"/>
          <w:szCs w:val="24"/>
        </w:rPr>
        <w:t xml:space="preserve"> pracy po</w:t>
      </w:r>
      <w:r w:rsidRPr="00D1163A">
        <w:rPr>
          <w:rFonts w:ascii="Lato" w:hAnsi="Lato" w:cs="Malgun Gothic"/>
          <w:szCs w:val="24"/>
        </w:rPr>
        <w:t>ł</w:t>
      </w:r>
      <w:r w:rsidRPr="00D1163A">
        <w:rPr>
          <w:rFonts w:ascii="Lato" w:hAnsi="Lato" w:cs="Calibri"/>
          <w:szCs w:val="24"/>
        </w:rPr>
        <w:t>ą</w:t>
      </w:r>
      <w:r w:rsidRPr="00D1163A">
        <w:rPr>
          <w:rFonts w:ascii="Lato" w:hAnsi="Lato"/>
          <w:szCs w:val="24"/>
        </w:rPr>
        <w:t>cze</w:t>
      </w:r>
      <w:r w:rsidRPr="00D1163A">
        <w:rPr>
          <w:rFonts w:ascii="Lato" w:hAnsi="Lato" w:cs="Calibri"/>
          <w:szCs w:val="24"/>
        </w:rPr>
        <w:t>ń</w:t>
      </w:r>
      <w:r w:rsidRPr="00D1163A">
        <w:rPr>
          <w:rFonts w:ascii="Lato" w:hAnsi="Lato"/>
          <w:szCs w:val="24"/>
        </w:rPr>
        <w:t xml:space="preserve"> mi</w:t>
      </w:r>
      <w:r w:rsidRPr="00D1163A">
        <w:rPr>
          <w:rFonts w:ascii="Lato" w:hAnsi="Lato" w:cs="Calibri"/>
          <w:szCs w:val="24"/>
        </w:rPr>
        <w:t>ę</w:t>
      </w:r>
      <w:r w:rsidRPr="00D1163A">
        <w:rPr>
          <w:rFonts w:ascii="Lato" w:hAnsi="Lato"/>
          <w:szCs w:val="24"/>
        </w:rPr>
        <w:t>dzysystemowych do poziomu ich zdolno</w:t>
      </w:r>
      <w:r w:rsidRPr="00D1163A">
        <w:rPr>
          <w:rFonts w:ascii="Lato" w:hAnsi="Lato" w:cs="Calibri"/>
          <w:szCs w:val="24"/>
        </w:rPr>
        <w:t>ś</w:t>
      </w:r>
      <w:r w:rsidRPr="00D1163A">
        <w:rPr>
          <w:rFonts w:ascii="Lato" w:hAnsi="Lato"/>
          <w:szCs w:val="24"/>
        </w:rPr>
        <w:t>ci technicznych.</w:t>
      </w:r>
      <w:r w:rsidR="002223E5">
        <w:rPr>
          <w:rFonts w:ascii="Lato" w:hAnsi="Lato"/>
          <w:szCs w:val="24"/>
        </w:rPr>
        <w:t xml:space="preserve"> </w:t>
      </w:r>
      <w:r w:rsidRPr="00D1163A">
        <w:rPr>
          <w:rFonts w:ascii="Lato" w:hAnsi="Lato"/>
          <w:szCs w:val="24"/>
        </w:rPr>
        <w:t xml:space="preserve">Analizy rozpływów gazu ziemnego zostały przeprowadzone </w:t>
      </w:r>
      <w:r w:rsidR="00ED3E12" w:rsidRPr="00D1163A">
        <w:rPr>
          <w:rFonts w:ascii="Lato" w:hAnsi="Lato"/>
          <w:szCs w:val="24"/>
        </w:rPr>
        <w:t>zarówno dla scenariuszy zakłóceń w dostawach gazu ziemnego na punktach wejścia do systemu przesyłowego</w:t>
      </w:r>
      <w:r w:rsidR="002223E5">
        <w:rPr>
          <w:rFonts w:ascii="Lato" w:hAnsi="Lato"/>
          <w:szCs w:val="24"/>
        </w:rPr>
        <w:t>,</w:t>
      </w:r>
      <w:r w:rsidR="00ED3E12" w:rsidRPr="00D1163A">
        <w:rPr>
          <w:rFonts w:ascii="Lato" w:hAnsi="Lato"/>
          <w:szCs w:val="24"/>
        </w:rPr>
        <w:t xml:space="preserve"> jak</w:t>
      </w:r>
      <w:r w:rsidR="00416956" w:rsidRPr="00D1163A">
        <w:rPr>
          <w:rFonts w:ascii="Lato" w:hAnsi="Lato"/>
          <w:szCs w:val="24"/>
        </w:rPr>
        <w:t xml:space="preserve"> i dla scenariuszy awarii głównych obiektów infrastruktury.</w:t>
      </w:r>
      <w:r w:rsidR="00ED3E12" w:rsidRPr="00D1163A">
        <w:rPr>
          <w:rFonts w:ascii="Lato" w:hAnsi="Lato"/>
          <w:szCs w:val="24"/>
        </w:rPr>
        <w:t xml:space="preserve"> </w:t>
      </w:r>
      <w:r w:rsidR="00296B2B" w:rsidRPr="00D1163A">
        <w:rPr>
          <w:rFonts w:ascii="Lato" w:eastAsia="Malgun Gothic" w:hAnsi="Lato"/>
          <w:szCs w:val="24"/>
        </w:rPr>
        <w:t>Szczegółowe w</w:t>
      </w:r>
      <w:r w:rsidRPr="00D1163A">
        <w:rPr>
          <w:rFonts w:ascii="Lato" w:eastAsia="Malgun Gothic" w:hAnsi="Lato"/>
          <w:szCs w:val="24"/>
        </w:rPr>
        <w:t xml:space="preserve">yniki analiz </w:t>
      </w:r>
      <w:r w:rsidR="00F456C5" w:rsidRPr="00D1163A">
        <w:rPr>
          <w:rFonts w:ascii="Lato" w:eastAsia="Malgun Gothic" w:hAnsi="Lato"/>
          <w:szCs w:val="24"/>
        </w:rPr>
        <w:t xml:space="preserve">zostały </w:t>
      </w:r>
      <w:r w:rsidR="006E320C" w:rsidRPr="00D1163A">
        <w:rPr>
          <w:rFonts w:ascii="Lato" w:eastAsia="Malgun Gothic" w:hAnsi="Lato"/>
          <w:szCs w:val="24"/>
        </w:rPr>
        <w:t xml:space="preserve">określone w </w:t>
      </w:r>
      <w:r w:rsidR="009719EA" w:rsidRPr="002223E5">
        <w:rPr>
          <w:rFonts w:ascii="Lato" w:eastAsia="Malgun Gothic" w:hAnsi="Lato"/>
          <w:i/>
          <w:iCs/>
          <w:szCs w:val="24"/>
        </w:rPr>
        <w:t>Ocenie ryzyka</w:t>
      </w:r>
      <w:r w:rsidR="009719EA" w:rsidRPr="00D1163A">
        <w:rPr>
          <w:rFonts w:ascii="Lato" w:eastAsia="Malgun Gothic" w:hAnsi="Lato"/>
          <w:szCs w:val="24"/>
        </w:rPr>
        <w:t xml:space="preserve"> </w:t>
      </w:r>
      <w:r w:rsidR="009719EA" w:rsidRPr="002223E5">
        <w:rPr>
          <w:rFonts w:ascii="Lato" w:eastAsia="Malgun Gothic" w:hAnsi="Lato"/>
          <w:i/>
          <w:iCs/>
          <w:szCs w:val="24"/>
        </w:rPr>
        <w:t>związanego z bezpieczeństwem dostaw gazu ziemnego</w:t>
      </w:r>
      <w:r w:rsidR="000E780A" w:rsidRPr="002223E5">
        <w:rPr>
          <w:rFonts w:ascii="Lato" w:eastAsia="Malgun Gothic" w:hAnsi="Lato"/>
          <w:i/>
          <w:iCs/>
          <w:szCs w:val="24"/>
        </w:rPr>
        <w:t xml:space="preserve"> do Polski</w:t>
      </w:r>
      <w:r w:rsidR="000E780A">
        <w:rPr>
          <w:rFonts w:ascii="Lato" w:eastAsia="Malgun Gothic" w:hAnsi="Lato"/>
          <w:szCs w:val="24"/>
        </w:rPr>
        <w:t>.</w:t>
      </w:r>
      <w:r w:rsidR="009719EA" w:rsidRPr="00D1163A">
        <w:rPr>
          <w:rFonts w:ascii="Lato" w:eastAsia="Malgun Gothic" w:hAnsi="Lato"/>
          <w:szCs w:val="24"/>
        </w:rPr>
        <w:t xml:space="preserve"> </w:t>
      </w:r>
    </w:p>
    <w:p w14:paraId="17486620" w14:textId="05A430C0" w:rsidR="00B03DBA" w:rsidRPr="002223E5" w:rsidRDefault="000E780A" w:rsidP="002223E5">
      <w:pPr>
        <w:spacing w:line="276" w:lineRule="auto"/>
        <w:ind w:firstLine="709"/>
        <w:contextualSpacing/>
        <w:rPr>
          <w:rFonts w:ascii="Lato" w:hAnsi="Lato"/>
          <w:szCs w:val="24"/>
        </w:rPr>
      </w:pPr>
      <w:r w:rsidRPr="002223E5">
        <w:rPr>
          <w:rFonts w:ascii="Lato" w:hAnsi="Lato"/>
        </w:rPr>
        <w:t>Po zakończeniu</w:t>
      </w:r>
      <w:r>
        <w:rPr>
          <w:rFonts w:ascii="Lato" w:eastAsia="Malgun Gothic" w:hAnsi="Lato"/>
          <w:szCs w:val="24"/>
        </w:rPr>
        <w:t xml:space="preserve"> inwestycji w ramach programu Batic Pipe </w:t>
      </w:r>
      <w:r w:rsidRPr="000E780A">
        <w:rPr>
          <w:rFonts w:ascii="Lato" w:eastAsia="Malgun Gothic" w:hAnsi="Lato"/>
          <w:szCs w:val="24"/>
        </w:rPr>
        <w:t>(</w:t>
      </w:r>
      <w:r w:rsidR="00F46D86">
        <w:rPr>
          <w:rFonts w:ascii="Lato" w:eastAsia="Malgun Gothic" w:hAnsi="Lato"/>
          <w:szCs w:val="24"/>
        </w:rPr>
        <w:t xml:space="preserve">październik </w:t>
      </w:r>
      <w:r w:rsidRPr="000E780A">
        <w:rPr>
          <w:rFonts w:ascii="Lato" w:eastAsia="Malgun Gothic" w:hAnsi="Lato"/>
          <w:szCs w:val="24"/>
        </w:rPr>
        <w:t>2022</w:t>
      </w:r>
      <w:r w:rsidR="00F46D86">
        <w:rPr>
          <w:rFonts w:ascii="Lato" w:eastAsia="Malgun Gothic" w:hAnsi="Lato"/>
          <w:szCs w:val="24"/>
        </w:rPr>
        <w:t xml:space="preserve"> r.</w:t>
      </w:r>
      <w:r w:rsidRPr="000E780A">
        <w:rPr>
          <w:rFonts w:ascii="Lato" w:eastAsia="Malgun Gothic" w:hAnsi="Lato"/>
          <w:szCs w:val="24"/>
        </w:rPr>
        <w:t>) polski system przesyłowy stał się całkowicie odporny na zakłócenie dostaw gazu przez punkty wejścia na granicy wschodniej</w:t>
      </w:r>
      <w:r w:rsidR="00F46D86">
        <w:rPr>
          <w:rFonts w:ascii="Lato" w:eastAsia="Malgun Gothic" w:hAnsi="Lato"/>
          <w:szCs w:val="24"/>
        </w:rPr>
        <w:t>.</w:t>
      </w:r>
      <w:r>
        <w:rPr>
          <w:rFonts w:ascii="Lato" w:eastAsia="Malgun Gothic" w:hAnsi="Lato"/>
          <w:szCs w:val="24"/>
        </w:rPr>
        <w:t xml:space="preserve"> </w:t>
      </w:r>
    </w:p>
    <w:p w14:paraId="33D76811" w14:textId="233BBACE" w:rsidR="00660392" w:rsidRPr="00C758B1" w:rsidRDefault="00E92BEB" w:rsidP="00983C18">
      <w:pPr>
        <w:spacing w:line="276" w:lineRule="auto"/>
        <w:jc w:val="left"/>
        <w:rPr>
          <w:rFonts w:ascii="Lato" w:eastAsiaTheme="majorEastAsia" w:hAnsi="Lato" w:cstheme="majorBidi"/>
          <w:b/>
          <w:sz w:val="32"/>
          <w:szCs w:val="32"/>
        </w:rPr>
      </w:pPr>
      <w:r>
        <w:rPr>
          <w:rFonts w:ascii="Lato" w:eastAsia="Malgun Gothic" w:hAnsi="Lato"/>
          <w:szCs w:val="24"/>
        </w:rPr>
        <w:br w:type="page"/>
      </w:r>
      <w:bookmarkStart w:id="142" w:name="_Toc12953910"/>
    </w:p>
    <w:p w14:paraId="5FE08D1B" w14:textId="739EF2D9" w:rsidR="00B03DBA" w:rsidRPr="004D6A74" w:rsidRDefault="00C7771E" w:rsidP="002223E5">
      <w:pPr>
        <w:pStyle w:val="Rozdzia1"/>
        <w:rPr>
          <w:rFonts w:ascii="Lato" w:hAnsi="Lato"/>
          <w:sz w:val="28"/>
          <w:szCs w:val="28"/>
        </w:rPr>
      </w:pPr>
      <w:bookmarkStart w:id="143" w:name="_Toc19782943"/>
      <w:bookmarkStart w:id="144" w:name="_Toc142469568"/>
      <w:r w:rsidRPr="004D6A74">
        <w:rPr>
          <w:rFonts w:ascii="Lato" w:hAnsi="Lato"/>
          <w:sz w:val="28"/>
          <w:szCs w:val="28"/>
        </w:rPr>
        <w:lastRenderedPageBreak/>
        <w:t>Standard w zakresie infrastruktury</w:t>
      </w:r>
      <w:bookmarkEnd w:id="142"/>
      <w:bookmarkEnd w:id="143"/>
      <w:bookmarkEnd w:id="144"/>
      <w:r w:rsidRPr="004D6A74">
        <w:rPr>
          <w:rFonts w:ascii="Lato" w:hAnsi="Lato"/>
          <w:sz w:val="28"/>
          <w:szCs w:val="28"/>
        </w:rPr>
        <w:t xml:space="preserve"> </w:t>
      </w:r>
    </w:p>
    <w:p w14:paraId="449232E1" w14:textId="124D959C" w:rsidR="00B03DBA" w:rsidRPr="00D1163A" w:rsidRDefault="00C7771E" w:rsidP="002223E5">
      <w:pPr>
        <w:spacing w:line="276" w:lineRule="auto"/>
        <w:contextualSpacing/>
        <w:rPr>
          <w:rFonts w:ascii="Lato" w:hAnsi="Lato"/>
        </w:rPr>
      </w:pPr>
      <w:r w:rsidRPr="00C758B1">
        <w:tab/>
      </w:r>
      <w:r w:rsidR="00D34078">
        <w:rPr>
          <w:rFonts w:ascii="Lato" w:hAnsi="Lato"/>
        </w:rPr>
        <w:t>W</w:t>
      </w:r>
      <w:r w:rsidRPr="00D1163A">
        <w:rPr>
          <w:rFonts w:ascii="Lato" w:hAnsi="Lato"/>
        </w:rPr>
        <w:t>skaźnik N-1 opisuje zdolno</w:t>
      </w:r>
      <w:r w:rsidRPr="00D1163A">
        <w:rPr>
          <w:rFonts w:ascii="Lato" w:hAnsi="Lato" w:cs="Calibri"/>
        </w:rPr>
        <w:t>ść</w:t>
      </w:r>
      <w:r w:rsidRPr="00D1163A">
        <w:rPr>
          <w:rFonts w:ascii="Lato" w:hAnsi="Lato"/>
        </w:rPr>
        <w:t xml:space="preserve"> techniczn</w:t>
      </w:r>
      <w:r w:rsidRPr="00D1163A">
        <w:rPr>
          <w:rFonts w:ascii="Lato" w:hAnsi="Lato" w:cs="Calibri"/>
        </w:rPr>
        <w:t>ą</w:t>
      </w:r>
      <w:r w:rsidRPr="00D1163A">
        <w:rPr>
          <w:rFonts w:ascii="Lato" w:hAnsi="Lato"/>
        </w:rPr>
        <w:t xml:space="preserve"> infrastruktury gazowej do zaspokojenia ca</w:t>
      </w:r>
      <w:r w:rsidRPr="00D1163A">
        <w:rPr>
          <w:rFonts w:ascii="Lato" w:hAnsi="Lato" w:cs="Malgun Gothic"/>
        </w:rPr>
        <w:t>ł</w:t>
      </w:r>
      <w:r w:rsidRPr="00D1163A">
        <w:rPr>
          <w:rFonts w:ascii="Lato" w:hAnsi="Lato"/>
        </w:rPr>
        <w:t>kowitego zapotrzebowania na gaz ziemny</w:t>
      </w:r>
      <w:r w:rsidR="6B337897" w:rsidRPr="00D1163A">
        <w:rPr>
          <w:rFonts w:ascii="Lato" w:hAnsi="Lato"/>
        </w:rPr>
        <w:t>,</w:t>
      </w:r>
      <w:r w:rsidRPr="00D1163A">
        <w:rPr>
          <w:rFonts w:ascii="Lato" w:hAnsi="Lato"/>
        </w:rPr>
        <w:t xml:space="preserve"> na obszarze analizowanym w przypadku zakłóce</w:t>
      </w:r>
      <w:r w:rsidRPr="00D1163A">
        <w:rPr>
          <w:rFonts w:ascii="Lato" w:hAnsi="Lato" w:cs="Calibri"/>
        </w:rPr>
        <w:t>ń</w:t>
      </w:r>
      <w:r w:rsidR="00A02065">
        <w:rPr>
          <w:rFonts w:ascii="Lato" w:hAnsi="Lato"/>
        </w:rPr>
        <w:t xml:space="preserve"> w </w:t>
      </w:r>
      <w:r w:rsidRPr="00D1163A">
        <w:rPr>
          <w:rFonts w:ascii="Lato" w:hAnsi="Lato"/>
        </w:rPr>
        <w:t>funkcjonowaniu pojedynczej najwi</w:t>
      </w:r>
      <w:r w:rsidRPr="00D1163A">
        <w:rPr>
          <w:rFonts w:ascii="Lato" w:hAnsi="Lato" w:cs="Calibri"/>
        </w:rPr>
        <w:t>ę</w:t>
      </w:r>
      <w:r w:rsidRPr="00D1163A">
        <w:rPr>
          <w:rFonts w:ascii="Lato" w:hAnsi="Lato"/>
        </w:rPr>
        <w:t>kszej infrastruktury gazowej w</w:t>
      </w:r>
      <w:r w:rsidR="00B70265">
        <w:rPr>
          <w:rFonts w:ascii="Lato" w:hAnsi="Lato"/>
        </w:rPr>
        <w:t xml:space="preserve"> </w:t>
      </w:r>
      <w:r w:rsidRPr="00D1163A">
        <w:rPr>
          <w:rFonts w:ascii="Lato" w:hAnsi="Lato"/>
        </w:rPr>
        <w:t>dniu nadzwyczajnie wysokiego zapotrzebowania,</w:t>
      </w:r>
      <w:r w:rsidR="00A02065">
        <w:rPr>
          <w:rFonts w:ascii="Lato" w:hAnsi="Lato"/>
        </w:rPr>
        <w:t xml:space="preserve"> </w:t>
      </w:r>
      <w:r w:rsidRPr="00D1163A">
        <w:rPr>
          <w:rFonts w:ascii="Lato" w:hAnsi="Lato"/>
        </w:rPr>
        <w:t>wyst</w:t>
      </w:r>
      <w:r w:rsidRPr="00D1163A">
        <w:rPr>
          <w:rFonts w:ascii="Lato" w:hAnsi="Lato" w:cs="Calibri"/>
        </w:rPr>
        <w:t>ę</w:t>
      </w:r>
      <w:r w:rsidRPr="00D1163A">
        <w:rPr>
          <w:rFonts w:ascii="Lato" w:hAnsi="Lato"/>
        </w:rPr>
        <w:t>puj</w:t>
      </w:r>
      <w:r w:rsidRPr="00D1163A">
        <w:rPr>
          <w:rFonts w:ascii="Lato" w:hAnsi="Lato" w:cs="Calibri"/>
        </w:rPr>
        <w:t>ą</w:t>
      </w:r>
      <w:r w:rsidRPr="00D1163A">
        <w:rPr>
          <w:rFonts w:ascii="Lato" w:hAnsi="Lato"/>
        </w:rPr>
        <w:t>cym statystycznie raz na 20 lat.</w:t>
      </w:r>
    </w:p>
    <w:p w14:paraId="37B6B50F" w14:textId="77777777" w:rsidR="00B03DBA" w:rsidRPr="00D1163A" w:rsidRDefault="00C7771E" w:rsidP="002223E5">
      <w:pPr>
        <w:spacing w:line="276" w:lineRule="auto"/>
        <w:contextualSpacing/>
        <w:rPr>
          <w:rFonts w:ascii="Lato" w:hAnsi="Lato"/>
        </w:rPr>
      </w:pPr>
      <w:r w:rsidRPr="00D1163A">
        <w:rPr>
          <w:rFonts w:ascii="Lato" w:hAnsi="Lato"/>
        </w:rPr>
        <w:tab/>
        <w:t>Infrastruktura gazowa obejmuje sie</w:t>
      </w:r>
      <w:r w:rsidRPr="00D1163A">
        <w:rPr>
          <w:rFonts w:ascii="Lato" w:hAnsi="Lato" w:cs="Calibri"/>
        </w:rPr>
        <w:t>ć</w:t>
      </w:r>
      <w:r w:rsidRPr="00D1163A">
        <w:rPr>
          <w:rFonts w:ascii="Lato" w:hAnsi="Lato"/>
        </w:rPr>
        <w:t xml:space="preserve"> przesy</w:t>
      </w:r>
      <w:r w:rsidRPr="00D1163A">
        <w:rPr>
          <w:rFonts w:ascii="Lato" w:hAnsi="Lato" w:cs="Malgun Gothic"/>
        </w:rPr>
        <w:t>ł</w:t>
      </w:r>
      <w:r w:rsidRPr="00D1163A">
        <w:rPr>
          <w:rFonts w:ascii="Lato" w:hAnsi="Lato"/>
        </w:rPr>
        <w:t>ow</w:t>
      </w:r>
      <w:r w:rsidRPr="00D1163A">
        <w:rPr>
          <w:rFonts w:ascii="Lato" w:hAnsi="Lato" w:cs="Calibri"/>
        </w:rPr>
        <w:t>ą</w:t>
      </w:r>
      <w:r w:rsidRPr="00D1163A">
        <w:rPr>
          <w:rFonts w:ascii="Lato" w:hAnsi="Lato"/>
        </w:rPr>
        <w:t xml:space="preserve"> gazu ziemnego, w tym poł</w:t>
      </w:r>
      <w:r w:rsidRPr="00D1163A">
        <w:rPr>
          <w:rFonts w:ascii="Lato" w:hAnsi="Lato" w:cs="Calibri"/>
        </w:rPr>
        <w:t>ą</w:t>
      </w:r>
      <w:r w:rsidRPr="00D1163A">
        <w:rPr>
          <w:rFonts w:ascii="Lato" w:hAnsi="Lato"/>
        </w:rPr>
        <w:t>czenia wzajemne, jak r</w:t>
      </w:r>
      <w:r w:rsidRPr="00D1163A">
        <w:rPr>
          <w:rFonts w:ascii="Lato" w:hAnsi="Lato" w:cs="Malgun Gothic"/>
        </w:rPr>
        <w:t>ó</w:t>
      </w:r>
      <w:r w:rsidRPr="00D1163A">
        <w:rPr>
          <w:rFonts w:ascii="Lato" w:hAnsi="Lato"/>
        </w:rPr>
        <w:t>wnie</w:t>
      </w:r>
      <w:r w:rsidRPr="00D1163A">
        <w:rPr>
          <w:rFonts w:ascii="Lato" w:hAnsi="Lato" w:cs="Calibri"/>
        </w:rPr>
        <w:t>ż</w:t>
      </w:r>
      <w:r w:rsidRPr="00D1163A">
        <w:rPr>
          <w:rFonts w:ascii="Lato" w:hAnsi="Lato"/>
        </w:rPr>
        <w:t xml:space="preserve"> instalacje wykorzystywane do wydobycia gazu ziemnego, instalacje LNG i magazynowe połączone z systemem przesy</w:t>
      </w:r>
      <w:r w:rsidRPr="00D1163A">
        <w:rPr>
          <w:rFonts w:ascii="Lato" w:hAnsi="Lato" w:cs="Malgun Gothic"/>
        </w:rPr>
        <w:t>ł</w:t>
      </w:r>
      <w:r w:rsidRPr="00D1163A">
        <w:rPr>
          <w:rFonts w:ascii="Lato" w:hAnsi="Lato"/>
        </w:rPr>
        <w:t>owym na terenie analizowanego obszaru.</w:t>
      </w:r>
    </w:p>
    <w:p w14:paraId="774CD9B0" w14:textId="77777777" w:rsidR="00B03DBA" w:rsidRDefault="00C7771E" w:rsidP="00983C18">
      <w:pPr>
        <w:spacing w:line="276" w:lineRule="auto"/>
        <w:contextualSpacing/>
        <w:rPr>
          <w:rFonts w:ascii="Lato" w:hAnsi="Lato"/>
        </w:rPr>
      </w:pPr>
      <w:r w:rsidRPr="00D1163A">
        <w:rPr>
          <w:rFonts w:ascii="Lato" w:hAnsi="Lato"/>
        </w:rPr>
        <w:tab/>
        <w:t>Zdolno</w:t>
      </w:r>
      <w:r w:rsidRPr="00D1163A">
        <w:rPr>
          <w:rFonts w:ascii="Lato" w:hAnsi="Lato" w:cs="Calibri"/>
        </w:rPr>
        <w:t>ść</w:t>
      </w:r>
      <w:r w:rsidRPr="00D1163A">
        <w:rPr>
          <w:rFonts w:ascii="Lato" w:hAnsi="Lato"/>
        </w:rPr>
        <w:t xml:space="preserve"> techniczna ca</w:t>
      </w:r>
      <w:r w:rsidRPr="00D1163A">
        <w:rPr>
          <w:rFonts w:ascii="Lato" w:hAnsi="Lato" w:cs="Malgun Gothic"/>
        </w:rPr>
        <w:t>ł</w:t>
      </w:r>
      <w:r w:rsidRPr="00D1163A">
        <w:rPr>
          <w:rFonts w:ascii="Lato" w:hAnsi="Lato"/>
        </w:rPr>
        <w:t>ej pozosta</w:t>
      </w:r>
      <w:r w:rsidRPr="00D1163A">
        <w:rPr>
          <w:rFonts w:ascii="Lato" w:hAnsi="Lato" w:cs="Malgun Gothic"/>
        </w:rPr>
        <w:t>ł</w:t>
      </w:r>
      <w:r w:rsidRPr="00D1163A">
        <w:rPr>
          <w:rFonts w:ascii="Lato" w:hAnsi="Lato"/>
        </w:rPr>
        <w:t>ej dost</w:t>
      </w:r>
      <w:r w:rsidRPr="00D1163A">
        <w:rPr>
          <w:rFonts w:ascii="Lato" w:hAnsi="Lato" w:cs="Calibri"/>
        </w:rPr>
        <w:t>ę</w:t>
      </w:r>
      <w:r w:rsidRPr="00D1163A">
        <w:rPr>
          <w:rFonts w:ascii="Lato" w:hAnsi="Lato"/>
        </w:rPr>
        <w:t>pnej infrastruktury gazowej w przypadku zakłóce</w:t>
      </w:r>
      <w:r w:rsidRPr="00D1163A">
        <w:rPr>
          <w:rFonts w:ascii="Lato" w:hAnsi="Lato" w:cs="Calibri"/>
        </w:rPr>
        <w:t>ń</w:t>
      </w:r>
      <w:r w:rsidRPr="00D1163A">
        <w:rPr>
          <w:rFonts w:ascii="Lato" w:hAnsi="Lato"/>
        </w:rPr>
        <w:t xml:space="preserve"> w funkcjonowaniu pojedynczej najwi</w:t>
      </w:r>
      <w:r w:rsidRPr="00D1163A">
        <w:rPr>
          <w:rFonts w:ascii="Lato" w:hAnsi="Lato" w:cs="Calibri"/>
        </w:rPr>
        <w:t>ę</w:t>
      </w:r>
      <w:r w:rsidRPr="00D1163A">
        <w:rPr>
          <w:rFonts w:ascii="Lato" w:hAnsi="Lato"/>
        </w:rPr>
        <w:t>kszej infrastruktury gazowej powinna by</w:t>
      </w:r>
      <w:r w:rsidRPr="00D1163A">
        <w:rPr>
          <w:rFonts w:ascii="Lato" w:hAnsi="Lato" w:cs="Calibri"/>
        </w:rPr>
        <w:t>ć</w:t>
      </w:r>
      <w:r w:rsidRPr="00D1163A">
        <w:rPr>
          <w:rFonts w:ascii="Lato" w:hAnsi="Lato"/>
        </w:rPr>
        <w:t xml:space="preserve"> co najmniej r</w:t>
      </w:r>
      <w:r w:rsidRPr="00D1163A">
        <w:rPr>
          <w:rFonts w:ascii="Lato" w:hAnsi="Lato" w:cs="Malgun Gothic"/>
        </w:rPr>
        <w:t>ó</w:t>
      </w:r>
      <w:r w:rsidRPr="00D1163A">
        <w:rPr>
          <w:rFonts w:ascii="Lato" w:hAnsi="Lato"/>
        </w:rPr>
        <w:t>wna sumie ca</w:t>
      </w:r>
      <w:r w:rsidRPr="00D1163A">
        <w:rPr>
          <w:rFonts w:ascii="Lato" w:hAnsi="Lato" w:cs="Malgun Gothic"/>
        </w:rPr>
        <w:t>ł</w:t>
      </w:r>
      <w:r w:rsidRPr="00D1163A">
        <w:rPr>
          <w:rFonts w:ascii="Lato" w:hAnsi="Lato"/>
        </w:rPr>
        <w:t>kowitego dziennego zapotrzebowania na gaz na obszarze analizowanym w dniu nadzwyczajnie wysokiego zapotrzebowania na gaz, wyst</w:t>
      </w:r>
      <w:r w:rsidRPr="00D1163A">
        <w:rPr>
          <w:rFonts w:ascii="Lato" w:hAnsi="Lato" w:cs="Calibri"/>
        </w:rPr>
        <w:t>ę</w:t>
      </w:r>
      <w:r w:rsidRPr="00D1163A">
        <w:rPr>
          <w:rFonts w:ascii="Lato" w:hAnsi="Lato"/>
        </w:rPr>
        <w:t>puj</w:t>
      </w:r>
      <w:r w:rsidRPr="00D1163A">
        <w:rPr>
          <w:rFonts w:ascii="Lato" w:hAnsi="Lato" w:cs="Calibri"/>
        </w:rPr>
        <w:t>ą</w:t>
      </w:r>
      <w:r w:rsidRPr="00D1163A">
        <w:rPr>
          <w:rFonts w:ascii="Lato" w:hAnsi="Lato"/>
        </w:rPr>
        <w:t xml:space="preserve">cym statystycznie raz na 20 lat. </w:t>
      </w:r>
    </w:p>
    <w:p w14:paraId="31DF9033" w14:textId="77777777" w:rsidR="00F46D86" w:rsidRPr="00D1163A" w:rsidRDefault="00F46D86" w:rsidP="002223E5">
      <w:pPr>
        <w:spacing w:line="276" w:lineRule="auto"/>
        <w:contextualSpacing/>
        <w:rPr>
          <w:rFonts w:ascii="Lato" w:hAnsi="Lato"/>
        </w:rPr>
      </w:pPr>
    </w:p>
    <w:p w14:paraId="5A481B97" w14:textId="77777777" w:rsidR="00B03DBA" w:rsidRPr="00D1163A" w:rsidRDefault="00C7771E" w:rsidP="002223E5">
      <w:pPr>
        <w:spacing w:line="276" w:lineRule="auto"/>
        <w:rPr>
          <w:rFonts w:ascii="Lato" w:hAnsi="Lato"/>
        </w:rPr>
      </w:pPr>
      <w:r w:rsidRPr="00D1163A">
        <w:rPr>
          <w:rFonts w:ascii="Lato" w:hAnsi="Lato"/>
        </w:rPr>
        <w:t>Wzór N-1 przedstawia si</w:t>
      </w:r>
      <w:r w:rsidRPr="00D1163A">
        <w:rPr>
          <w:rFonts w:ascii="Lato" w:hAnsi="Lato" w:cs="Calibri"/>
        </w:rPr>
        <w:t>ę</w:t>
      </w:r>
      <w:r w:rsidRPr="00D1163A">
        <w:rPr>
          <w:rFonts w:ascii="Lato" w:hAnsi="Lato"/>
        </w:rPr>
        <w:t xml:space="preserve"> nast</w:t>
      </w:r>
      <w:r w:rsidRPr="00D1163A">
        <w:rPr>
          <w:rFonts w:ascii="Lato" w:hAnsi="Lato" w:cs="Calibri"/>
        </w:rPr>
        <w:t>ę</w:t>
      </w:r>
      <w:r w:rsidRPr="00D1163A">
        <w:rPr>
          <w:rFonts w:ascii="Lato" w:hAnsi="Lato"/>
        </w:rPr>
        <w:t>puj</w:t>
      </w:r>
      <w:r w:rsidRPr="00D1163A">
        <w:rPr>
          <w:rFonts w:ascii="Lato" w:hAnsi="Lato" w:cs="Calibri"/>
        </w:rPr>
        <w:t>ą</w:t>
      </w:r>
      <w:r w:rsidRPr="00D1163A">
        <w:rPr>
          <w:rFonts w:ascii="Lato" w:hAnsi="Lato"/>
        </w:rPr>
        <w:t>co:</w:t>
      </w:r>
    </w:p>
    <w:p w14:paraId="7DD88D29" w14:textId="77777777" w:rsidR="00B03DBA" w:rsidRPr="00C758B1" w:rsidRDefault="00C7771E" w:rsidP="002223E5">
      <w:pPr>
        <w:spacing w:after="0" w:line="276" w:lineRule="auto"/>
        <w:jc w:val="center"/>
        <w:rPr>
          <w:rFonts w:ascii="Lato" w:eastAsia="Malgun Gothic" w:hAnsi="Lato"/>
        </w:rPr>
      </w:pPr>
      <w:r w:rsidRPr="00C758B1">
        <w:rPr>
          <w:rFonts w:ascii="Lato" w:eastAsia="Malgun Gothic" w:hAnsi="Lato"/>
          <w:noProof/>
          <w:vertAlign w:val="subscript"/>
          <w:lang w:eastAsia="pl-PL"/>
        </w:rPr>
        <w:drawing>
          <wp:inline distT="0" distB="0" distL="0" distR="0" wp14:anchorId="4249B977" wp14:editId="3C9E8BFF">
            <wp:extent cx="5711792" cy="619125"/>
            <wp:effectExtent l="0" t="0" r="0" b="0"/>
            <wp:docPr id="1476" name="Obraz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754831" cy="623790"/>
                    </a:xfrm>
                    <a:prstGeom prst="rect">
                      <a:avLst/>
                    </a:prstGeom>
                    <a:noFill/>
                    <a:ln>
                      <a:noFill/>
                    </a:ln>
                  </pic:spPr>
                </pic:pic>
              </a:graphicData>
            </a:graphic>
          </wp:inline>
        </w:drawing>
      </w:r>
    </w:p>
    <w:p w14:paraId="77AC63F0" w14:textId="77777777" w:rsidR="00B03DBA" w:rsidRPr="00C758B1" w:rsidRDefault="00C7771E" w:rsidP="002223E5">
      <w:pPr>
        <w:spacing w:after="0" w:line="276" w:lineRule="auto"/>
        <w:rPr>
          <w:rFonts w:ascii="Lato" w:eastAsia="Malgun Gothic" w:hAnsi="Lato"/>
        </w:rPr>
      </w:pPr>
      <w:r w:rsidRPr="00C758B1">
        <w:rPr>
          <w:rFonts w:ascii="Lato" w:eastAsia="Malgun Gothic" w:hAnsi="Lato"/>
        </w:rPr>
        <w:t>gdzie:</w:t>
      </w:r>
    </w:p>
    <w:p w14:paraId="2B82ECBE" w14:textId="3D22204B" w:rsidR="00B03DBA" w:rsidRPr="00C758B1" w:rsidRDefault="00C7771E" w:rsidP="00983C18">
      <w:pPr>
        <w:spacing w:after="0" w:line="276" w:lineRule="auto"/>
        <w:ind w:left="993" w:hanging="993"/>
        <w:rPr>
          <w:rFonts w:ascii="Lato" w:eastAsia="Malgun Gothic" w:hAnsi="Lato"/>
          <w:szCs w:val="24"/>
        </w:rPr>
      </w:pPr>
      <w:r w:rsidRPr="00C758B1">
        <w:rPr>
          <w:rFonts w:ascii="Lato" w:eastAsia="Malgun Gothic" w:hAnsi="Lato"/>
          <w:b/>
          <w:szCs w:val="24"/>
        </w:rPr>
        <w:t>„D</w:t>
      </w:r>
      <w:r w:rsidRPr="00C758B1">
        <w:rPr>
          <w:rFonts w:ascii="Lato" w:eastAsia="Malgun Gothic" w:hAnsi="Lato"/>
          <w:b/>
          <w:szCs w:val="24"/>
          <w:vertAlign w:val="subscript"/>
        </w:rPr>
        <w:t>max</w:t>
      </w:r>
      <w:r w:rsidRPr="00C758B1">
        <w:rPr>
          <w:rFonts w:ascii="Lato" w:eastAsia="Malgun Gothic" w:hAnsi="Lato"/>
          <w:b/>
          <w:szCs w:val="24"/>
        </w:rPr>
        <w:t>”-</w:t>
      </w:r>
      <w:r w:rsidRPr="00C758B1">
        <w:rPr>
          <w:rFonts w:ascii="Lato" w:eastAsia="Malgun Gothic" w:hAnsi="Lato"/>
          <w:szCs w:val="24"/>
        </w:rPr>
        <w:tab/>
        <w:t xml:space="preserve">całkowite dzienne zapotrzebowanie na gaz </w:t>
      </w:r>
      <w:r w:rsidR="004D6A74">
        <w:rPr>
          <w:rFonts w:ascii="Lato" w:eastAsia="Malgun Gothic" w:hAnsi="Lato"/>
          <w:szCs w:val="24"/>
        </w:rPr>
        <w:t xml:space="preserve">ziemny </w:t>
      </w:r>
      <w:r w:rsidRPr="00C758B1">
        <w:rPr>
          <w:rFonts w:ascii="Lato" w:eastAsia="Malgun Gothic" w:hAnsi="Lato"/>
          <w:szCs w:val="24"/>
        </w:rPr>
        <w:t>na obszarze analizowanym w dniu nadzwyczajnie wysokiego zapotrzebowania na gaz, wyst</w:t>
      </w:r>
      <w:r w:rsidRPr="00C758B1">
        <w:rPr>
          <w:rFonts w:ascii="Lato" w:eastAsia="Malgun Gothic" w:hAnsi="Lato" w:cs="Calibri"/>
          <w:szCs w:val="24"/>
        </w:rPr>
        <w:t>ę</w:t>
      </w:r>
      <w:r w:rsidRPr="00C758B1">
        <w:rPr>
          <w:rFonts w:ascii="Lato" w:eastAsia="Malgun Gothic" w:hAnsi="Lato"/>
          <w:szCs w:val="24"/>
        </w:rPr>
        <w:t>puj</w:t>
      </w:r>
      <w:r w:rsidRPr="00C758B1">
        <w:rPr>
          <w:rFonts w:ascii="Lato" w:eastAsia="Malgun Gothic" w:hAnsi="Lato" w:cs="Calibri"/>
          <w:szCs w:val="24"/>
        </w:rPr>
        <w:t>ą</w:t>
      </w:r>
      <w:r w:rsidRPr="00C758B1">
        <w:rPr>
          <w:rFonts w:ascii="Lato" w:eastAsia="Malgun Gothic" w:hAnsi="Lato"/>
          <w:szCs w:val="24"/>
        </w:rPr>
        <w:t xml:space="preserve">cym statystycznie raz na 20 lat. </w:t>
      </w:r>
    </w:p>
    <w:p w14:paraId="58C106EB" w14:textId="77777777" w:rsidR="00B03DBA" w:rsidRPr="00C758B1" w:rsidRDefault="00C7771E" w:rsidP="000A5326">
      <w:pPr>
        <w:pStyle w:val="Tekstzwyky"/>
        <w:spacing w:before="120"/>
        <w:rPr>
          <w:rFonts w:ascii="Lato" w:hAnsi="Lato"/>
        </w:rPr>
      </w:pPr>
      <w:r w:rsidRPr="00C758B1">
        <w:rPr>
          <w:rFonts w:ascii="Lato" w:hAnsi="Lato"/>
        </w:rPr>
        <w:t>Definicje po stronie poda</w:t>
      </w:r>
      <w:r w:rsidRPr="00C758B1">
        <w:rPr>
          <w:rFonts w:ascii="Lato" w:hAnsi="Lato" w:cs="Calibri"/>
        </w:rPr>
        <w:t>ż</w:t>
      </w:r>
      <w:r w:rsidRPr="00C758B1">
        <w:rPr>
          <w:rFonts w:ascii="Lato" w:hAnsi="Lato"/>
        </w:rPr>
        <w:t>owej:</w:t>
      </w:r>
    </w:p>
    <w:p w14:paraId="003353AB" w14:textId="5FBF0D35" w:rsidR="00B03DBA" w:rsidRPr="00C758B1" w:rsidRDefault="00C7771E" w:rsidP="000A5326">
      <w:pPr>
        <w:spacing w:before="120" w:after="0" w:line="276" w:lineRule="auto"/>
        <w:ind w:left="992" w:hanging="992"/>
        <w:rPr>
          <w:rFonts w:ascii="Lato" w:eastAsia="Malgun Gothic" w:hAnsi="Lato"/>
          <w:szCs w:val="24"/>
        </w:rPr>
      </w:pPr>
      <w:r w:rsidRPr="00C758B1">
        <w:rPr>
          <w:rFonts w:ascii="Lato" w:eastAsia="Malgun Gothic" w:hAnsi="Lato"/>
          <w:b/>
          <w:szCs w:val="24"/>
        </w:rPr>
        <w:t>„EP</w:t>
      </w:r>
      <w:r w:rsidRPr="00C758B1">
        <w:rPr>
          <w:rFonts w:ascii="Lato" w:eastAsia="Malgun Gothic" w:hAnsi="Lato"/>
          <w:b/>
          <w:szCs w:val="24"/>
          <w:vertAlign w:val="subscript"/>
        </w:rPr>
        <w:t>m</w:t>
      </w:r>
      <w:r w:rsidRPr="00C758B1">
        <w:rPr>
          <w:rFonts w:ascii="Lato" w:eastAsia="Malgun Gothic" w:hAnsi="Lato"/>
          <w:b/>
          <w:szCs w:val="24"/>
        </w:rPr>
        <w:t>”-</w:t>
      </w:r>
      <w:r w:rsidRPr="00C758B1">
        <w:rPr>
          <w:rFonts w:ascii="Lato" w:eastAsia="Malgun Gothic" w:hAnsi="Lato"/>
          <w:szCs w:val="24"/>
        </w:rPr>
        <w:tab/>
        <w:t>zdolno</w:t>
      </w:r>
      <w:r w:rsidRPr="00C758B1">
        <w:rPr>
          <w:rFonts w:ascii="Lato" w:eastAsia="Malgun Gothic" w:hAnsi="Lato" w:cs="Calibri"/>
          <w:szCs w:val="24"/>
        </w:rPr>
        <w:t>ść</w:t>
      </w:r>
      <w:r w:rsidRPr="00C758B1">
        <w:rPr>
          <w:rFonts w:ascii="Lato" w:eastAsia="Malgun Gothic" w:hAnsi="Lato"/>
          <w:szCs w:val="24"/>
        </w:rPr>
        <w:t xml:space="preserve"> techniczna punkt</w:t>
      </w:r>
      <w:r w:rsidRPr="00C758B1">
        <w:rPr>
          <w:rFonts w:ascii="Lato" w:eastAsia="Malgun Gothic" w:hAnsi="Lato" w:cs="Malgun Gothic"/>
          <w:szCs w:val="24"/>
        </w:rPr>
        <w:t>ó</w:t>
      </w:r>
      <w:r w:rsidRPr="00C758B1">
        <w:rPr>
          <w:rFonts w:ascii="Lato" w:eastAsia="Malgun Gothic" w:hAnsi="Lato"/>
          <w:szCs w:val="24"/>
        </w:rPr>
        <w:t>w wej</w:t>
      </w:r>
      <w:r w:rsidRPr="00C758B1">
        <w:rPr>
          <w:rFonts w:ascii="Lato" w:eastAsia="Malgun Gothic" w:hAnsi="Lato" w:cs="Calibri"/>
          <w:szCs w:val="24"/>
        </w:rPr>
        <w:t>ś</w:t>
      </w:r>
      <w:r w:rsidRPr="00C758B1">
        <w:rPr>
          <w:rFonts w:ascii="Lato" w:eastAsia="Malgun Gothic" w:hAnsi="Lato"/>
          <w:szCs w:val="24"/>
        </w:rPr>
        <w:t>cia poza instalacjami produkcyjnymi, LNG i</w:t>
      </w:r>
      <w:r w:rsidRPr="00C758B1">
        <w:rPr>
          <w:rFonts w:ascii="Lato" w:eastAsia="Malgun Gothic" w:hAnsi="Lato" w:cs="Malgun Gothic"/>
          <w:szCs w:val="24"/>
        </w:rPr>
        <w:t> </w:t>
      </w:r>
      <w:r w:rsidRPr="00C758B1">
        <w:rPr>
          <w:rFonts w:ascii="Lato" w:eastAsia="Malgun Gothic" w:hAnsi="Lato"/>
          <w:szCs w:val="24"/>
        </w:rPr>
        <w:t>magazynowymi, kt</w:t>
      </w:r>
      <w:r w:rsidRPr="00C758B1">
        <w:rPr>
          <w:rFonts w:ascii="Lato" w:eastAsia="Malgun Gothic" w:hAnsi="Lato" w:cs="Malgun Gothic"/>
          <w:szCs w:val="24"/>
        </w:rPr>
        <w:t>ó</w:t>
      </w:r>
      <w:r w:rsidRPr="00C758B1">
        <w:rPr>
          <w:rFonts w:ascii="Lato" w:eastAsia="Malgun Gothic" w:hAnsi="Lato"/>
          <w:szCs w:val="24"/>
        </w:rPr>
        <w:t>rych dotycz</w:t>
      </w:r>
      <w:r w:rsidRPr="00C758B1">
        <w:rPr>
          <w:rFonts w:ascii="Lato" w:eastAsia="Malgun Gothic" w:hAnsi="Lato" w:cs="Calibri"/>
          <w:szCs w:val="24"/>
        </w:rPr>
        <w:t>ą</w:t>
      </w:r>
      <w:r w:rsidRPr="00C758B1">
        <w:rPr>
          <w:rFonts w:ascii="Lato" w:eastAsia="Malgun Gothic" w:hAnsi="Lato"/>
          <w:szCs w:val="24"/>
        </w:rPr>
        <w:t xml:space="preserve"> parametry P</w:t>
      </w:r>
      <w:r w:rsidRPr="00C758B1">
        <w:rPr>
          <w:rFonts w:ascii="Lato" w:eastAsia="Malgun Gothic" w:hAnsi="Lato"/>
          <w:szCs w:val="24"/>
          <w:vertAlign w:val="subscript"/>
        </w:rPr>
        <w:t>m</w:t>
      </w:r>
      <w:r w:rsidRPr="00C758B1">
        <w:rPr>
          <w:rFonts w:ascii="Lato" w:eastAsia="Malgun Gothic" w:hAnsi="Lato"/>
          <w:szCs w:val="24"/>
        </w:rPr>
        <w:t>, S</w:t>
      </w:r>
      <w:r w:rsidRPr="00C758B1">
        <w:rPr>
          <w:rFonts w:ascii="Lato" w:eastAsia="Malgun Gothic" w:hAnsi="Lato"/>
          <w:szCs w:val="24"/>
          <w:vertAlign w:val="subscript"/>
        </w:rPr>
        <w:t>m</w:t>
      </w:r>
      <w:r w:rsidRPr="00C758B1">
        <w:rPr>
          <w:rFonts w:ascii="Lato" w:eastAsia="Malgun Gothic" w:hAnsi="Lato"/>
          <w:szCs w:val="24"/>
        </w:rPr>
        <w:t xml:space="preserve"> i LNG</w:t>
      </w:r>
      <w:r w:rsidRPr="00C758B1">
        <w:rPr>
          <w:rFonts w:ascii="Lato" w:eastAsia="Malgun Gothic" w:hAnsi="Lato"/>
          <w:szCs w:val="24"/>
          <w:vertAlign w:val="subscript"/>
        </w:rPr>
        <w:t>m</w:t>
      </w:r>
      <w:r w:rsidRPr="00C758B1">
        <w:rPr>
          <w:rFonts w:ascii="Lato" w:eastAsia="Malgun Gothic" w:hAnsi="Lato"/>
          <w:szCs w:val="24"/>
        </w:rPr>
        <w:t>, oznacza sum</w:t>
      </w:r>
      <w:r w:rsidRPr="00C758B1">
        <w:rPr>
          <w:rFonts w:ascii="Lato" w:eastAsia="Malgun Gothic" w:hAnsi="Lato" w:cs="Calibri"/>
          <w:szCs w:val="24"/>
        </w:rPr>
        <w:t>ę</w:t>
      </w:r>
      <w:r w:rsidRPr="00C758B1">
        <w:rPr>
          <w:rFonts w:ascii="Lato" w:eastAsia="Malgun Gothic" w:hAnsi="Lato"/>
          <w:szCs w:val="24"/>
        </w:rPr>
        <w:t xml:space="preserve"> warto</w:t>
      </w:r>
      <w:r w:rsidRPr="00C758B1">
        <w:rPr>
          <w:rFonts w:ascii="Lato" w:eastAsia="Malgun Gothic" w:hAnsi="Lato" w:cs="Calibri"/>
          <w:szCs w:val="24"/>
        </w:rPr>
        <w:t>ś</w:t>
      </w:r>
      <w:r w:rsidRPr="00C758B1">
        <w:rPr>
          <w:rFonts w:ascii="Lato" w:eastAsia="Malgun Gothic" w:hAnsi="Lato"/>
          <w:szCs w:val="24"/>
        </w:rPr>
        <w:t>ci zdolno</w:t>
      </w:r>
      <w:r w:rsidRPr="00C758B1">
        <w:rPr>
          <w:rFonts w:ascii="Lato" w:eastAsia="Malgun Gothic" w:hAnsi="Lato" w:cs="Calibri"/>
          <w:szCs w:val="24"/>
        </w:rPr>
        <w:t>ś</w:t>
      </w:r>
      <w:r w:rsidRPr="00C758B1">
        <w:rPr>
          <w:rFonts w:ascii="Lato" w:eastAsia="Malgun Gothic" w:hAnsi="Lato"/>
          <w:szCs w:val="24"/>
        </w:rPr>
        <w:t>ci technicznej wszystkich granicznych punkt</w:t>
      </w:r>
      <w:r w:rsidRPr="00C758B1">
        <w:rPr>
          <w:rFonts w:ascii="Lato" w:eastAsia="Malgun Gothic" w:hAnsi="Lato" w:cs="Malgun Gothic"/>
          <w:szCs w:val="24"/>
        </w:rPr>
        <w:t>ó</w:t>
      </w:r>
      <w:r w:rsidRPr="00C758B1">
        <w:rPr>
          <w:rFonts w:ascii="Lato" w:eastAsia="Malgun Gothic" w:hAnsi="Lato"/>
          <w:szCs w:val="24"/>
        </w:rPr>
        <w:t>w wej</w:t>
      </w:r>
      <w:r w:rsidRPr="00C758B1">
        <w:rPr>
          <w:rFonts w:ascii="Lato" w:eastAsia="Malgun Gothic" w:hAnsi="Lato" w:cs="Calibri"/>
          <w:szCs w:val="24"/>
        </w:rPr>
        <w:t>ś</w:t>
      </w:r>
      <w:r w:rsidRPr="00C758B1">
        <w:rPr>
          <w:rFonts w:ascii="Lato" w:eastAsia="Malgun Gothic" w:hAnsi="Lato"/>
          <w:szCs w:val="24"/>
        </w:rPr>
        <w:t xml:space="preserve">cia zdolnych do zaopatrzenia w gaz </w:t>
      </w:r>
      <w:r w:rsidR="00F46D86">
        <w:rPr>
          <w:rFonts w:ascii="Lato" w:eastAsia="Malgun Gothic" w:hAnsi="Lato"/>
          <w:szCs w:val="24"/>
        </w:rPr>
        <w:t xml:space="preserve">ziemny </w:t>
      </w:r>
      <w:r w:rsidRPr="00C758B1">
        <w:rPr>
          <w:rFonts w:ascii="Lato" w:eastAsia="Malgun Gothic" w:hAnsi="Lato"/>
          <w:szCs w:val="24"/>
        </w:rPr>
        <w:t>obszaru analizowanego;</w:t>
      </w:r>
    </w:p>
    <w:p w14:paraId="4C1D88FC" w14:textId="77777777" w:rsidR="00B03DBA" w:rsidRPr="00C758B1" w:rsidRDefault="00C7771E" w:rsidP="000A5326">
      <w:pPr>
        <w:spacing w:before="120" w:after="0" w:line="276" w:lineRule="auto"/>
        <w:ind w:left="992" w:hanging="992"/>
        <w:rPr>
          <w:rFonts w:ascii="Lato" w:eastAsia="Malgun Gothic" w:hAnsi="Lato"/>
          <w:szCs w:val="24"/>
        </w:rPr>
      </w:pPr>
      <w:r w:rsidRPr="00C758B1">
        <w:rPr>
          <w:rFonts w:ascii="Lato" w:eastAsia="Malgun Gothic" w:hAnsi="Lato"/>
          <w:b/>
          <w:szCs w:val="24"/>
        </w:rPr>
        <w:t>„P</w:t>
      </w:r>
      <w:r w:rsidRPr="00C758B1">
        <w:rPr>
          <w:rFonts w:ascii="Lato" w:eastAsia="Malgun Gothic" w:hAnsi="Lato"/>
          <w:b/>
          <w:szCs w:val="24"/>
          <w:vertAlign w:val="subscript"/>
        </w:rPr>
        <w:t>m</w:t>
      </w:r>
      <w:r w:rsidRPr="00C758B1">
        <w:rPr>
          <w:rFonts w:ascii="Lato" w:eastAsia="Malgun Gothic" w:hAnsi="Lato"/>
          <w:b/>
          <w:szCs w:val="24"/>
        </w:rPr>
        <w:t>”-</w:t>
      </w:r>
      <w:r w:rsidRPr="00C758B1">
        <w:rPr>
          <w:rFonts w:ascii="Lato" w:eastAsia="Malgun Gothic" w:hAnsi="Lato"/>
          <w:szCs w:val="24"/>
        </w:rPr>
        <w:t xml:space="preserve"> </w:t>
      </w:r>
      <w:r w:rsidRPr="00C758B1">
        <w:rPr>
          <w:rFonts w:ascii="Lato" w:eastAsia="Malgun Gothic" w:hAnsi="Lato"/>
          <w:szCs w:val="24"/>
        </w:rPr>
        <w:tab/>
        <w:t>maksymalna techniczna zdolno</w:t>
      </w:r>
      <w:r w:rsidRPr="00C758B1">
        <w:rPr>
          <w:rFonts w:ascii="Lato" w:eastAsia="Malgun Gothic" w:hAnsi="Lato" w:cs="Calibri"/>
          <w:szCs w:val="24"/>
        </w:rPr>
        <w:t>ść</w:t>
      </w:r>
      <w:r w:rsidRPr="00C758B1">
        <w:rPr>
          <w:rFonts w:ascii="Lato" w:eastAsia="Malgun Gothic" w:hAnsi="Lato"/>
          <w:szCs w:val="24"/>
        </w:rPr>
        <w:t xml:space="preserve"> produkcyjna oznacza sum</w:t>
      </w:r>
      <w:r w:rsidRPr="00C758B1">
        <w:rPr>
          <w:rFonts w:ascii="Lato" w:eastAsia="Malgun Gothic" w:hAnsi="Lato" w:cs="Calibri"/>
          <w:szCs w:val="24"/>
        </w:rPr>
        <w:t>ę</w:t>
      </w:r>
      <w:r w:rsidRPr="00C758B1">
        <w:rPr>
          <w:rFonts w:ascii="Lato" w:eastAsia="Malgun Gothic" w:hAnsi="Lato"/>
          <w:szCs w:val="24"/>
        </w:rPr>
        <w:t xml:space="preserve"> maksymalnych warto</w:t>
      </w:r>
      <w:r w:rsidRPr="00C758B1">
        <w:rPr>
          <w:rFonts w:ascii="Lato" w:eastAsia="Malgun Gothic" w:hAnsi="Lato" w:cs="Calibri"/>
          <w:szCs w:val="24"/>
        </w:rPr>
        <w:t>ś</w:t>
      </w:r>
      <w:r w:rsidRPr="00C758B1">
        <w:rPr>
          <w:rFonts w:ascii="Lato" w:eastAsia="Malgun Gothic" w:hAnsi="Lato"/>
          <w:szCs w:val="24"/>
        </w:rPr>
        <w:t>ci technicznej dziennej zdolno</w:t>
      </w:r>
      <w:r w:rsidRPr="00C758B1">
        <w:rPr>
          <w:rFonts w:ascii="Lato" w:eastAsia="Malgun Gothic" w:hAnsi="Lato" w:cs="Calibri"/>
          <w:szCs w:val="24"/>
        </w:rPr>
        <w:t>ś</w:t>
      </w:r>
      <w:r w:rsidRPr="00C758B1">
        <w:rPr>
          <w:rFonts w:ascii="Lato" w:eastAsia="Malgun Gothic" w:hAnsi="Lato"/>
          <w:szCs w:val="24"/>
        </w:rPr>
        <w:t>ci produkcyjnej wszystkich instalacji produkcyjnych, kt</w:t>
      </w:r>
      <w:r w:rsidRPr="00C758B1">
        <w:rPr>
          <w:rFonts w:ascii="Lato" w:eastAsia="Malgun Gothic" w:hAnsi="Lato" w:cs="Malgun Gothic"/>
          <w:szCs w:val="24"/>
        </w:rPr>
        <w:t>ó</w:t>
      </w:r>
      <w:r w:rsidRPr="00C758B1">
        <w:rPr>
          <w:rFonts w:ascii="Lato" w:eastAsia="Malgun Gothic" w:hAnsi="Lato"/>
          <w:szCs w:val="24"/>
        </w:rPr>
        <w:t>r</w:t>
      </w:r>
      <w:r w:rsidRPr="00C758B1">
        <w:rPr>
          <w:rFonts w:ascii="Lato" w:eastAsia="Malgun Gothic" w:hAnsi="Lato" w:cs="Calibri"/>
          <w:szCs w:val="24"/>
        </w:rPr>
        <w:t>ą</w:t>
      </w:r>
      <w:r w:rsidRPr="00C758B1">
        <w:rPr>
          <w:rFonts w:ascii="Lato" w:eastAsia="Malgun Gothic" w:hAnsi="Lato"/>
          <w:szCs w:val="24"/>
        </w:rPr>
        <w:t xml:space="preserve"> mo</w:t>
      </w:r>
      <w:r w:rsidRPr="00C758B1">
        <w:rPr>
          <w:rFonts w:ascii="Lato" w:eastAsia="Malgun Gothic" w:hAnsi="Lato" w:cs="Calibri"/>
          <w:szCs w:val="24"/>
        </w:rPr>
        <w:t>ż</w:t>
      </w:r>
      <w:r w:rsidRPr="00C758B1">
        <w:rPr>
          <w:rFonts w:ascii="Lato" w:eastAsia="Malgun Gothic" w:hAnsi="Lato"/>
          <w:szCs w:val="24"/>
        </w:rPr>
        <w:t>na dostarczy</w:t>
      </w:r>
      <w:r w:rsidRPr="00C758B1">
        <w:rPr>
          <w:rFonts w:ascii="Lato" w:eastAsia="Malgun Gothic" w:hAnsi="Lato" w:cs="Calibri"/>
          <w:szCs w:val="24"/>
        </w:rPr>
        <w:t>ć</w:t>
      </w:r>
      <w:r w:rsidRPr="00C758B1">
        <w:rPr>
          <w:rFonts w:ascii="Lato" w:eastAsia="Malgun Gothic" w:hAnsi="Lato"/>
          <w:szCs w:val="24"/>
        </w:rPr>
        <w:t xml:space="preserve"> do punkt</w:t>
      </w:r>
      <w:r w:rsidRPr="00C758B1">
        <w:rPr>
          <w:rFonts w:ascii="Lato" w:eastAsia="Malgun Gothic" w:hAnsi="Lato" w:cs="Malgun Gothic"/>
          <w:szCs w:val="24"/>
        </w:rPr>
        <w:t>ó</w:t>
      </w:r>
      <w:r w:rsidRPr="00C758B1">
        <w:rPr>
          <w:rFonts w:ascii="Lato" w:eastAsia="Malgun Gothic" w:hAnsi="Lato"/>
          <w:szCs w:val="24"/>
        </w:rPr>
        <w:t>w wej</w:t>
      </w:r>
      <w:r w:rsidRPr="00C758B1">
        <w:rPr>
          <w:rFonts w:ascii="Lato" w:eastAsia="Malgun Gothic" w:hAnsi="Lato" w:cs="Calibri"/>
          <w:szCs w:val="24"/>
        </w:rPr>
        <w:t>ś</w:t>
      </w:r>
      <w:r w:rsidRPr="00C758B1">
        <w:rPr>
          <w:rFonts w:ascii="Lato" w:eastAsia="Malgun Gothic" w:hAnsi="Lato"/>
          <w:szCs w:val="24"/>
        </w:rPr>
        <w:t>cia na obszarze analizowanym;</w:t>
      </w:r>
    </w:p>
    <w:p w14:paraId="241CF86D" w14:textId="77777777" w:rsidR="00B03DBA" w:rsidRPr="00C758B1" w:rsidRDefault="00C7771E" w:rsidP="000A5326">
      <w:pPr>
        <w:spacing w:before="120" w:after="0" w:line="276" w:lineRule="auto"/>
        <w:ind w:left="992" w:hanging="992"/>
        <w:rPr>
          <w:rFonts w:ascii="Lato" w:eastAsia="Malgun Gothic" w:hAnsi="Lato"/>
          <w:szCs w:val="24"/>
        </w:rPr>
      </w:pPr>
      <w:r w:rsidRPr="00C758B1">
        <w:rPr>
          <w:rFonts w:ascii="Lato" w:eastAsia="Malgun Gothic" w:hAnsi="Lato"/>
          <w:b/>
          <w:szCs w:val="24"/>
        </w:rPr>
        <w:t>„S</w:t>
      </w:r>
      <w:r w:rsidRPr="00C758B1">
        <w:rPr>
          <w:rFonts w:ascii="Lato" w:eastAsia="Malgun Gothic" w:hAnsi="Lato"/>
          <w:b/>
          <w:szCs w:val="24"/>
          <w:vertAlign w:val="subscript"/>
        </w:rPr>
        <w:t>m</w:t>
      </w:r>
      <w:r w:rsidRPr="00C758B1">
        <w:rPr>
          <w:rFonts w:ascii="Lato" w:eastAsia="Malgun Gothic" w:hAnsi="Lato"/>
          <w:b/>
          <w:szCs w:val="24"/>
        </w:rPr>
        <w:t>”-</w:t>
      </w:r>
      <w:r w:rsidRPr="00C758B1">
        <w:rPr>
          <w:rFonts w:ascii="Lato" w:eastAsia="Malgun Gothic" w:hAnsi="Lato"/>
          <w:szCs w:val="24"/>
        </w:rPr>
        <w:tab/>
        <w:t>maksymalna techniczna zdolno</w:t>
      </w:r>
      <w:r w:rsidRPr="00C758B1">
        <w:rPr>
          <w:rFonts w:ascii="Lato" w:eastAsia="Malgun Gothic" w:hAnsi="Lato" w:cs="Calibri"/>
          <w:szCs w:val="24"/>
        </w:rPr>
        <w:t>ść</w:t>
      </w:r>
      <w:r w:rsidRPr="00C758B1">
        <w:rPr>
          <w:rFonts w:ascii="Lato" w:eastAsia="Malgun Gothic" w:hAnsi="Lato"/>
          <w:szCs w:val="24"/>
        </w:rPr>
        <w:t xml:space="preserve"> odbioru z instalacji magazynowych oznacza sum</w:t>
      </w:r>
      <w:r w:rsidRPr="00C758B1">
        <w:rPr>
          <w:rFonts w:ascii="Lato" w:eastAsia="Malgun Gothic" w:hAnsi="Lato" w:cs="Calibri"/>
          <w:szCs w:val="24"/>
        </w:rPr>
        <w:t>ę</w:t>
      </w:r>
      <w:r w:rsidRPr="00C758B1">
        <w:rPr>
          <w:rFonts w:ascii="Lato" w:eastAsia="Malgun Gothic" w:hAnsi="Lato"/>
          <w:szCs w:val="24"/>
        </w:rPr>
        <w:t xml:space="preserve"> warto</w:t>
      </w:r>
      <w:r w:rsidRPr="00C758B1">
        <w:rPr>
          <w:rFonts w:ascii="Lato" w:eastAsia="Malgun Gothic" w:hAnsi="Lato" w:cs="Calibri"/>
          <w:szCs w:val="24"/>
        </w:rPr>
        <w:t>ś</w:t>
      </w:r>
      <w:r w:rsidRPr="00C758B1">
        <w:rPr>
          <w:rFonts w:ascii="Lato" w:eastAsia="Malgun Gothic" w:hAnsi="Lato"/>
          <w:szCs w:val="24"/>
        </w:rPr>
        <w:t>ci maksymalnej technicznej dziennej zdolno</w:t>
      </w:r>
      <w:r w:rsidRPr="00C758B1">
        <w:rPr>
          <w:rFonts w:ascii="Lato" w:eastAsia="Malgun Gothic" w:hAnsi="Lato" w:cs="Calibri"/>
          <w:szCs w:val="24"/>
        </w:rPr>
        <w:t>ś</w:t>
      </w:r>
      <w:r w:rsidRPr="00C758B1">
        <w:rPr>
          <w:rFonts w:ascii="Lato" w:eastAsia="Malgun Gothic" w:hAnsi="Lato"/>
          <w:szCs w:val="24"/>
        </w:rPr>
        <w:t>ci odbioru ze</w:t>
      </w:r>
      <w:r w:rsidRPr="00C758B1">
        <w:rPr>
          <w:rFonts w:ascii="Lato" w:eastAsia="Malgun Gothic" w:hAnsi="Lato" w:cs="Malgun Gothic"/>
          <w:szCs w:val="24"/>
        </w:rPr>
        <w:t> </w:t>
      </w:r>
      <w:r w:rsidRPr="00C758B1">
        <w:rPr>
          <w:rFonts w:ascii="Lato" w:eastAsia="Malgun Gothic" w:hAnsi="Lato"/>
          <w:szCs w:val="24"/>
        </w:rPr>
        <w:t>wszystkich instalacji magazynowych, kt</w:t>
      </w:r>
      <w:r w:rsidRPr="00C758B1">
        <w:rPr>
          <w:rFonts w:ascii="Lato" w:eastAsia="Malgun Gothic" w:hAnsi="Lato" w:cs="Malgun Gothic"/>
          <w:szCs w:val="24"/>
        </w:rPr>
        <w:t>ó</w:t>
      </w:r>
      <w:r w:rsidRPr="00C758B1">
        <w:rPr>
          <w:rFonts w:ascii="Lato" w:eastAsia="Malgun Gothic" w:hAnsi="Lato"/>
          <w:szCs w:val="24"/>
        </w:rPr>
        <w:t>ra mo</w:t>
      </w:r>
      <w:r w:rsidRPr="00C758B1">
        <w:rPr>
          <w:rFonts w:ascii="Lato" w:eastAsia="Malgun Gothic" w:hAnsi="Lato" w:cs="Calibri"/>
          <w:szCs w:val="24"/>
        </w:rPr>
        <w:t>ż</w:t>
      </w:r>
      <w:r w:rsidRPr="00C758B1">
        <w:rPr>
          <w:rFonts w:ascii="Lato" w:eastAsia="Malgun Gothic" w:hAnsi="Lato"/>
          <w:szCs w:val="24"/>
        </w:rPr>
        <w:t>e by</w:t>
      </w:r>
      <w:r w:rsidRPr="00C758B1">
        <w:rPr>
          <w:rFonts w:ascii="Lato" w:eastAsia="Malgun Gothic" w:hAnsi="Lato" w:cs="Calibri"/>
          <w:szCs w:val="24"/>
        </w:rPr>
        <w:t>ć</w:t>
      </w:r>
      <w:r w:rsidRPr="00C758B1">
        <w:rPr>
          <w:rFonts w:ascii="Lato" w:eastAsia="Malgun Gothic" w:hAnsi="Lato"/>
          <w:szCs w:val="24"/>
        </w:rPr>
        <w:t xml:space="preserve"> dostarczona do punktów wej</w:t>
      </w:r>
      <w:r w:rsidRPr="00C758B1">
        <w:rPr>
          <w:rFonts w:ascii="Lato" w:eastAsia="Malgun Gothic" w:hAnsi="Lato" w:cs="Calibri"/>
          <w:szCs w:val="24"/>
        </w:rPr>
        <w:t>ś</w:t>
      </w:r>
      <w:r w:rsidRPr="00C758B1">
        <w:rPr>
          <w:rFonts w:ascii="Lato" w:eastAsia="Malgun Gothic" w:hAnsi="Lato"/>
          <w:szCs w:val="24"/>
        </w:rPr>
        <w:t>cia na</w:t>
      </w:r>
      <w:r w:rsidRPr="00C758B1">
        <w:rPr>
          <w:rFonts w:ascii="Lato" w:eastAsia="Malgun Gothic" w:hAnsi="Lato" w:cs="Malgun Gothic"/>
          <w:szCs w:val="24"/>
        </w:rPr>
        <w:t> </w:t>
      </w:r>
      <w:r w:rsidRPr="00C758B1">
        <w:rPr>
          <w:rFonts w:ascii="Lato" w:eastAsia="Malgun Gothic" w:hAnsi="Lato"/>
          <w:szCs w:val="24"/>
        </w:rPr>
        <w:t>obszarze analizowanym, z uwzgl</w:t>
      </w:r>
      <w:r w:rsidRPr="00C758B1">
        <w:rPr>
          <w:rFonts w:ascii="Lato" w:eastAsia="Malgun Gothic" w:hAnsi="Lato" w:cs="Calibri"/>
          <w:szCs w:val="24"/>
        </w:rPr>
        <w:t>ę</w:t>
      </w:r>
      <w:r w:rsidRPr="00C758B1">
        <w:rPr>
          <w:rFonts w:ascii="Lato" w:eastAsia="Malgun Gothic" w:hAnsi="Lato"/>
          <w:szCs w:val="24"/>
        </w:rPr>
        <w:t>dnieniem ich poszczeg</w:t>
      </w:r>
      <w:r w:rsidRPr="00C758B1">
        <w:rPr>
          <w:rFonts w:ascii="Lato" w:eastAsia="Malgun Gothic" w:hAnsi="Lato" w:cs="Malgun Gothic"/>
          <w:szCs w:val="24"/>
        </w:rPr>
        <w:t>ó</w:t>
      </w:r>
      <w:r w:rsidRPr="00C758B1">
        <w:rPr>
          <w:rFonts w:ascii="Lato" w:eastAsia="Malgun Gothic" w:hAnsi="Lato"/>
          <w:szCs w:val="24"/>
        </w:rPr>
        <w:t>lnych w</w:t>
      </w:r>
      <w:r w:rsidRPr="00C758B1">
        <w:rPr>
          <w:rFonts w:ascii="Lato" w:eastAsia="Malgun Gothic" w:hAnsi="Lato" w:cs="Malgun Gothic"/>
          <w:szCs w:val="24"/>
        </w:rPr>
        <w:t>ł</w:t>
      </w:r>
      <w:r w:rsidRPr="00C758B1">
        <w:rPr>
          <w:rFonts w:ascii="Lato" w:eastAsia="Malgun Gothic" w:hAnsi="Lato"/>
          <w:szCs w:val="24"/>
        </w:rPr>
        <w:t>a</w:t>
      </w:r>
      <w:r w:rsidRPr="00C758B1">
        <w:rPr>
          <w:rFonts w:ascii="Lato" w:eastAsia="Malgun Gothic" w:hAnsi="Lato" w:cs="Calibri"/>
          <w:szCs w:val="24"/>
        </w:rPr>
        <w:t>ś</w:t>
      </w:r>
      <w:r w:rsidRPr="00C758B1">
        <w:rPr>
          <w:rFonts w:ascii="Lato" w:eastAsia="Malgun Gothic" w:hAnsi="Lato"/>
          <w:szCs w:val="24"/>
        </w:rPr>
        <w:t>ciwo</w:t>
      </w:r>
      <w:r w:rsidRPr="00C758B1">
        <w:rPr>
          <w:rFonts w:ascii="Lato" w:eastAsia="Malgun Gothic" w:hAnsi="Lato" w:cs="Calibri"/>
          <w:szCs w:val="24"/>
        </w:rPr>
        <w:t>ś</w:t>
      </w:r>
      <w:r w:rsidRPr="00C758B1">
        <w:rPr>
          <w:rFonts w:ascii="Lato" w:eastAsia="Malgun Gothic" w:hAnsi="Lato"/>
          <w:szCs w:val="24"/>
        </w:rPr>
        <w:t>ci fizycznych;</w:t>
      </w:r>
    </w:p>
    <w:p w14:paraId="06733D66" w14:textId="77777777" w:rsidR="00B03DBA" w:rsidRPr="00C758B1" w:rsidRDefault="00C7771E" w:rsidP="000A5326">
      <w:pPr>
        <w:spacing w:before="120" w:after="0" w:line="276" w:lineRule="auto"/>
        <w:ind w:left="992" w:hanging="992"/>
        <w:rPr>
          <w:rFonts w:ascii="Lato" w:eastAsia="Malgun Gothic" w:hAnsi="Lato"/>
          <w:szCs w:val="24"/>
        </w:rPr>
      </w:pPr>
      <w:r w:rsidRPr="00C758B1">
        <w:rPr>
          <w:rFonts w:ascii="Lato" w:eastAsia="Malgun Gothic" w:hAnsi="Lato"/>
          <w:b/>
          <w:szCs w:val="24"/>
        </w:rPr>
        <w:lastRenderedPageBreak/>
        <w:t>„LNG</w:t>
      </w:r>
      <w:r w:rsidRPr="00C758B1">
        <w:rPr>
          <w:rFonts w:ascii="Lato" w:eastAsia="Malgun Gothic" w:hAnsi="Lato"/>
          <w:b/>
          <w:szCs w:val="24"/>
          <w:vertAlign w:val="subscript"/>
        </w:rPr>
        <w:t>m</w:t>
      </w:r>
      <w:r w:rsidRPr="00C758B1">
        <w:rPr>
          <w:rFonts w:ascii="Lato" w:eastAsia="Malgun Gothic" w:hAnsi="Lato"/>
          <w:b/>
          <w:szCs w:val="24"/>
        </w:rPr>
        <w:t>”-</w:t>
      </w:r>
      <w:r w:rsidRPr="00C758B1">
        <w:rPr>
          <w:rFonts w:ascii="Lato" w:eastAsia="Malgun Gothic" w:hAnsi="Lato"/>
          <w:b/>
          <w:szCs w:val="24"/>
        </w:rPr>
        <w:tab/>
      </w:r>
      <w:r w:rsidRPr="00C758B1">
        <w:rPr>
          <w:rFonts w:ascii="Lato" w:eastAsia="Malgun Gothic" w:hAnsi="Lato"/>
          <w:szCs w:val="24"/>
        </w:rPr>
        <w:t>maksymalna techniczna zdolno</w:t>
      </w:r>
      <w:r w:rsidRPr="00C758B1">
        <w:rPr>
          <w:rFonts w:ascii="Lato" w:eastAsia="Malgun Gothic" w:hAnsi="Lato" w:cs="Calibri"/>
          <w:szCs w:val="24"/>
        </w:rPr>
        <w:t>ść</w:t>
      </w:r>
      <w:r w:rsidRPr="00C758B1">
        <w:rPr>
          <w:rFonts w:ascii="Lato" w:eastAsia="Malgun Gothic" w:hAnsi="Lato"/>
          <w:szCs w:val="24"/>
        </w:rPr>
        <w:t xml:space="preserve"> obioru z instalacji LNG oznacza sum</w:t>
      </w:r>
      <w:r w:rsidRPr="00C758B1">
        <w:rPr>
          <w:rFonts w:ascii="Lato" w:eastAsia="Malgun Gothic" w:hAnsi="Lato" w:cs="Calibri"/>
          <w:szCs w:val="24"/>
        </w:rPr>
        <w:t>ę</w:t>
      </w:r>
      <w:r w:rsidRPr="00C758B1">
        <w:rPr>
          <w:rFonts w:ascii="Lato" w:eastAsia="Malgun Gothic" w:hAnsi="Lato"/>
          <w:szCs w:val="24"/>
        </w:rPr>
        <w:t xml:space="preserve"> warto</w:t>
      </w:r>
      <w:r w:rsidRPr="00C758B1">
        <w:rPr>
          <w:rFonts w:ascii="Lato" w:eastAsia="Malgun Gothic" w:hAnsi="Lato" w:cs="Calibri"/>
          <w:szCs w:val="24"/>
        </w:rPr>
        <w:t>ś</w:t>
      </w:r>
      <w:r w:rsidRPr="00C758B1">
        <w:rPr>
          <w:rFonts w:ascii="Lato" w:eastAsia="Malgun Gothic" w:hAnsi="Lato"/>
          <w:szCs w:val="24"/>
        </w:rPr>
        <w:t>ci maksymalnej technicznej dziennej zdolno</w:t>
      </w:r>
      <w:r w:rsidRPr="00C758B1">
        <w:rPr>
          <w:rFonts w:ascii="Lato" w:eastAsia="Malgun Gothic" w:hAnsi="Lato" w:cs="Calibri"/>
          <w:szCs w:val="24"/>
        </w:rPr>
        <w:t>ś</w:t>
      </w:r>
      <w:r w:rsidRPr="00C758B1">
        <w:rPr>
          <w:rFonts w:ascii="Lato" w:eastAsia="Malgun Gothic" w:hAnsi="Lato"/>
          <w:szCs w:val="24"/>
        </w:rPr>
        <w:t>ci wysy</w:t>
      </w:r>
      <w:r w:rsidRPr="00C758B1">
        <w:rPr>
          <w:rFonts w:ascii="Lato" w:eastAsia="Malgun Gothic" w:hAnsi="Lato" w:cs="Malgun Gothic"/>
          <w:szCs w:val="24"/>
        </w:rPr>
        <w:t>ł</w:t>
      </w:r>
      <w:r w:rsidRPr="00C758B1">
        <w:rPr>
          <w:rFonts w:ascii="Lato" w:eastAsia="Malgun Gothic" w:hAnsi="Lato"/>
          <w:szCs w:val="24"/>
        </w:rPr>
        <w:t>kowej wszystkich instalacji LNG na obszarze analizowanym, z uwzgl</w:t>
      </w:r>
      <w:r w:rsidRPr="00C758B1">
        <w:rPr>
          <w:rFonts w:ascii="Lato" w:eastAsia="Malgun Gothic" w:hAnsi="Lato" w:cs="Calibri"/>
          <w:szCs w:val="24"/>
        </w:rPr>
        <w:t>ę</w:t>
      </w:r>
      <w:r w:rsidRPr="00C758B1">
        <w:rPr>
          <w:rFonts w:ascii="Lato" w:eastAsia="Malgun Gothic" w:hAnsi="Lato"/>
          <w:szCs w:val="24"/>
        </w:rPr>
        <w:t>dnieniem element</w:t>
      </w:r>
      <w:r w:rsidRPr="00C758B1">
        <w:rPr>
          <w:rFonts w:ascii="Lato" w:eastAsia="Malgun Gothic" w:hAnsi="Lato" w:cs="Malgun Gothic"/>
          <w:szCs w:val="24"/>
        </w:rPr>
        <w:t>ó</w:t>
      </w:r>
      <w:r w:rsidRPr="00C758B1">
        <w:rPr>
          <w:rFonts w:ascii="Lato" w:eastAsia="Malgun Gothic" w:hAnsi="Lato"/>
          <w:szCs w:val="24"/>
        </w:rPr>
        <w:t>w krytycznych, takich jak roz</w:t>
      </w:r>
      <w:r w:rsidRPr="00C758B1">
        <w:rPr>
          <w:rFonts w:ascii="Lato" w:eastAsia="Malgun Gothic" w:hAnsi="Lato" w:cs="Malgun Gothic"/>
          <w:szCs w:val="24"/>
        </w:rPr>
        <w:t>ł</w:t>
      </w:r>
      <w:r w:rsidRPr="00C758B1">
        <w:rPr>
          <w:rFonts w:ascii="Lato" w:eastAsia="Malgun Gothic" w:hAnsi="Lato"/>
          <w:szCs w:val="24"/>
        </w:rPr>
        <w:t>adunek, us</w:t>
      </w:r>
      <w:r w:rsidRPr="00C758B1">
        <w:rPr>
          <w:rFonts w:ascii="Lato" w:eastAsia="Malgun Gothic" w:hAnsi="Lato" w:cs="Malgun Gothic"/>
          <w:szCs w:val="24"/>
        </w:rPr>
        <w:t>ł</w:t>
      </w:r>
      <w:r w:rsidRPr="00C758B1">
        <w:rPr>
          <w:rFonts w:ascii="Lato" w:eastAsia="Malgun Gothic" w:hAnsi="Lato"/>
          <w:szCs w:val="24"/>
        </w:rPr>
        <w:t>ugi pomocnicze, tymczasowe magazynowanie i regazyfikacja LNG oraz techniczna zdolno</w:t>
      </w:r>
      <w:r w:rsidRPr="00C758B1">
        <w:rPr>
          <w:rFonts w:ascii="Lato" w:eastAsia="Malgun Gothic" w:hAnsi="Lato" w:cs="Calibri"/>
          <w:szCs w:val="24"/>
        </w:rPr>
        <w:t>ść</w:t>
      </w:r>
      <w:r w:rsidRPr="00C758B1">
        <w:rPr>
          <w:rFonts w:ascii="Lato" w:eastAsia="Malgun Gothic" w:hAnsi="Lato"/>
          <w:szCs w:val="24"/>
        </w:rPr>
        <w:t xml:space="preserve"> wysy</w:t>
      </w:r>
      <w:r w:rsidRPr="00C758B1">
        <w:rPr>
          <w:rFonts w:ascii="Lato" w:eastAsia="Malgun Gothic" w:hAnsi="Lato" w:cs="Malgun Gothic"/>
          <w:szCs w:val="24"/>
        </w:rPr>
        <w:t>ł</w:t>
      </w:r>
      <w:r w:rsidRPr="00C758B1">
        <w:rPr>
          <w:rFonts w:ascii="Lato" w:eastAsia="Malgun Gothic" w:hAnsi="Lato"/>
          <w:szCs w:val="24"/>
        </w:rPr>
        <w:t>kowa do systemu;</w:t>
      </w:r>
    </w:p>
    <w:p w14:paraId="0E0736B1" w14:textId="0788D674" w:rsidR="00B03DBA" w:rsidRPr="00C758B1" w:rsidRDefault="00C7771E" w:rsidP="000A5326">
      <w:pPr>
        <w:spacing w:before="120" w:after="0" w:line="276" w:lineRule="auto"/>
        <w:ind w:left="992" w:hanging="992"/>
        <w:rPr>
          <w:rFonts w:ascii="Lato" w:eastAsia="Malgun Gothic" w:hAnsi="Lato"/>
          <w:szCs w:val="24"/>
        </w:rPr>
      </w:pPr>
      <w:r w:rsidRPr="00C758B1">
        <w:rPr>
          <w:rFonts w:ascii="Lato" w:eastAsia="Malgun Gothic" w:hAnsi="Lato"/>
          <w:b/>
          <w:szCs w:val="24"/>
        </w:rPr>
        <w:t>„I</w:t>
      </w:r>
      <w:r w:rsidRPr="00C758B1">
        <w:rPr>
          <w:rFonts w:ascii="Lato" w:eastAsia="Malgun Gothic" w:hAnsi="Lato"/>
          <w:b/>
          <w:szCs w:val="24"/>
          <w:vertAlign w:val="subscript"/>
        </w:rPr>
        <w:t>m</w:t>
      </w:r>
      <w:r w:rsidRPr="00C758B1">
        <w:rPr>
          <w:rFonts w:ascii="Lato" w:eastAsia="Malgun Gothic" w:hAnsi="Lato"/>
          <w:b/>
          <w:szCs w:val="24"/>
        </w:rPr>
        <w:t>”-</w:t>
      </w:r>
      <w:r w:rsidRPr="00C758B1">
        <w:rPr>
          <w:rFonts w:ascii="Lato" w:eastAsia="Malgun Gothic" w:hAnsi="Lato"/>
          <w:szCs w:val="24"/>
        </w:rPr>
        <w:tab/>
        <w:t>zdolno</w:t>
      </w:r>
      <w:r w:rsidRPr="00C758B1">
        <w:rPr>
          <w:rFonts w:ascii="Lato" w:eastAsia="Malgun Gothic" w:hAnsi="Lato" w:cs="Calibri"/>
          <w:szCs w:val="24"/>
        </w:rPr>
        <w:t>ść</w:t>
      </w:r>
      <w:r w:rsidRPr="00C758B1">
        <w:rPr>
          <w:rFonts w:ascii="Lato" w:eastAsia="Malgun Gothic" w:hAnsi="Lato"/>
          <w:szCs w:val="24"/>
        </w:rPr>
        <w:t xml:space="preserve"> techniczna pojedynczej najwi</w:t>
      </w:r>
      <w:r w:rsidRPr="00C758B1">
        <w:rPr>
          <w:rFonts w:ascii="Lato" w:eastAsia="Malgun Gothic" w:hAnsi="Lato" w:cs="Calibri"/>
          <w:szCs w:val="24"/>
        </w:rPr>
        <w:t>ę</w:t>
      </w:r>
      <w:r w:rsidRPr="00C758B1">
        <w:rPr>
          <w:rFonts w:ascii="Lato" w:eastAsia="Malgun Gothic" w:hAnsi="Lato"/>
          <w:szCs w:val="24"/>
        </w:rPr>
        <w:t>kszej infrastruktury gazow</w:t>
      </w:r>
      <w:r w:rsidR="00F46D86">
        <w:rPr>
          <w:rFonts w:ascii="Lato" w:eastAsia="Malgun Gothic" w:hAnsi="Lato"/>
          <w:szCs w:val="24"/>
        </w:rPr>
        <w:t>ej</w:t>
      </w:r>
      <w:r w:rsidRPr="00C758B1">
        <w:rPr>
          <w:rFonts w:ascii="Lato" w:eastAsia="Malgun Gothic" w:hAnsi="Lato"/>
          <w:szCs w:val="24"/>
        </w:rPr>
        <w:t xml:space="preserve"> maj</w:t>
      </w:r>
      <w:r w:rsidRPr="00C758B1">
        <w:rPr>
          <w:rFonts w:ascii="Lato" w:eastAsia="Malgun Gothic" w:hAnsi="Lato" w:cs="Calibri"/>
          <w:szCs w:val="24"/>
        </w:rPr>
        <w:t>ą</w:t>
      </w:r>
      <w:r w:rsidRPr="00C758B1">
        <w:rPr>
          <w:rFonts w:ascii="Lato" w:eastAsia="Malgun Gothic" w:hAnsi="Lato"/>
          <w:szCs w:val="24"/>
        </w:rPr>
        <w:t>cej najwi</w:t>
      </w:r>
      <w:r w:rsidRPr="00C758B1">
        <w:rPr>
          <w:rFonts w:ascii="Lato" w:eastAsia="Malgun Gothic" w:hAnsi="Lato" w:cs="Calibri"/>
          <w:szCs w:val="24"/>
        </w:rPr>
        <w:t>ę</w:t>
      </w:r>
      <w:r w:rsidRPr="00C758B1">
        <w:rPr>
          <w:rFonts w:ascii="Lato" w:eastAsia="Malgun Gothic" w:hAnsi="Lato"/>
          <w:szCs w:val="24"/>
        </w:rPr>
        <w:t>ksz</w:t>
      </w:r>
      <w:r w:rsidRPr="00C758B1">
        <w:rPr>
          <w:rFonts w:ascii="Lato" w:eastAsia="Malgun Gothic" w:hAnsi="Lato" w:cs="Calibri"/>
          <w:szCs w:val="24"/>
        </w:rPr>
        <w:t>ą</w:t>
      </w:r>
      <w:r w:rsidRPr="00C758B1">
        <w:rPr>
          <w:rFonts w:ascii="Lato" w:eastAsia="Malgun Gothic" w:hAnsi="Lato"/>
          <w:szCs w:val="24"/>
        </w:rPr>
        <w:t xml:space="preserve"> zdolno</w:t>
      </w:r>
      <w:r w:rsidRPr="00C758B1">
        <w:rPr>
          <w:rFonts w:ascii="Lato" w:eastAsia="Malgun Gothic" w:hAnsi="Lato" w:cs="Calibri"/>
          <w:szCs w:val="24"/>
        </w:rPr>
        <w:t>ść</w:t>
      </w:r>
      <w:r w:rsidRPr="00C758B1">
        <w:rPr>
          <w:rFonts w:ascii="Lato" w:eastAsia="Malgun Gothic" w:hAnsi="Lato"/>
          <w:szCs w:val="24"/>
        </w:rPr>
        <w:t xml:space="preserve"> zaopatrzenia obszaru analizowanego w gaz</w:t>
      </w:r>
      <w:r w:rsidR="00F46D86">
        <w:rPr>
          <w:rFonts w:ascii="Lato" w:eastAsia="Malgun Gothic" w:hAnsi="Lato"/>
          <w:szCs w:val="24"/>
        </w:rPr>
        <w:t xml:space="preserve"> ziemny</w:t>
      </w:r>
      <w:r w:rsidRPr="00C758B1">
        <w:rPr>
          <w:rFonts w:ascii="Lato" w:eastAsia="Malgun Gothic" w:hAnsi="Lato"/>
          <w:szCs w:val="24"/>
        </w:rPr>
        <w:t>.</w:t>
      </w:r>
    </w:p>
    <w:p w14:paraId="2ADEAAE8" w14:textId="77777777" w:rsidR="00B03DBA" w:rsidRPr="00C758B1" w:rsidRDefault="00C7771E" w:rsidP="000A5326">
      <w:pPr>
        <w:pStyle w:val="Rozdzia2"/>
        <w:rPr>
          <w:rFonts w:ascii="Lato" w:hAnsi="Lato"/>
        </w:rPr>
      </w:pPr>
      <w:bookmarkStart w:id="145" w:name="_Toc140488301"/>
      <w:bookmarkStart w:id="146" w:name="_Toc140580293"/>
      <w:bookmarkStart w:id="147" w:name="_Toc140488302"/>
      <w:bookmarkStart w:id="148" w:name="_Toc140580294"/>
      <w:bookmarkStart w:id="149" w:name="_Toc140488303"/>
      <w:bookmarkStart w:id="150" w:name="_Toc140580295"/>
      <w:bookmarkStart w:id="151" w:name="_Toc140488304"/>
      <w:bookmarkStart w:id="152" w:name="_Toc140580296"/>
      <w:bookmarkStart w:id="153" w:name="_Toc140488305"/>
      <w:bookmarkStart w:id="154" w:name="_Toc140580297"/>
      <w:bookmarkStart w:id="155" w:name="_Toc140488360"/>
      <w:bookmarkStart w:id="156" w:name="_Toc140580352"/>
      <w:bookmarkStart w:id="157" w:name="_Toc140488361"/>
      <w:bookmarkStart w:id="158" w:name="_Toc140580353"/>
      <w:bookmarkStart w:id="159" w:name="_Toc140488362"/>
      <w:bookmarkStart w:id="160" w:name="_Toc140580354"/>
      <w:bookmarkStart w:id="161" w:name="_Toc140488363"/>
      <w:bookmarkStart w:id="162" w:name="_Toc140580355"/>
      <w:bookmarkStart w:id="163" w:name="_Toc140488364"/>
      <w:bookmarkStart w:id="164" w:name="_Toc140580356"/>
      <w:bookmarkStart w:id="165" w:name="_Toc140488365"/>
      <w:bookmarkStart w:id="166" w:name="_Toc140580357"/>
      <w:bookmarkStart w:id="167" w:name="_Toc140488499"/>
      <w:bookmarkStart w:id="168" w:name="_Toc140580491"/>
      <w:bookmarkStart w:id="169" w:name="_Toc140488500"/>
      <w:bookmarkStart w:id="170" w:name="_Toc140580492"/>
      <w:bookmarkStart w:id="171" w:name="_Toc140488501"/>
      <w:bookmarkStart w:id="172" w:name="_Toc140580493"/>
      <w:bookmarkStart w:id="173" w:name="_Toc140488502"/>
      <w:bookmarkStart w:id="174" w:name="_Toc140580494"/>
      <w:bookmarkStart w:id="175" w:name="_Toc140488503"/>
      <w:bookmarkStart w:id="176" w:name="_Toc140580495"/>
      <w:bookmarkStart w:id="177" w:name="_Toc140488586"/>
      <w:bookmarkStart w:id="178" w:name="_Toc140580578"/>
      <w:bookmarkStart w:id="179" w:name="_Toc140488587"/>
      <w:bookmarkStart w:id="180" w:name="_Toc140580579"/>
      <w:bookmarkStart w:id="181" w:name="_Toc140488588"/>
      <w:bookmarkStart w:id="182" w:name="_Toc140580580"/>
      <w:bookmarkStart w:id="183" w:name="_Toc140488642"/>
      <w:bookmarkStart w:id="184" w:name="_Toc140580634"/>
      <w:bookmarkStart w:id="185" w:name="_Toc140488643"/>
      <w:bookmarkStart w:id="186" w:name="_Toc140580635"/>
      <w:bookmarkStart w:id="187" w:name="_Toc140488644"/>
      <w:bookmarkStart w:id="188" w:name="_Toc140580636"/>
      <w:bookmarkStart w:id="189" w:name="_Toc140488645"/>
      <w:bookmarkStart w:id="190" w:name="_Toc140580637"/>
      <w:bookmarkStart w:id="191" w:name="_Toc140488646"/>
      <w:bookmarkStart w:id="192" w:name="_Toc140580638"/>
      <w:bookmarkStart w:id="193" w:name="_Toc140488663"/>
      <w:bookmarkStart w:id="194" w:name="_Toc140580655"/>
      <w:bookmarkStart w:id="195" w:name="_Toc140488664"/>
      <w:bookmarkStart w:id="196" w:name="_Toc140580656"/>
      <w:bookmarkStart w:id="197" w:name="_Toc140488665"/>
      <w:bookmarkStart w:id="198" w:name="_Toc140580657"/>
      <w:bookmarkStart w:id="199" w:name="_Toc140488666"/>
      <w:bookmarkStart w:id="200" w:name="_Toc140580658"/>
      <w:bookmarkStart w:id="201" w:name="_Toc140488667"/>
      <w:bookmarkStart w:id="202" w:name="_Toc140580659"/>
      <w:bookmarkStart w:id="203" w:name="_Toc140488668"/>
      <w:bookmarkStart w:id="204" w:name="_Toc140580660"/>
      <w:bookmarkStart w:id="205" w:name="_Toc140488679"/>
      <w:bookmarkStart w:id="206" w:name="_Toc140580671"/>
      <w:bookmarkStart w:id="207" w:name="_Toc140488800"/>
      <w:bookmarkStart w:id="208" w:name="_Toc140580792"/>
      <w:bookmarkStart w:id="209" w:name="_Toc140488801"/>
      <w:bookmarkStart w:id="210" w:name="_Toc140580793"/>
      <w:bookmarkStart w:id="211" w:name="_Toc140488802"/>
      <w:bookmarkStart w:id="212" w:name="_Toc140580794"/>
      <w:bookmarkStart w:id="213" w:name="_Toc140488812"/>
      <w:bookmarkStart w:id="214" w:name="_Toc140580804"/>
      <w:bookmarkStart w:id="215" w:name="_Toc140488934"/>
      <w:bookmarkStart w:id="216" w:name="_Toc140580926"/>
      <w:bookmarkStart w:id="217" w:name="_Toc140488935"/>
      <w:bookmarkStart w:id="218" w:name="_Toc140580927"/>
      <w:bookmarkStart w:id="219" w:name="_Toc140488936"/>
      <w:bookmarkStart w:id="220" w:name="_Toc140580928"/>
      <w:bookmarkStart w:id="221" w:name="_Toc140488958"/>
      <w:bookmarkStart w:id="222" w:name="_Toc140580950"/>
      <w:bookmarkStart w:id="223" w:name="_Toc12953914"/>
      <w:bookmarkStart w:id="224" w:name="_Toc19782947"/>
      <w:bookmarkStart w:id="225" w:name="_Toc142469569"/>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C758B1">
        <w:rPr>
          <w:rFonts w:ascii="Lato" w:hAnsi="Lato"/>
        </w:rPr>
        <w:t>Wskaźnik N-1 na szczeblu krajowym</w:t>
      </w:r>
      <w:bookmarkEnd w:id="223"/>
      <w:bookmarkEnd w:id="224"/>
      <w:bookmarkEnd w:id="225"/>
    </w:p>
    <w:p w14:paraId="3B4F466C" w14:textId="77777777" w:rsidR="00B03DBA" w:rsidRPr="00C758B1" w:rsidRDefault="00C7771E" w:rsidP="000A5326">
      <w:pPr>
        <w:pStyle w:val="Rozdzia3"/>
        <w:rPr>
          <w:rFonts w:ascii="Lato" w:hAnsi="Lato"/>
        </w:rPr>
      </w:pPr>
      <w:bookmarkStart w:id="226" w:name="_Toc12953915"/>
      <w:bookmarkStart w:id="227" w:name="_Toc19782948"/>
      <w:bookmarkStart w:id="228" w:name="_Toc142469570"/>
      <w:r w:rsidRPr="00C758B1">
        <w:rPr>
          <w:rFonts w:ascii="Lato" w:hAnsi="Lato"/>
        </w:rPr>
        <w:t>Wska</w:t>
      </w:r>
      <w:r w:rsidRPr="00C758B1">
        <w:rPr>
          <w:rFonts w:ascii="Lato" w:hAnsi="Lato" w:cs="Calibri"/>
        </w:rPr>
        <w:t>ź</w:t>
      </w:r>
      <w:r w:rsidRPr="00C758B1">
        <w:rPr>
          <w:rFonts w:ascii="Lato" w:hAnsi="Lato"/>
        </w:rPr>
        <w:t>nik N-1 dla systemu gazu ziemnego wysokometanowego</w:t>
      </w:r>
      <w:bookmarkEnd w:id="226"/>
      <w:bookmarkEnd w:id="227"/>
      <w:bookmarkEnd w:id="228"/>
    </w:p>
    <w:p w14:paraId="6B4D634A" w14:textId="00522F1F" w:rsidR="00B03DBA" w:rsidRPr="008830DE" w:rsidRDefault="00C7771E" w:rsidP="008830DE">
      <w:pPr>
        <w:autoSpaceDE w:val="0"/>
        <w:autoSpaceDN w:val="0"/>
        <w:adjustRightInd w:val="0"/>
        <w:spacing w:after="60" w:line="276" w:lineRule="auto"/>
        <w:rPr>
          <w:rFonts w:ascii="Lato" w:eastAsia="Malgun Gothic" w:hAnsi="Lato"/>
          <w:szCs w:val="24"/>
        </w:rPr>
      </w:pPr>
      <w:r w:rsidRPr="00C758B1">
        <w:rPr>
          <w:rFonts w:ascii="Lato" w:hAnsi="Lato"/>
        </w:rPr>
        <w:tab/>
      </w:r>
      <w:r w:rsidR="008830DE" w:rsidRPr="008830DE">
        <w:rPr>
          <w:rFonts w:ascii="Lato" w:eastAsia="Malgun Gothic" w:hAnsi="Lato"/>
          <w:szCs w:val="24"/>
        </w:rPr>
        <w:t xml:space="preserve">Z punktu widzenia polskiego systemu przesyłowego, obiektem stanowiącym największą pojedynczą infrastrukturę gazową jest wejście do systemu z kierunku Baltic Pipe (w ujęciu technicznym awaria może dotyczyć zarówno gazociągu podmorskiego, terminalu odbiorczego po stronie </w:t>
      </w:r>
      <w:r w:rsidR="008830DE">
        <w:rPr>
          <w:rFonts w:ascii="Lato" w:eastAsia="Malgun Gothic" w:hAnsi="Lato"/>
          <w:szCs w:val="24"/>
        </w:rPr>
        <w:t>polskiej</w:t>
      </w:r>
      <w:r w:rsidR="008830DE" w:rsidRPr="008830DE">
        <w:rPr>
          <w:rFonts w:ascii="Lato" w:eastAsia="Malgun Gothic" w:hAnsi="Lato"/>
          <w:szCs w:val="24"/>
        </w:rPr>
        <w:t xml:space="preserve"> w Konarzewie, jak i gazociągów, które rozprowadzają gaz ziemny w kierunku węzłów Płoty oraz Reszki).</w:t>
      </w:r>
      <w:r w:rsidR="008830DE">
        <w:rPr>
          <w:rFonts w:ascii="Lato" w:eastAsia="Malgun Gothic" w:hAnsi="Lato"/>
          <w:szCs w:val="24"/>
        </w:rPr>
        <w:t xml:space="preserve"> </w:t>
      </w:r>
      <w:r w:rsidRPr="00D1163A">
        <w:rPr>
          <w:rFonts w:ascii="Lato" w:hAnsi="Lato"/>
        </w:rPr>
        <w:t>Poni</w:t>
      </w:r>
      <w:r w:rsidRPr="00D1163A">
        <w:rPr>
          <w:rFonts w:ascii="Lato" w:hAnsi="Lato" w:cs="Calibri"/>
        </w:rPr>
        <w:t>ż</w:t>
      </w:r>
      <w:r w:rsidRPr="00D1163A">
        <w:rPr>
          <w:rFonts w:ascii="Lato" w:hAnsi="Lato"/>
        </w:rPr>
        <w:t>ej zaprezentowano wyliczenia wska</w:t>
      </w:r>
      <w:r w:rsidRPr="00D1163A">
        <w:rPr>
          <w:rFonts w:ascii="Lato" w:hAnsi="Lato" w:cs="Calibri"/>
        </w:rPr>
        <w:t>ź</w:t>
      </w:r>
      <w:r w:rsidRPr="00D1163A">
        <w:rPr>
          <w:rFonts w:ascii="Lato" w:hAnsi="Lato"/>
        </w:rPr>
        <w:t>nika N-1 na szczeblu krajowym</w:t>
      </w:r>
      <w:r w:rsidR="00185C3C">
        <w:rPr>
          <w:rFonts w:ascii="Lato" w:hAnsi="Lato"/>
        </w:rPr>
        <w:t>.</w:t>
      </w:r>
      <w:r w:rsidRPr="00D1163A">
        <w:rPr>
          <w:rFonts w:ascii="Lato" w:hAnsi="Lato"/>
        </w:rPr>
        <w:t xml:space="preserve"> Dane dotycz</w:t>
      </w:r>
      <w:r w:rsidRPr="00D1163A">
        <w:rPr>
          <w:rFonts w:ascii="Lato" w:hAnsi="Lato" w:cs="Calibri"/>
        </w:rPr>
        <w:t>ą</w:t>
      </w:r>
      <w:r w:rsidRPr="00D1163A">
        <w:rPr>
          <w:rFonts w:ascii="Lato" w:hAnsi="Lato"/>
        </w:rPr>
        <w:t>ce zdolno</w:t>
      </w:r>
      <w:r w:rsidRPr="00D1163A">
        <w:rPr>
          <w:rFonts w:ascii="Lato" w:hAnsi="Lato" w:cs="Calibri"/>
        </w:rPr>
        <w:t>ś</w:t>
      </w:r>
      <w:r w:rsidRPr="00D1163A">
        <w:rPr>
          <w:rFonts w:ascii="Lato" w:hAnsi="Lato"/>
        </w:rPr>
        <w:t xml:space="preserve">ci odbioru z instalacji magazynowych przy całkowitym </w:t>
      </w:r>
      <w:r w:rsidR="00185C3C">
        <w:rPr>
          <w:rFonts w:ascii="Lato" w:hAnsi="Lato"/>
        </w:rPr>
        <w:t xml:space="preserve">ich </w:t>
      </w:r>
      <w:r w:rsidRPr="00D1163A">
        <w:rPr>
          <w:rFonts w:ascii="Lato" w:hAnsi="Lato"/>
        </w:rPr>
        <w:t>napełnieniu oraz przy napełnieniu na poziomie zapasów obowi</w:t>
      </w:r>
      <w:r w:rsidRPr="00D1163A">
        <w:rPr>
          <w:rFonts w:ascii="Lato" w:hAnsi="Lato" w:cs="Calibri"/>
        </w:rPr>
        <w:t>ą</w:t>
      </w:r>
      <w:r w:rsidRPr="00D1163A">
        <w:rPr>
          <w:rFonts w:ascii="Lato" w:hAnsi="Lato"/>
        </w:rPr>
        <w:t>zkowych pochodz</w:t>
      </w:r>
      <w:r w:rsidRPr="00D1163A">
        <w:rPr>
          <w:rFonts w:ascii="Lato" w:hAnsi="Lato" w:cs="Calibri"/>
        </w:rPr>
        <w:t>ą</w:t>
      </w:r>
      <w:r w:rsidRPr="00D1163A">
        <w:rPr>
          <w:rFonts w:ascii="Lato" w:hAnsi="Lato"/>
        </w:rPr>
        <w:t xml:space="preserve"> z informacji pozyskanych od OSM.</w:t>
      </w:r>
    </w:p>
    <w:p w14:paraId="12E707B8" w14:textId="6A86E44D" w:rsidR="00B03DBA" w:rsidRPr="004D6A74" w:rsidRDefault="00C7771E" w:rsidP="000A5326">
      <w:pPr>
        <w:pStyle w:val="Tabela"/>
        <w:spacing w:before="120" w:after="120"/>
        <w:rPr>
          <w:rFonts w:ascii="Lato" w:hAnsi="Lato"/>
        </w:rPr>
      </w:pPr>
      <w:r w:rsidRPr="004D6A74">
        <w:rPr>
          <w:rFonts w:ascii="Lato" w:hAnsi="Lato"/>
        </w:rPr>
        <w:t xml:space="preserve">Tabela </w:t>
      </w:r>
      <w:r w:rsidR="002C139B">
        <w:rPr>
          <w:rFonts w:ascii="Lato" w:hAnsi="Lato"/>
        </w:rPr>
        <w:t>5</w:t>
      </w:r>
      <w:r w:rsidRPr="004D6A74">
        <w:rPr>
          <w:rFonts w:ascii="Lato" w:hAnsi="Lato"/>
        </w:rPr>
        <w:t>. Wskaźnik N-1 dla systemu gazu ziemnego wysokometanowego</w:t>
      </w:r>
    </w:p>
    <w:tbl>
      <w:tblPr>
        <w:tblW w:w="8665" w:type="dxa"/>
        <w:jc w:val="center"/>
        <w:tblLayout w:type="fixed"/>
        <w:tblCellMar>
          <w:left w:w="70" w:type="dxa"/>
          <w:right w:w="70" w:type="dxa"/>
        </w:tblCellMar>
        <w:tblLook w:val="00A0" w:firstRow="1" w:lastRow="0" w:firstColumn="1" w:lastColumn="0" w:noHBand="0" w:noVBand="0"/>
      </w:tblPr>
      <w:tblGrid>
        <w:gridCol w:w="2400"/>
        <w:gridCol w:w="2410"/>
        <w:gridCol w:w="3193"/>
        <w:gridCol w:w="662"/>
      </w:tblGrid>
      <w:tr w:rsidR="00AE5E42" w:rsidRPr="00C758B1" w14:paraId="0179AFA6" w14:textId="77777777">
        <w:trPr>
          <w:trHeight w:val="107"/>
          <w:jc w:val="center"/>
        </w:trPr>
        <w:tc>
          <w:tcPr>
            <w:tcW w:w="2400" w:type="dxa"/>
            <w:tcBorders>
              <w:top w:val="single" w:sz="8" w:space="0" w:color="auto"/>
              <w:left w:val="single" w:sz="8" w:space="0" w:color="auto"/>
              <w:bottom w:val="single" w:sz="8" w:space="0" w:color="auto"/>
              <w:right w:val="single" w:sz="8" w:space="0" w:color="auto"/>
            </w:tcBorders>
            <w:shd w:val="clear" w:color="auto" w:fill="D9D9D9"/>
            <w:vAlign w:val="center"/>
          </w:tcPr>
          <w:p w14:paraId="00CBEFBF"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Współczynnik</w:t>
            </w:r>
          </w:p>
        </w:tc>
        <w:tc>
          <w:tcPr>
            <w:tcW w:w="2410" w:type="dxa"/>
            <w:tcBorders>
              <w:top w:val="single" w:sz="8" w:space="0" w:color="auto"/>
              <w:left w:val="single" w:sz="8" w:space="0" w:color="auto"/>
              <w:bottom w:val="single" w:sz="8" w:space="0" w:color="auto"/>
              <w:right w:val="single" w:sz="4" w:space="0" w:color="auto"/>
            </w:tcBorders>
            <w:shd w:val="clear" w:color="auto" w:fill="D9D9D9"/>
            <w:vAlign w:val="center"/>
          </w:tcPr>
          <w:p w14:paraId="2AB91515" w14:textId="77777777" w:rsidR="00AE5E42" w:rsidRPr="004D6A74" w:rsidRDefault="00AE5E42" w:rsidP="000A5326">
            <w:pPr>
              <w:spacing w:after="0" w:line="276" w:lineRule="auto"/>
              <w:jc w:val="center"/>
              <w:rPr>
                <w:rFonts w:ascii="Lato" w:eastAsia="Malgun Gothic" w:hAnsi="Lato"/>
                <w:sz w:val="20"/>
                <w:szCs w:val="20"/>
              </w:rPr>
            </w:pPr>
            <w:r w:rsidRPr="004D6A74">
              <w:rPr>
                <w:rFonts w:ascii="Lato" w:eastAsia="Malgun Gothic" w:hAnsi="Lato"/>
                <w:b/>
                <w:bCs/>
                <w:sz w:val="20"/>
                <w:szCs w:val="20"/>
              </w:rPr>
              <w:t>Zdolno</w:t>
            </w:r>
            <w:r w:rsidRPr="004D6A74">
              <w:rPr>
                <w:rFonts w:ascii="Lato" w:eastAsia="Malgun Gothic" w:hAnsi="Lato" w:cs="Calibri"/>
                <w:b/>
                <w:bCs/>
                <w:sz w:val="20"/>
                <w:szCs w:val="20"/>
              </w:rPr>
              <w:t>ś</w:t>
            </w:r>
            <w:r w:rsidRPr="004D6A74">
              <w:rPr>
                <w:rFonts w:ascii="Lato" w:eastAsia="Malgun Gothic" w:hAnsi="Lato"/>
                <w:b/>
                <w:bCs/>
                <w:sz w:val="20"/>
                <w:szCs w:val="20"/>
              </w:rPr>
              <w:t>ci techniczne (PMG – 100%)</w:t>
            </w:r>
          </w:p>
        </w:tc>
        <w:tc>
          <w:tcPr>
            <w:tcW w:w="3193" w:type="dxa"/>
            <w:tcBorders>
              <w:top w:val="single" w:sz="4" w:space="0" w:color="auto"/>
              <w:left w:val="single" w:sz="4" w:space="0" w:color="auto"/>
              <w:bottom w:val="single" w:sz="4" w:space="0" w:color="auto"/>
              <w:right w:val="single" w:sz="4" w:space="0" w:color="auto"/>
            </w:tcBorders>
            <w:shd w:val="clear" w:color="auto" w:fill="D9D9D9"/>
            <w:vAlign w:val="center"/>
          </w:tcPr>
          <w:p w14:paraId="196A7DEE" w14:textId="77777777" w:rsidR="00AE5E42" w:rsidRPr="004D6A74" w:rsidRDefault="00AE5E42" w:rsidP="000A5326">
            <w:pPr>
              <w:spacing w:after="0" w:line="276" w:lineRule="auto"/>
              <w:jc w:val="center"/>
              <w:rPr>
                <w:rFonts w:ascii="Lato" w:eastAsia="Malgun Gothic" w:hAnsi="Lato"/>
                <w:b/>
                <w:bCs/>
                <w:sz w:val="20"/>
                <w:szCs w:val="20"/>
              </w:rPr>
            </w:pPr>
            <w:r w:rsidRPr="004D6A74">
              <w:rPr>
                <w:rFonts w:ascii="Lato" w:eastAsia="Malgun Gothic" w:hAnsi="Lato"/>
                <w:b/>
                <w:bCs/>
                <w:sz w:val="20"/>
                <w:szCs w:val="20"/>
              </w:rPr>
              <w:t>Zdolno</w:t>
            </w:r>
            <w:r w:rsidRPr="004D6A74">
              <w:rPr>
                <w:rFonts w:ascii="Lato" w:eastAsia="Malgun Gothic" w:hAnsi="Lato" w:cs="Calibri"/>
                <w:b/>
                <w:bCs/>
                <w:sz w:val="20"/>
                <w:szCs w:val="20"/>
              </w:rPr>
              <w:t>ś</w:t>
            </w:r>
            <w:r w:rsidRPr="004D6A74">
              <w:rPr>
                <w:rFonts w:ascii="Lato" w:eastAsia="Malgun Gothic" w:hAnsi="Lato"/>
                <w:b/>
                <w:bCs/>
                <w:sz w:val="20"/>
                <w:szCs w:val="20"/>
              </w:rPr>
              <w:t xml:space="preserve">ci techniczne (PMG </w:t>
            </w:r>
            <w:r w:rsidRPr="004D6A74">
              <w:rPr>
                <w:rFonts w:ascii="Lato" w:eastAsia="Malgun Gothic" w:hAnsi="Lato" w:cs="Malgun Gothic"/>
                <w:b/>
                <w:bCs/>
                <w:sz w:val="20"/>
                <w:szCs w:val="20"/>
              </w:rPr>
              <w:t>–</w:t>
            </w:r>
            <w:r w:rsidRPr="004D6A74">
              <w:rPr>
                <w:rFonts w:ascii="Lato" w:eastAsia="Malgun Gothic" w:hAnsi="Lato"/>
                <w:b/>
                <w:bCs/>
                <w:sz w:val="20"/>
                <w:szCs w:val="20"/>
              </w:rPr>
              <w:t xml:space="preserve"> poziom zapas</w:t>
            </w:r>
            <w:r w:rsidRPr="004D6A74">
              <w:rPr>
                <w:rFonts w:ascii="Lato" w:eastAsia="Malgun Gothic" w:hAnsi="Lato" w:cs="Malgun Gothic"/>
                <w:b/>
                <w:bCs/>
                <w:sz w:val="20"/>
                <w:szCs w:val="20"/>
              </w:rPr>
              <w:t>ó</w:t>
            </w:r>
            <w:r w:rsidRPr="004D6A74">
              <w:rPr>
                <w:rFonts w:ascii="Lato" w:eastAsia="Malgun Gothic" w:hAnsi="Lato"/>
                <w:b/>
                <w:bCs/>
                <w:sz w:val="20"/>
                <w:szCs w:val="20"/>
              </w:rPr>
              <w:t>w obowi</w:t>
            </w:r>
            <w:r w:rsidRPr="004D6A74">
              <w:rPr>
                <w:rFonts w:ascii="Lato" w:eastAsia="Malgun Gothic" w:hAnsi="Lato" w:cs="Calibri"/>
                <w:b/>
                <w:bCs/>
                <w:sz w:val="20"/>
                <w:szCs w:val="20"/>
              </w:rPr>
              <w:t>ą</w:t>
            </w:r>
            <w:r w:rsidRPr="004D6A74">
              <w:rPr>
                <w:rFonts w:ascii="Lato" w:eastAsia="Malgun Gothic" w:hAnsi="Lato"/>
                <w:b/>
                <w:bCs/>
                <w:sz w:val="20"/>
                <w:szCs w:val="20"/>
              </w:rPr>
              <w:t>zkowych 2022/2023)</w:t>
            </w:r>
          </w:p>
        </w:tc>
        <w:tc>
          <w:tcPr>
            <w:tcW w:w="662" w:type="dxa"/>
            <w:tcBorders>
              <w:left w:val="single" w:sz="4" w:space="0" w:color="auto"/>
            </w:tcBorders>
            <w:vAlign w:val="center"/>
          </w:tcPr>
          <w:p w14:paraId="256DD463" w14:textId="77777777" w:rsidR="00AE5E42" w:rsidRPr="00C758B1" w:rsidRDefault="00AE5E42" w:rsidP="00983C18">
            <w:pPr>
              <w:spacing w:line="276" w:lineRule="auto"/>
              <w:jc w:val="center"/>
              <w:rPr>
                <w:rFonts w:ascii="Lato" w:eastAsia="Malgun Gothic" w:hAnsi="Lato"/>
                <w:sz w:val="20"/>
                <w:szCs w:val="20"/>
              </w:rPr>
            </w:pPr>
          </w:p>
        </w:tc>
      </w:tr>
      <w:tr w:rsidR="00AE5E42" w:rsidRPr="00C758B1" w14:paraId="0EA2870D" w14:textId="77777777">
        <w:trPr>
          <w:gridAfter w:val="1"/>
          <w:wAfter w:w="662" w:type="dxa"/>
          <w:trHeight w:val="107"/>
          <w:jc w:val="center"/>
        </w:trPr>
        <w:tc>
          <w:tcPr>
            <w:tcW w:w="2400" w:type="dxa"/>
            <w:tcBorders>
              <w:top w:val="single" w:sz="8" w:space="0" w:color="auto"/>
              <w:left w:val="single" w:sz="8" w:space="0" w:color="auto"/>
              <w:bottom w:val="single" w:sz="8" w:space="0" w:color="auto"/>
              <w:right w:val="single" w:sz="8" w:space="0" w:color="auto"/>
            </w:tcBorders>
            <w:shd w:val="clear" w:color="auto" w:fill="D9D9D9"/>
            <w:vAlign w:val="center"/>
          </w:tcPr>
          <w:p w14:paraId="34542EB0"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EP</w:t>
            </w:r>
            <w:r w:rsidRPr="004D6A74">
              <w:rPr>
                <w:rFonts w:ascii="Lato" w:eastAsia="Malgun Gothic" w:hAnsi="Lato"/>
                <w:sz w:val="20"/>
                <w:szCs w:val="20"/>
                <w:vertAlign w:val="subscript"/>
              </w:rPr>
              <w:t>m</w:t>
            </w:r>
          </w:p>
        </w:tc>
        <w:tc>
          <w:tcPr>
            <w:tcW w:w="2410" w:type="dxa"/>
            <w:tcBorders>
              <w:top w:val="single" w:sz="8" w:space="0" w:color="auto"/>
              <w:left w:val="single" w:sz="8" w:space="0" w:color="auto"/>
              <w:bottom w:val="single" w:sz="8" w:space="0" w:color="auto"/>
              <w:right w:val="single" w:sz="8" w:space="0" w:color="auto"/>
            </w:tcBorders>
            <w:vAlign w:val="center"/>
          </w:tcPr>
          <w:p w14:paraId="1C8FDAB0"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92,1</w:t>
            </w:r>
          </w:p>
        </w:tc>
        <w:tc>
          <w:tcPr>
            <w:tcW w:w="3193" w:type="dxa"/>
            <w:tcBorders>
              <w:top w:val="single" w:sz="4" w:space="0" w:color="auto"/>
              <w:left w:val="single" w:sz="8" w:space="0" w:color="auto"/>
              <w:bottom w:val="single" w:sz="8" w:space="0" w:color="auto"/>
              <w:right w:val="single" w:sz="8" w:space="0" w:color="auto"/>
            </w:tcBorders>
            <w:vAlign w:val="center"/>
          </w:tcPr>
          <w:p w14:paraId="55C556DF"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92,1</w:t>
            </w:r>
          </w:p>
        </w:tc>
      </w:tr>
      <w:tr w:rsidR="00AE5E42" w:rsidRPr="00C758B1" w14:paraId="2115F557" w14:textId="77777777">
        <w:trPr>
          <w:gridAfter w:val="1"/>
          <w:wAfter w:w="662" w:type="dxa"/>
          <w:trHeight w:val="107"/>
          <w:jc w:val="center"/>
        </w:trPr>
        <w:tc>
          <w:tcPr>
            <w:tcW w:w="2400" w:type="dxa"/>
            <w:tcBorders>
              <w:top w:val="single" w:sz="8" w:space="0" w:color="auto"/>
              <w:left w:val="single" w:sz="8" w:space="0" w:color="auto"/>
              <w:bottom w:val="single" w:sz="8" w:space="0" w:color="auto"/>
              <w:right w:val="single" w:sz="8" w:space="0" w:color="auto"/>
            </w:tcBorders>
            <w:shd w:val="clear" w:color="auto" w:fill="D9D9D9"/>
            <w:vAlign w:val="center"/>
          </w:tcPr>
          <w:p w14:paraId="0C23AFA1"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S</w:t>
            </w:r>
            <w:r w:rsidRPr="004D6A74">
              <w:rPr>
                <w:rFonts w:ascii="Lato" w:eastAsia="Malgun Gothic" w:hAnsi="Lato"/>
                <w:sz w:val="20"/>
                <w:szCs w:val="20"/>
                <w:vertAlign w:val="subscript"/>
              </w:rPr>
              <w:t>m</w:t>
            </w:r>
          </w:p>
        </w:tc>
        <w:tc>
          <w:tcPr>
            <w:tcW w:w="2410" w:type="dxa"/>
            <w:tcBorders>
              <w:top w:val="single" w:sz="8" w:space="0" w:color="auto"/>
              <w:left w:val="single" w:sz="8" w:space="0" w:color="auto"/>
              <w:bottom w:val="single" w:sz="8" w:space="0" w:color="auto"/>
              <w:right w:val="single" w:sz="8" w:space="0" w:color="auto"/>
            </w:tcBorders>
            <w:vAlign w:val="center"/>
          </w:tcPr>
          <w:p w14:paraId="501565EA"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53,5</w:t>
            </w:r>
          </w:p>
        </w:tc>
        <w:tc>
          <w:tcPr>
            <w:tcW w:w="3193" w:type="dxa"/>
            <w:tcBorders>
              <w:top w:val="single" w:sz="8" w:space="0" w:color="auto"/>
              <w:left w:val="single" w:sz="8" w:space="0" w:color="auto"/>
              <w:bottom w:val="single" w:sz="8" w:space="0" w:color="auto"/>
              <w:right w:val="single" w:sz="8" w:space="0" w:color="auto"/>
            </w:tcBorders>
            <w:vAlign w:val="center"/>
          </w:tcPr>
          <w:p w14:paraId="5FF3A536"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44,9</w:t>
            </w:r>
          </w:p>
        </w:tc>
      </w:tr>
      <w:tr w:rsidR="00AE5E42" w:rsidRPr="00C758B1" w14:paraId="78C34433" w14:textId="77777777">
        <w:trPr>
          <w:gridAfter w:val="1"/>
          <w:wAfter w:w="662" w:type="dxa"/>
          <w:trHeight w:val="56"/>
          <w:jc w:val="center"/>
        </w:trPr>
        <w:tc>
          <w:tcPr>
            <w:tcW w:w="2400" w:type="dxa"/>
            <w:tcBorders>
              <w:top w:val="single" w:sz="8" w:space="0" w:color="auto"/>
              <w:left w:val="single" w:sz="8" w:space="0" w:color="auto"/>
              <w:bottom w:val="single" w:sz="8" w:space="0" w:color="auto"/>
              <w:right w:val="single" w:sz="8" w:space="0" w:color="auto"/>
            </w:tcBorders>
            <w:shd w:val="clear" w:color="auto" w:fill="D9D9D9"/>
            <w:vAlign w:val="center"/>
          </w:tcPr>
          <w:p w14:paraId="6271D395"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P</w:t>
            </w:r>
            <w:r w:rsidRPr="004D6A74">
              <w:rPr>
                <w:rFonts w:ascii="Lato" w:eastAsia="Malgun Gothic" w:hAnsi="Lato"/>
                <w:sz w:val="20"/>
                <w:szCs w:val="20"/>
                <w:vertAlign w:val="subscript"/>
              </w:rPr>
              <w:t>m</w:t>
            </w:r>
          </w:p>
        </w:tc>
        <w:tc>
          <w:tcPr>
            <w:tcW w:w="2410" w:type="dxa"/>
            <w:tcBorders>
              <w:top w:val="single" w:sz="8" w:space="0" w:color="auto"/>
              <w:left w:val="single" w:sz="8" w:space="0" w:color="auto"/>
              <w:bottom w:val="single" w:sz="8" w:space="0" w:color="auto"/>
              <w:right w:val="single" w:sz="8" w:space="0" w:color="auto"/>
            </w:tcBorders>
            <w:vAlign w:val="center"/>
          </w:tcPr>
          <w:p w14:paraId="43CEF82F"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5,9</w:t>
            </w:r>
          </w:p>
        </w:tc>
        <w:tc>
          <w:tcPr>
            <w:tcW w:w="3193" w:type="dxa"/>
            <w:tcBorders>
              <w:top w:val="single" w:sz="8" w:space="0" w:color="auto"/>
              <w:left w:val="single" w:sz="8" w:space="0" w:color="auto"/>
              <w:bottom w:val="single" w:sz="8" w:space="0" w:color="auto"/>
              <w:right w:val="single" w:sz="8" w:space="0" w:color="auto"/>
            </w:tcBorders>
            <w:vAlign w:val="center"/>
          </w:tcPr>
          <w:p w14:paraId="761402FB"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5,9</w:t>
            </w:r>
          </w:p>
        </w:tc>
      </w:tr>
      <w:tr w:rsidR="00AE5E42" w:rsidRPr="00C758B1" w14:paraId="0695B707" w14:textId="77777777">
        <w:trPr>
          <w:gridAfter w:val="1"/>
          <w:wAfter w:w="662" w:type="dxa"/>
          <w:trHeight w:val="107"/>
          <w:jc w:val="center"/>
        </w:trPr>
        <w:tc>
          <w:tcPr>
            <w:tcW w:w="2400" w:type="dxa"/>
            <w:tcBorders>
              <w:top w:val="nil"/>
              <w:left w:val="single" w:sz="8" w:space="0" w:color="auto"/>
              <w:bottom w:val="single" w:sz="8" w:space="0" w:color="auto"/>
              <w:right w:val="single" w:sz="8" w:space="0" w:color="auto"/>
            </w:tcBorders>
            <w:shd w:val="clear" w:color="auto" w:fill="D9D9D9"/>
            <w:vAlign w:val="center"/>
          </w:tcPr>
          <w:p w14:paraId="761C63D1"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LNG</w:t>
            </w:r>
            <w:r w:rsidRPr="004D6A74">
              <w:rPr>
                <w:rFonts w:ascii="Lato" w:eastAsia="Malgun Gothic" w:hAnsi="Lato"/>
                <w:sz w:val="20"/>
                <w:szCs w:val="20"/>
                <w:vertAlign w:val="subscript"/>
              </w:rPr>
              <w:t>m</w:t>
            </w:r>
          </w:p>
        </w:tc>
        <w:tc>
          <w:tcPr>
            <w:tcW w:w="2410" w:type="dxa"/>
            <w:tcBorders>
              <w:top w:val="nil"/>
              <w:left w:val="single" w:sz="8" w:space="0" w:color="auto"/>
              <w:bottom w:val="single" w:sz="8" w:space="0" w:color="auto"/>
              <w:right w:val="single" w:sz="8" w:space="0" w:color="auto"/>
            </w:tcBorders>
            <w:vAlign w:val="center"/>
          </w:tcPr>
          <w:p w14:paraId="3A2E3C8A"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19,7</w:t>
            </w:r>
          </w:p>
        </w:tc>
        <w:tc>
          <w:tcPr>
            <w:tcW w:w="3193" w:type="dxa"/>
            <w:tcBorders>
              <w:top w:val="nil"/>
              <w:left w:val="single" w:sz="8" w:space="0" w:color="auto"/>
              <w:bottom w:val="single" w:sz="8" w:space="0" w:color="auto"/>
              <w:right w:val="single" w:sz="8" w:space="0" w:color="auto"/>
            </w:tcBorders>
            <w:vAlign w:val="center"/>
          </w:tcPr>
          <w:p w14:paraId="1AD55E77"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19,7</w:t>
            </w:r>
          </w:p>
        </w:tc>
      </w:tr>
      <w:tr w:rsidR="00AE5E42" w:rsidRPr="00C758B1" w14:paraId="42B0256D" w14:textId="77777777">
        <w:trPr>
          <w:gridAfter w:val="1"/>
          <w:wAfter w:w="662" w:type="dxa"/>
          <w:trHeight w:val="107"/>
          <w:jc w:val="center"/>
        </w:trPr>
        <w:tc>
          <w:tcPr>
            <w:tcW w:w="2400" w:type="dxa"/>
            <w:tcBorders>
              <w:top w:val="nil"/>
              <w:left w:val="single" w:sz="8" w:space="0" w:color="auto"/>
              <w:bottom w:val="single" w:sz="8" w:space="0" w:color="auto"/>
              <w:right w:val="single" w:sz="8" w:space="0" w:color="auto"/>
            </w:tcBorders>
            <w:shd w:val="clear" w:color="auto" w:fill="D9D9D9"/>
            <w:vAlign w:val="center"/>
          </w:tcPr>
          <w:p w14:paraId="389B3912"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I</w:t>
            </w:r>
            <w:r w:rsidRPr="004D6A74">
              <w:rPr>
                <w:rFonts w:ascii="Lato" w:eastAsia="Malgun Gothic" w:hAnsi="Lato"/>
                <w:sz w:val="20"/>
                <w:szCs w:val="20"/>
                <w:vertAlign w:val="subscript"/>
              </w:rPr>
              <w:t xml:space="preserve">m – </w:t>
            </w:r>
            <w:r w:rsidRPr="004D6A74">
              <w:rPr>
                <w:rFonts w:ascii="Lato" w:eastAsia="Malgun Gothic" w:hAnsi="Lato"/>
                <w:sz w:val="20"/>
                <w:szCs w:val="20"/>
              </w:rPr>
              <w:t xml:space="preserve">FAXE (Baltic Pipe) </w:t>
            </w:r>
          </w:p>
        </w:tc>
        <w:tc>
          <w:tcPr>
            <w:tcW w:w="2410" w:type="dxa"/>
            <w:tcBorders>
              <w:top w:val="nil"/>
              <w:left w:val="single" w:sz="8" w:space="0" w:color="auto"/>
              <w:bottom w:val="single" w:sz="8" w:space="0" w:color="auto"/>
              <w:right w:val="single" w:sz="8" w:space="0" w:color="auto"/>
            </w:tcBorders>
            <w:vAlign w:val="center"/>
          </w:tcPr>
          <w:p w14:paraId="35E943DA"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27,4</w:t>
            </w:r>
          </w:p>
        </w:tc>
        <w:tc>
          <w:tcPr>
            <w:tcW w:w="3193" w:type="dxa"/>
            <w:tcBorders>
              <w:top w:val="nil"/>
              <w:left w:val="single" w:sz="8" w:space="0" w:color="auto"/>
              <w:bottom w:val="single" w:sz="8" w:space="0" w:color="auto"/>
              <w:right w:val="single" w:sz="8" w:space="0" w:color="auto"/>
            </w:tcBorders>
            <w:vAlign w:val="center"/>
          </w:tcPr>
          <w:p w14:paraId="50DCD3A4"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27,4</w:t>
            </w:r>
          </w:p>
        </w:tc>
      </w:tr>
      <w:tr w:rsidR="00AE5E42" w:rsidRPr="00C758B1" w14:paraId="15CAFFD1" w14:textId="77777777">
        <w:trPr>
          <w:gridAfter w:val="1"/>
          <w:wAfter w:w="662" w:type="dxa"/>
          <w:trHeight w:val="107"/>
          <w:jc w:val="center"/>
        </w:trPr>
        <w:tc>
          <w:tcPr>
            <w:tcW w:w="2400" w:type="dxa"/>
            <w:tcBorders>
              <w:top w:val="nil"/>
              <w:left w:val="single" w:sz="8" w:space="0" w:color="auto"/>
              <w:bottom w:val="single" w:sz="8" w:space="0" w:color="auto"/>
              <w:right w:val="single" w:sz="8" w:space="0" w:color="auto"/>
            </w:tcBorders>
            <w:shd w:val="clear" w:color="auto" w:fill="D9D9D9"/>
            <w:vAlign w:val="center"/>
          </w:tcPr>
          <w:p w14:paraId="7A98A12F"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D</w:t>
            </w:r>
            <w:r w:rsidRPr="004D6A74">
              <w:rPr>
                <w:rFonts w:ascii="Lato" w:eastAsia="Malgun Gothic" w:hAnsi="Lato"/>
                <w:sz w:val="20"/>
                <w:szCs w:val="20"/>
                <w:vertAlign w:val="subscript"/>
              </w:rPr>
              <w:t>max</w:t>
            </w:r>
          </w:p>
        </w:tc>
        <w:tc>
          <w:tcPr>
            <w:tcW w:w="2410" w:type="dxa"/>
            <w:tcBorders>
              <w:top w:val="nil"/>
              <w:left w:val="single" w:sz="8" w:space="0" w:color="auto"/>
              <w:bottom w:val="single" w:sz="8" w:space="0" w:color="auto"/>
              <w:right w:val="single" w:sz="8" w:space="0" w:color="auto"/>
            </w:tcBorders>
            <w:vAlign w:val="center"/>
          </w:tcPr>
          <w:p w14:paraId="4C6C7911"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100,3</w:t>
            </w:r>
          </w:p>
        </w:tc>
        <w:tc>
          <w:tcPr>
            <w:tcW w:w="3193" w:type="dxa"/>
            <w:tcBorders>
              <w:top w:val="nil"/>
              <w:left w:val="single" w:sz="8" w:space="0" w:color="auto"/>
              <w:bottom w:val="single" w:sz="8" w:space="0" w:color="auto"/>
              <w:right w:val="single" w:sz="8" w:space="0" w:color="auto"/>
            </w:tcBorders>
            <w:vAlign w:val="center"/>
          </w:tcPr>
          <w:p w14:paraId="786D57B7"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100,3</w:t>
            </w:r>
          </w:p>
        </w:tc>
      </w:tr>
      <w:tr w:rsidR="00AE5E42" w:rsidRPr="00C758B1" w14:paraId="1F2D483B" w14:textId="77777777">
        <w:trPr>
          <w:gridAfter w:val="1"/>
          <w:wAfter w:w="662" w:type="dxa"/>
          <w:trHeight w:val="107"/>
          <w:jc w:val="center"/>
        </w:trPr>
        <w:tc>
          <w:tcPr>
            <w:tcW w:w="2400" w:type="dxa"/>
            <w:tcBorders>
              <w:top w:val="nil"/>
              <w:left w:val="single" w:sz="8" w:space="0" w:color="auto"/>
              <w:bottom w:val="single" w:sz="8" w:space="0" w:color="auto"/>
              <w:right w:val="single" w:sz="8" w:space="0" w:color="auto"/>
            </w:tcBorders>
            <w:shd w:val="clear" w:color="auto" w:fill="D9D9D9"/>
            <w:vAlign w:val="center"/>
          </w:tcPr>
          <w:p w14:paraId="27C4C3FA"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N-1</w:t>
            </w:r>
          </w:p>
        </w:tc>
        <w:tc>
          <w:tcPr>
            <w:tcW w:w="2410" w:type="dxa"/>
            <w:tcBorders>
              <w:top w:val="nil"/>
              <w:left w:val="single" w:sz="8" w:space="0" w:color="auto"/>
              <w:bottom w:val="single" w:sz="8" w:space="0" w:color="auto"/>
              <w:right w:val="single" w:sz="8" w:space="0" w:color="auto"/>
            </w:tcBorders>
            <w:shd w:val="clear" w:color="auto" w:fill="D9D9D9"/>
            <w:vAlign w:val="center"/>
          </w:tcPr>
          <w:p w14:paraId="429F1980"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143,4%</w:t>
            </w:r>
          </w:p>
        </w:tc>
        <w:tc>
          <w:tcPr>
            <w:tcW w:w="3193" w:type="dxa"/>
            <w:tcBorders>
              <w:top w:val="nil"/>
              <w:left w:val="single" w:sz="8" w:space="0" w:color="auto"/>
              <w:bottom w:val="single" w:sz="8" w:space="0" w:color="auto"/>
              <w:right w:val="single" w:sz="8" w:space="0" w:color="auto"/>
            </w:tcBorders>
            <w:shd w:val="clear" w:color="auto" w:fill="D9D9D9"/>
            <w:vAlign w:val="center"/>
          </w:tcPr>
          <w:p w14:paraId="6CA20882" w14:textId="77777777" w:rsidR="00AE5E42" w:rsidRPr="004D6A74" w:rsidRDefault="00AE5E42" w:rsidP="00983C18">
            <w:pPr>
              <w:spacing w:line="276" w:lineRule="auto"/>
              <w:jc w:val="center"/>
              <w:rPr>
                <w:rFonts w:ascii="Lato" w:eastAsia="Malgun Gothic" w:hAnsi="Lato"/>
                <w:sz w:val="20"/>
                <w:szCs w:val="20"/>
              </w:rPr>
            </w:pPr>
            <w:r w:rsidRPr="004D6A74">
              <w:rPr>
                <w:rFonts w:ascii="Lato" w:eastAsia="Malgun Gothic" w:hAnsi="Lato"/>
                <w:sz w:val="20"/>
                <w:szCs w:val="20"/>
              </w:rPr>
              <w:t>134,8%</w:t>
            </w:r>
          </w:p>
        </w:tc>
      </w:tr>
    </w:tbl>
    <w:p w14:paraId="5A4A7CD5" w14:textId="53F14034" w:rsidR="00185C3C" w:rsidRPr="000A5326" w:rsidRDefault="00C7771E" w:rsidP="00CE63C5">
      <w:pPr>
        <w:spacing w:before="120" w:line="276" w:lineRule="auto"/>
        <w:rPr>
          <w:rFonts w:ascii="Lato" w:hAnsi="Lato"/>
          <w:i/>
          <w:sz w:val="22"/>
        </w:rPr>
      </w:pPr>
      <w:r w:rsidRPr="000A5326">
        <w:rPr>
          <w:rFonts w:ascii="Lato" w:hAnsi="Lato"/>
          <w:i/>
          <w:sz w:val="20"/>
          <w:szCs w:val="20"/>
        </w:rPr>
        <w:t>Źródło: Ocena ryzyka związanego z bezpieczeństwem dostaw gazu ziemnego do Polski</w:t>
      </w:r>
    </w:p>
    <w:p w14:paraId="78253B4F" w14:textId="379E0ED0" w:rsidR="00B03DBA" w:rsidRPr="00C758B1" w:rsidRDefault="00C7771E" w:rsidP="000A5326">
      <w:pPr>
        <w:pStyle w:val="Rozdzia3"/>
        <w:rPr>
          <w:rFonts w:ascii="Lato" w:hAnsi="Lato"/>
        </w:rPr>
      </w:pPr>
      <w:bookmarkStart w:id="229" w:name="_Toc18063886"/>
      <w:bookmarkStart w:id="230" w:name="_Toc18063887"/>
      <w:bookmarkStart w:id="231" w:name="_Toc384214643"/>
      <w:bookmarkStart w:id="232" w:name="_Toc461695433"/>
      <w:bookmarkStart w:id="233" w:name="_Toc463507868"/>
      <w:bookmarkStart w:id="234" w:name="_Toc11757039"/>
      <w:bookmarkStart w:id="235" w:name="_Toc12953916"/>
      <w:bookmarkStart w:id="236" w:name="_Toc19782949"/>
      <w:bookmarkStart w:id="237" w:name="_Toc142469571"/>
      <w:bookmarkEnd w:id="229"/>
      <w:bookmarkEnd w:id="230"/>
      <w:r w:rsidRPr="00C758B1">
        <w:rPr>
          <w:rFonts w:ascii="Lato" w:hAnsi="Lato"/>
        </w:rPr>
        <w:lastRenderedPageBreak/>
        <w:t>Wska</w:t>
      </w:r>
      <w:r w:rsidRPr="00C758B1">
        <w:rPr>
          <w:rFonts w:ascii="Lato" w:hAnsi="Lato" w:cs="Calibri"/>
        </w:rPr>
        <w:t>ź</w:t>
      </w:r>
      <w:r w:rsidRPr="00C758B1">
        <w:rPr>
          <w:rFonts w:ascii="Lato" w:hAnsi="Lato"/>
        </w:rPr>
        <w:t>nik N-1 dla systemu gazu zaazotowanego</w:t>
      </w:r>
      <w:bookmarkEnd w:id="231"/>
      <w:bookmarkEnd w:id="232"/>
      <w:bookmarkEnd w:id="233"/>
      <w:bookmarkEnd w:id="234"/>
      <w:bookmarkEnd w:id="235"/>
      <w:bookmarkEnd w:id="236"/>
      <w:bookmarkEnd w:id="237"/>
    </w:p>
    <w:p w14:paraId="65CA1D33" w14:textId="759A7549" w:rsidR="00AE5E42" w:rsidRPr="00D1163A" w:rsidRDefault="00C7771E" w:rsidP="008830DE">
      <w:pPr>
        <w:pStyle w:val="Rozdzia4"/>
        <w:spacing w:after="120"/>
        <w:rPr>
          <w:rFonts w:ascii="Lato" w:hAnsi="Lato"/>
        </w:rPr>
      </w:pPr>
      <w:r w:rsidRPr="00C758B1">
        <w:rPr>
          <w:rFonts w:ascii="Lato" w:hAnsi="Lato"/>
        </w:rPr>
        <w:t>System gazu ziemnego Lw</w:t>
      </w:r>
    </w:p>
    <w:p w14:paraId="77C9976C" w14:textId="7F64DAE1" w:rsidR="00B03DBA" w:rsidRPr="000A5326" w:rsidRDefault="00AE5E42" w:rsidP="000A5326">
      <w:pPr>
        <w:spacing w:before="240" w:line="276" w:lineRule="auto"/>
        <w:ind w:firstLine="567"/>
        <w:rPr>
          <w:rFonts w:ascii="Lato" w:eastAsia="Malgun Gothic" w:hAnsi="Lato"/>
        </w:rPr>
      </w:pPr>
      <w:r w:rsidRPr="6F8BE874">
        <w:rPr>
          <w:rFonts w:ascii="Lato" w:eastAsia="Malgun Gothic" w:hAnsi="Lato"/>
        </w:rPr>
        <w:t>Do obliczania technicznych zdolno</w:t>
      </w:r>
      <w:r w:rsidRPr="6F8BE874">
        <w:rPr>
          <w:rFonts w:ascii="Lato" w:eastAsia="Malgun Gothic" w:hAnsi="Lato" w:cs="Calibri"/>
        </w:rPr>
        <w:t>ś</w:t>
      </w:r>
      <w:r w:rsidRPr="6F8BE874">
        <w:rPr>
          <w:rFonts w:ascii="Lato" w:eastAsia="Malgun Gothic" w:hAnsi="Lato"/>
        </w:rPr>
        <w:t>ci infrastruktury do zaspokojenia zapotrzebowania na gaz ziemny zaazotowany Lw za największy e</w:t>
      </w:r>
      <w:r w:rsidRPr="6F8BE874">
        <w:rPr>
          <w:rFonts w:ascii="Lato" w:hAnsi="Lato" w:cs="Helv"/>
          <w:color w:val="000000" w:themeColor="text1"/>
        </w:rPr>
        <w:t>lement infrastruktury</w:t>
      </w:r>
      <w:r w:rsidR="008830DE" w:rsidRPr="6F8BE874">
        <w:rPr>
          <w:rFonts w:ascii="Lato" w:hAnsi="Lato" w:cs="Helv"/>
          <w:color w:val="000000" w:themeColor="text1"/>
        </w:rPr>
        <w:t>,</w:t>
      </w:r>
      <w:r w:rsidRPr="6F8BE874">
        <w:rPr>
          <w:rFonts w:ascii="Lato" w:hAnsi="Lato" w:cs="Helv"/>
          <w:color w:val="000000" w:themeColor="text1"/>
        </w:rPr>
        <w:t xml:space="preserve"> </w:t>
      </w:r>
      <w:r w:rsidRPr="6F8BE874">
        <w:rPr>
          <w:rFonts w:ascii="Lato" w:hAnsi="Lato"/>
          <w:color w:val="000000" w:themeColor="text1"/>
        </w:rPr>
        <w:t>posiadający największą zdolność zaopatrzenia obszaru analizowanego w gaz ziemny zaazotowany</w:t>
      </w:r>
      <w:r w:rsidR="008830DE" w:rsidRPr="6F8BE874">
        <w:rPr>
          <w:rFonts w:ascii="Lato" w:hAnsi="Lato"/>
          <w:color w:val="000000" w:themeColor="text1"/>
        </w:rPr>
        <w:t>,</w:t>
      </w:r>
      <w:r w:rsidRPr="6F8BE874">
        <w:rPr>
          <w:rFonts w:ascii="Lato" w:hAnsi="Lato"/>
          <w:color w:val="000000" w:themeColor="text1"/>
        </w:rPr>
        <w:t xml:space="preserve"> przyjęto złoże </w:t>
      </w:r>
      <w:r w:rsidRPr="6F8BE874">
        <w:rPr>
          <w:rFonts w:ascii="Lato" w:hAnsi="Lato"/>
        </w:rPr>
        <w:t>Kościan–Brońsko o zdolnościach wydobywczych na poziomie 3,1 mln m</w:t>
      </w:r>
      <w:r w:rsidRPr="6F8BE874">
        <w:rPr>
          <w:rFonts w:ascii="Lato" w:hAnsi="Lato"/>
          <w:vertAlign w:val="superscript"/>
        </w:rPr>
        <w:t>3</w:t>
      </w:r>
      <w:r w:rsidRPr="6F8BE874">
        <w:rPr>
          <w:rFonts w:ascii="Lato" w:hAnsi="Lato"/>
        </w:rPr>
        <w:t>/dobę (27,2 GWh/dobę)</w:t>
      </w:r>
      <w:r w:rsidR="008830DE" w:rsidRPr="6F8BE874">
        <w:rPr>
          <w:rFonts w:ascii="Lato" w:hAnsi="Lato"/>
        </w:rPr>
        <w:t>.</w:t>
      </w:r>
      <w:r w:rsidRPr="6F8BE874">
        <w:rPr>
          <w:rFonts w:ascii="Lato" w:hAnsi="Lato"/>
        </w:rPr>
        <w:t xml:space="preserve"> </w:t>
      </w:r>
      <w:r w:rsidR="008830DE" w:rsidRPr="6F8BE874">
        <w:rPr>
          <w:rFonts w:ascii="Lato" w:hAnsi="Lato"/>
        </w:rPr>
        <w:t>Jako</w:t>
      </w:r>
      <w:r w:rsidRPr="6F8BE874">
        <w:rPr>
          <w:rFonts w:ascii="Lato" w:eastAsia="Malgun Gothic" w:hAnsi="Lato"/>
        </w:rPr>
        <w:t xml:space="preserve"> sum</w:t>
      </w:r>
      <w:r w:rsidRPr="6F8BE874">
        <w:rPr>
          <w:rFonts w:ascii="Lato" w:eastAsia="Malgun Gothic" w:hAnsi="Lato" w:cs="Calibri"/>
        </w:rPr>
        <w:t>ę</w:t>
      </w:r>
      <w:r w:rsidRPr="6F8BE874">
        <w:rPr>
          <w:rFonts w:ascii="Lato" w:eastAsia="Malgun Gothic" w:hAnsi="Lato"/>
        </w:rPr>
        <w:t xml:space="preserve"> punkt</w:t>
      </w:r>
      <w:r w:rsidRPr="6F8BE874">
        <w:rPr>
          <w:rFonts w:ascii="Lato" w:eastAsia="Malgun Gothic" w:hAnsi="Lato" w:cs="Malgun Gothic"/>
        </w:rPr>
        <w:t>ó</w:t>
      </w:r>
      <w:r w:rsidRPr="6F8BE874">
        <w:rPr>
          <w:rFonts w:ascii="Lato" w:eastAsia="Malgun Gothic" w:hAnsi="Lato"/>
        </w:rPr>
        <w:t>w wej</w:t>
      </w:r>
      <w:r w:rsidRPr="6F8BE874">
        <w:rPr>
          <w:rFonts w:ascii="Lato" w:eastAsia="Malgun Gothic" w:hAnsi="Lato" w:cs="Calibri"/>
        </w:rPr>
        <w:t>ś</w:t>
      </w:r>
      <w:r w:rsidRPr="6F8BE874">
        <w:rPr>
          <w:rFonts w:ascii="Lato" w:eastAsia="Malgun Gothic" w:hAnsi="Lato"/>
        </w:rPr>
        <w:t>cia do systemu przyj</w:t>
      </w:r>
      <w:r w:rsidRPr="6F8BE874">
        <w:rPr>
          <w:rFonts w:ascii="Lato" w:eastAsia="Malgun Gothic" w:hAnsi="Lato" w:cs="Calibri"/>
        </w:rPr>
        <w:t>ę</w:t>
      </w:r>
      <w:r w:rsidRPr="6F8BE874">
        <w:rPr>
          <w:rFonts w:ascii="Lato" w:eastAsia="Malgun Gothic" w:hAnsi="Lato"/>
        </w:rPr>
        <w:t>to maksymalne zdolno</w:t>
      </w:r>
      <w:r w:rsidRPr="6F8BE874">
        <w:rPr>
          <w:rFonts w:ascii="Lato" w:eastAsia="Malgun Gothic" w:hAnsi="Lato" w:cs="Calibri"/>
        </w:rPr>
        <w:t>ś</w:t>
      </w:r>
      <w:r w:rsidRPr="6F8BE874">
        <w:rPr>
          <w:rFonts w:ascii="Lato" w:eastAsia="Malgun Gothic" w:hAnsi="Lato"/>
        </w:rPr>
        <w:t>ci dostaw gazu ziemnego Lw, które wynosz</w:t>
      </w:r>
      <w:r w:rsidRPr="6F8BE874">
        <w:rPr>
          <w:rFonts w:ascii="Lato" w:eastAsia="Malgun Gothic" w:hAnsi="Lato" w:cs="Calibri"/>
        </w:rPr>
        <w:t>ą</w:t>
      </w:r>
      <w:r w:rsidRPr="6F8BE874">
        <w:rPr>
          <w:rFonts w:ascii="Lato" w:eastAsia="Malgun Gothic" w:hAnsi="Lato"/>
        </w:rPr>
        <w:t xml:space="preserve"> ok. 7,8 mln m</w:t>
      </w:r>
      <w:r w:rsidRPr="6F8BE874">
        <w:rPr>
          <w:rFonts w:ascii="Lato" w:eastAsia="Malgun Gothic" w:hAnsi="Lato"/>
          <w:vertAlign w:val="superscript"/>
        </w:rPr>
        <w:t>3</w:t>
      </w:r>
      <w:r w:rsidRPr="6F8BE874">
        <w:rPr>
          <w:rFonts w:ascii="Lato" w:eastAsia="Malgun Gothic" w:hAnsi="Lato"/>
        </w:rPr>
        <w:t>/d</w:t>
      </w:r>
      <w:r w:rsidR="00185C3C" w:rsidRPr="6F8BE874">
        <w:rPr>
          <w:rFonts w:ascii="Lato" w:eastAsia="Malgun Gothic" w:hAnsi="Lato"/>
        </w:rPr>
        <w:t>obę</w:t>
      </w:r>
      <w:r w:rsidRPr="6F8BE874">
        <w:rPr>
          <w:rFonts w:ascii="Lato" w:eastAsia="Malgun Gothic" w:hAnsi="Lato"/>
        </w:rPr>
        <w:t xml:space="preserve"> (85,6 GWh/d</w:t>
      </w:r>
      <w:r w:rsidR="00185C3C" w:rsidRPr="6F8BE874">
        <w:rPr>
          <w:rFonts w:ascii="Lato" w:eastAsia="Malgun Gothic" w:hAnsi="Lato"/>
        </w:rPr>
        <w:t>obę</w:t>
      </w:r>
      <w:r w:rsidRPr="6F8BE874">
        <w:rPr>
          <w:rFonts w:ascii="Lato" w:eastAsia="Malgun Gothic" w:hAnsi="Lato"/>
        </w:rPr>
        <w:t>). Jako zdolno</w:t>
      </w:r>
      <w:r w:rsidRPr="6F8BE874">
        <w:rPr>
          <w:rFonts w:ascii="Lato" w:eastAsia="Malgun Gothic" w:hAnsi="Lato" w:cs="Calibri"/>
        </w:rPr>
        <w:t>ść</w:t>
      </w:r>
      <w:r w:rsidRPr="6F8BE874">
        <w:rPr>
          <w:rFonts w:ascii="Lato" w:eastAsia="Malgun Gothic" w:hAnsi="Lato"/>
        </w:rPr>
        <w:t xml:space="preserve"> magazynow</w:t>
      </w:r>
      <w:r w:rsidRPr="6F8BE874">
        <w:rPr>
          <w:rFonts w:ascii="Lato" w:eastAsia="Malgun Gothic" w:hAnsi="Lato" w:cs="Calibri"/>
        </w:rPr>
        <w:t>ą</w:t>
      </w:r>
      <w:r w:rsidRPr="6F8BE874">
        <w:rPr>
          <w:rFonts w:ascii="Lato" w:eastAsia="Malgun Gothic" w:hAnsi="Lato"/>
        </w:rPr>
        <w:t xml:space="preserve"> przyj</w:t>
      </w:r>
      <w:r w:rsidRPr="6F8BE874">
        <w:rPr>
          <w:rFonts w:ascii="Lato" w:eastAsia="Malgun Gothic" w:hAnsi="Lato" w:cs="Calibri"/>
        </w:rPr>
        <w:t>ę</w:t>
      </w:r>
      <w:r w:rsidRPr="6F8BE874">
        <w:rPr>
          <w:rFonts w:ascii="Lato" w:eastAsia="Malgun Gothic" w:hAnsi="Lato"/>
        </w:rPr>
        <w:t>to mo</w:t>
      </w:r>
      <w:r w:rsidRPr="6F8BE874">
        <w:rPr>
          <w:rFonts w:ascii="Lato" w:eastAsia="Malgun Gothic" w:hAnsi="Lato" w:cs="Calibri"/>
        </w:rPr>
        <w:t>ż</w:t>
      </w:r>
      <w:r w:rsidRPr="6F8BE874">
        <w:rPr>
          <w:rFonts w:ascii="Lato" w:eastAsia="Malgun Gothic" w:hAnsi="Lato"/>
        </w:rPr>
        <w:t>liwo</w:t>
      </w:r>
      <w:r w:rsidRPr="6F8BE874">
        <w:rPr>
          <w:rFonts w:ascii="Lato" w:eastAsia="Malgun Gothic" w:hAnsi="Lato" w:cs="Calibri"/>
        </w:rPr>
        <w:t>ś</w:t>
      </w:r>
      <w:r w:rsidRPr="6F8BE874">
        <w:rPr>
          <w:rFonts w:ascii="Lato" w:eastAsia="Malgun Gothic" w:hAnsi="Lato"/>
        </w:rPr>
        <w:t>ci techniczne odbioru gazu ziemnego z PMG Bonikowo, które wynosz</w:t>
      </w:r>
      <w:r w:rsidRPr="6F8BE874">
        <w:rPr>
          <w:rFonts w:ascii="Lato" w:eastAsia="Malgun Gothic" w:hAnsi="Lato" w:cs="Calibri"/>
        </w:rPr>
        <w:t>ą</w:t>
      </w:r>
      <w:r w:rsidRPr="6F8BE874">
        <w:rPr>
          <w:rFonts w:ascii="Lato" w:eastAsia="Malgun Gothic" w:hAnsi="Lato"/>
        </w:rPr>
        <w:t xml:space="preserve"> 2,4 mln m</w:t>
      </w:r>
      <w:r w:rsidRPr="6F8BE874">
        <w:rPr>
          <w:rFonts w:ascii="Lato" w:eastAsia="Malgun Gothic" w:hAnsi="Lato"/>
          <w:vertAlign w:val="superscript"/>
        </w:rPr>
        <w:t>3</w:t>
      </w:r>
      <w:r w:rsidRPr="6F8BE874">
        <w:rPr>
          <w:rFonts w:ascii="Lato" w:eastAsia="Malgun Gothic" w:hAnsi="Lato"/>
        </w:rPr>
        <w:t>/dob</w:t>
      </w:r>
      <w:r w:rsidRPr="6F8BE874">
        <w:rPr>
          <w:rFonts w:ascii="Lato" w:eastAsia="Malgun Gothic" w:hAnsi="Lato" w:cs="Calibri"/>
        </w:rPr>
        <w:t>ę</w:t>
      </w:r>
      <w:r w:rsidRPr="6F8BE874">
        <w:rPr>
          <w:rFonts w:ascii="Lato" w:eastAsia="Malgun Gothic" w:hAnsi="Lato"/>
        </w:rPr>
        <w:t xml:space="preserve"> (26,3 GWh/dob</w:t>
      </w:r>
      <w:r w:rsidRPr="6F8BE874">
        <w:rPr>
          <w:rFonts w:ascii="Lato" w:eastAsia="Malgun Gothic" w:hAnsi="Lato" w:cs="Calibri"/>
        </w:rPr>
        <w:t>ę</w:t>
      </w:r>
      <w:r w:rsidRPr="6F8BE874">
        <w:rPr>
          <w:rFonts w:ascii="Lato" w:eastAsia="Malgun Gothic" w:hAnsi="Lato"/>
        </w:rPr>
        <w:t>). Jako szczytowe zapotrzebowanie przyj</w:t>
      </w:r>
      <w:r w:rsidRPr="6F8BE874">
        <w:rPr>
          <w:rFonts w:ascii="Lato" w:eastAsia="Malgun Gothic" w:hAnsi="Lato" w:cs="Calibri"/>
        </w:rPr>
        <w:t>ę</w:t>
      </w:r>
      <w:r w:rsidRPr="6F8BE874">
        <w:rPr>
          <w:rFonts w:ascii="Lato" w:eastAsia="Malgun Gothic" w:hAnsi="Lato"/>
        </w:rPr>
        <w:t>to 5,0 mln m</w:t>
      </w:r>
      <w:r w:rsidRPr="6F8BE874">
        <w:rPr>
          <w:rFonts w:ascii="Lato" w:eastAsia="Malgun Gothic" w:hAnsi="Lato"/>
          <w:vertAlign w:val="superscript"/>
        </w:rPr>
        <w:t>3</w:t>
      </w:r>
      <w:r w:rsidRPr="6F8BE874">
        <w:rPr>
          <w:rFonts w:ascii="Lato" w:eastAsia="Malgun Gothic" w:hAnsi="Lato"/>
        </w:rPr>
        <w:t>/dob</w:t>
      </w:r>
      <w:r w:rsidRPr="6F8BE874">
        <w:rPr>
          <w:rFonts w:ascii="Lato" w:eastAsia="Malgun Gothic" w:hAnsi="Lato" w:cs="Calibri"/>
        </w:rPr>
        <w:t>ę</w:t>
      </w:r>
      <w:r w:rsidRPr="6F8BE874">
        <w:rPr>
          <w:rFonts w:ascii="Lato" w:eastAsia="Malgun Gothic" w:hAnsi="Lato"/>
        </w:rPr>
        <w:t xml:space="preserve"> (54,9 GWh/dob</w:t>
      </w:r>
      <w:r w:rsidRPr="6F8BE874">
        <w:rPr>
          <w:rFonts w:ascii="Lato" w:eastAsia="Malgun Gothic" w:hAnsi="Lato" w:cs="Calibri"/>
        </w:rPr>
        <w:t>ę</w:t>
      </w:r>
      <w:r w:rsidRPr="6F8BE874">
        <w:rPr>
          <w:rFonts w:ascii="Lato" w:eastAsia="Malgun Gothic" w:hAnsi="Lato"/>
        </w:rPr>
        <w:t>), które wyst</w:t>
      </w:r>
      <w:r w:rsidRPr="6F8BE874">
        <w:rPr>
          <w:rFonts w:ascii="Lato" w:eastAsia="Malgun Gothic" w:hAnsi="Lato" w:cs="Calibri"/>
        </w:rPr>
        <w:t>ą</w:t>
      </w:r>
      <w:r w:rsidRPr="6F8BE874">
        <w:rPr>
          <w:rFonts w:ascii="Lato" w:eastAsia="Malgun Gothic" w:hAnsi="Lato"/>
        </w:rPr>
        <w:t>pi</w:t>
      </w:r>
      <w:r w:rsidRPr="6F8BE874">
        <w:rPr>
          <w:rFonts w:ascii="Lato" w:eastAsia="Malgun Gothic" w:hAnsi="Lato" w:cs="Malgun Gothic"/>
        </w:rPr>
        <w:t>ł</w:t>
      </w:r>
      <w:r w:rsidRPr="6F8BE874">
        <w:rPr>
          <w:rFonts w:ascii="Lato" w:eastAsia="Malgun Gothic" w:hAnsi="Lato"/>
        </w:rPr>
        <w:t>o w dniu 7 lutego 2012 r.</w:t>
      </w:r>
    </w:p>
    <w:p w14:paraId="0BC30D5D" w14:textId="664F97F7" w:rsidR="00B03DBA" w:rsidRPr="004D6A74" w:rsidRDefault="00C7771E" w:rsidP="000A5326">
      <w:pPr>
        <w:pStyle w:val="Tabela"/>
        <w:spacing w:before="120" w:after="120"/>
        <w:rPr>
          <w:rFonts w:ascii="Lato" w:hAnsi="Lato"/>
        </w:rPr>
      </w:pPr>
      <w:r w:rsidRPr="004D6A74">
        <w:rPr>
          <w:rFonts w:ascii="Lato" w:hAnsi="Lato"/>
        </w:rPr>
        <w:t xml:space="preserve">Tabela </w:t>
      </w:r>
      <w:r w:rsidR="002C139B">
        <w:rPr>
          <w:rFonts w:ascii="Lato" w:hAnsi="Lato"/>
        </w:rPr>
        <w:t>6</w:t>
      </w:r>
      <w:r w:rsidRPr="004D6A74">
        <w:rPr>
          <w:rFonts w:ascii="Lato" w:hAnsi="Lato"/>
        </w:rPr>
        <w:t>. Wskaźnik N-1 dla systemu gazu ziemnego Lw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1824"/>
      </w:tblGrid>
      <w:tr w:rsidR="00AE5E42" w:rsidRPr="00C758B1" w14:paraId="08DCB323" w14:textId="77777777" w:rsidTr="000A5326">
        <w:trPr>
          <w:jc w:val="center"/>
        </w:trPr>
        <w:tc>
          <w:tcPr>
            <w:tcW w:w="0" w:type="auto"/>
            <w:shd w:val="clear" w:color="auto" w:fill="D9D9D9"/>
            <w:vAlign w:val="center"/>
          </w:tcPr>
          <w:p w14:paraId="3D76316E"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Współczynnik</w:t>
            </w:r>
          </w:p>
        </w:tc>
        <w:tc>
          <w:tcPr>
            <w:tcW w:w="1824" w:type="dxa"/>
            <w:shd w:val="clear" w:color="auto" w:fill="D9D9D9"/>
            <w:vAlign w:val="center"/>
          </w:tcPr>
          <w:p w14:paraId="7A5314EF" w14:textId="77777777" w:rsidR="00AE5E42" w:rsidRPr="00C758B1" w:rsidRDefault="00AE5E42" w:rsidP="000A5326">
            <w:pPr>
              <w:spacing w:after="0" w:line="276" w:lineRule="auto"/>
              <w:jc w:val="center"/>
              <w:rPr>
                <w:rFonts w:ascii="Lato" w:eastAsia="Malgun Gothic" w:hAnsi="Lato"/>
                <w:sz w:val="20"/>
                <w:szCs w:val="20"/>
              </w:rPr>
            </w:pPr>
            <w:r w:rsidRPr="00C758B1">
              <w:rPr>
                <w:rFonts w:ascii="Lato" w:eastAsia="Malgun Gothic" w:hAnsi="Lato"/>
                <w:sz w:val="20"/>
                <w:szCs w:val="20"/>
              </w:rPr>
              <w:t>Warto</w:t>
            </w:r>
            <w:r w:rsidRPr="00C758B1">
              <w:rPr>
                <w:rFonts w:ascii="Lato" w:eastAsia="Malgun Gothic" w:hAnsi="Lato" w:cs="Calibri"/>
                <w:sz w:val="20"/>
                <w:szCs w:val="20"/>
              </w:rPr>
              <w:t>ść</w:t>
            </w:r>
            <w:r w:rsidRPr="00C758B1">
              <w:rPr>
                <w:rFonts w:ascii="Lato" w:eastAsia="Malgun Gothic" w:hAnsi="Lato"/>
                <w:sz w:val="20"/>
                <w:szCs w:val="20"/>
              </w:rPr>
              <w:t xml:space="preserve"> </w:t>
            </w:r>
          </w:p>
          <w:p w14:paraId="60571C11" w14:textId="77777777" w:rsidR="00AE5E42" w:rsidRPr="00C758B1" w:rsidRDefault="00AE5E42" w:rsidP="000A5326">
            <w:pPr>
              <w:spacing w:after="0" w:line="276" w:lineRule="auto"/>
              <w:jc w:val="center"/>
              <w:rPr>
                <w:rFonts w:ascii="Lato" w:eastAsia="Malgun Gothic" w:hAnsi="Lato"/>
                <w:sz w:val="20"/>
                <w:szCs w:val="20"/>
              </w:rPr>
            </w:pPr>
            <w:r w:rsidRPr="00C758B1">
              <w:rPr>
                <w:rFonts w:ascii="Lato" w:eastAsia="Malgun Gothic" w:hAnsi="Lato"/>
                <w:sz w:val="20"/>
                <w:szCs w:val="20"/>
              </w:rPr>
              <w:t>mln m</w:t>
            </w:r>
            <w:r w:rsidRPr="00C758B1">
              <w:rPr>
                <w:rFonts w:ascii="Lato" w:eastAsia="Malgun Gothic" w:hAnsi="Lato"/>
                <w:sz w:val="20"/>
                <w:szCs w:val="20"/>
                <w:vertAlign w:val="superscript"/>
              </w:rPr>
              <w:t>3</w:t>
            </w:r>
            <w:r w:rsidRPr="00C758B1">
              <w:rPr>
                <w:rFonts w:ascii="Lato" w:eastAsia="Malgun Gothic" w:hAnsi="Lato"/>
                <w:sz w:val="20"/>
                <w:szCs w:val="20"/>
              </w:rPr>
              <w:t>/dob</w:t>
            </w:r>
            <w:r w:rsidRPr="00C758B1">
              <w:rPr>
                <w:rFonts w:ascii="Lato" w:eastAsia="Malgun Gothic" w:hAnsi="Lato" w:cs="Calibri"/>
                <w:sz w:val="20"/>
                <w:szCs w:val="20"/>
              </w:rPr>
              <w:t>ę</w:t>
            </w:r>
          </w:p>
        </w:tc>
      </w:tr>
      <w:tr w:rsidR="00AE5E42" w:rsidRPr="00C758B1" w14:paraId="0F9DAF4E" w14:textId="77777777" w:rsidTr="000A5326">
        <w:trPr>
          <w:jc w:val="center"/>
        </w:trPr>
        <w:tc>
          <w:tcPr>
            <w:tcW w:w="0" w:type="auto"/>
            <w:vAlign w:val="center"/>
          </w:tcPr>
          <w:p w14:paraId="15D0FBF7"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EP</w:t>
            </w:r>
            <w:r w:rsidRPr="00C758B1">
              <w:rPr>
                <w:rFonts w:ascii="Lato" w:eastAsia="Malgun Gothic" w:hAnsi="Lato"/>
                <w:sz w:val="20"/>
                <w:szCs w:val="20"/>
                <w:vertAlign w:val="subscript"/>
              </w:rPr>
              <w:t>m</w:t>
            </w:r>
          </w:p>
        </w:tc>
        <w:tc>
          <w:tcPr>
            <w:tcW w:w="1824" w:type="dxa"/>
            <w:vAlign w:val="center"/>
          </w:tcPr>
          <w:p w14:paraId="0D5EF9B1"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w:t>
            </w:r>
          </w:p>
        </w:tc>
      </w:tr>
      <w:tr w:rsidR="00AE5E42" w:rsidRPr="00C758B1" w14:paraId="4DE84EE8" w14:textId="77777777" w:rsidTr="000A5326">
        <w:trPr>
          <w:jc w:val="center"/>
        </w:trPr>
        <w:tc>
          <w:tcPr>
            <w:tcW w:w="0" w:type="auto"/>
            <w:vAlign w:val="center"/>
          </w:tcPr>
          <w:p w14:paraId="2F5AF910"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S</w:t>
            </w:r>
            <w:r w:rsidRPr="00C758B1">
              <w:rPr>
                <w:rFonts w:ascii="Lato" w:eastAsia="Malgun Gothic" w:hAnsi="Lato"/>
                <w:sz w:val="20"/>
                <w:szCs w:val="20"/>
                <w:vertAlign w:val="subscript"/>
              </w:rPr>
              <w:t>m</w:t>
            </w:r>
          </w:p>
        </w:tc>
        <w:tc>
          <w:tcPr>
            <w:tcW w:w="1824" w:type="dxa"/>
            <w:vAlign w:val="center"/>
          </w:tcPr>
          <w:p w14:paraId="5011975B"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2,4</w:t>
            </w:r>
          </w:p>
        </w:tc>
      </w:tr>
      <w:tr w:rsidR="00AE5E42" w:rsidRPr="00C758B1" w14:paraId="0F2F0AC3" w14:textId="77777777" w:rsidTr="000A5326">
        <w:trPr>
          <w:jc w:val="center"/>
        </w:trPr>
        <w:tc>
          <w:tcPr>
            <w:tcW w:w="0" w:type="auto"/>
            <w:vAlign w:val="center"/>
          </w:tcPr>
          <w:p w14:paraId="6427F3BE"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P</w:t>
            </w:r>
            <w:r w:rsidRPr="00C758B1">
              <w:rPr>
                <w:rFonts w:ascii="Lato" w:eastAsia="Malgun Gothic" w:hAnsi="Lato"/>
                <w:sz w:val="20"/>
                <w:szCs w:val="20"/>
                <w:vertAlign w:val="subscript"/>
              </w:rPr>
              <w:t>m</w:t>
            </w:r>
          </w:p>
        </w:tc>
        <w:tc>
          <w:tcPr>
            <w:tcW w:w="1824" w:type="dxa"/>
            <w:vAlign w:val="center"/>
          </w:tcPr>
          <w:p w14:paraId="6BBEBB94"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7,8</w:t>
            </w:r>
          </w:p>
        </w:tc>
      </w:tr>
      <w:tr w:rsidR="00AE5E42" w:rsidRPr="00C758B1" w14:paraId="4FB26B2C" w14:textId="77777777" w:rsidTr="000A5326">
        <w:trPr>
          <w:jc w:val="center"/>
        </w:trPr>
        <w:tc>
          <w:tcPr>
            <w:tcW w:w="0" w:type="auto"/>
            <w:vAlign w:val="center"/>
          </w:tcPr>
          <w:p w14:paraId="1ABCA732"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LNG</w:t>
            </w:r>
            <w:r w:rsidRPr="00C758B1">
              <w:rPr>
                <w:rFonts w:ascii="Lato" w:eastAsia="Malgun Gothic" w:hAnsi="Lato"/>
                <w:sz w:val="20"/>
                <w:szCs w:val="20"/>
                <w:vertAlign w:val="subscript"/>
              </w:rPr>
              <w:t>m</w:t>
            </w:r>
          </w:p>
        </w:tc>
        <w:tc>
          <w:tcPr>
            <w:tcW w:w="1824" w:type="dxa"/>
            <w:vAlign w:val="center"/>
          </w:tcPr>
          <w:p w14:paraId="5266E029"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w:t>
            </w:r>
          </w:p>
        </w:tc>
      </w:tr>
      <w:tr w:rsidR="00AE5E42" w:rsidRPr="00C758B1" w14:paraId="471BF6EE" w14:textId="77777777" w:rsidTr="000A5326">
        <w:trPr>
          <w:jc w:val="center"/>
        </w:trPr>
        <w:tc>
          <w:tcPr>
            <w:tcW w:w="0" w:type="auto"/>
            <w:vAlign w:val="center"/>
          </w:tcPr>
          <w:p w14:paraId="0AC64E81"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I</w:t>
            </w:r>
            <w:r w:rsidRPr="00C758B1">
              <w:rPr>
                <w:rFonts w:ascii="Lato" w:eastAsia="Malgun Gothic" w:hAnsi="Lato"/>
                <w:sz w:val="20"/>
                <w:szCs w:val="20"/>
                <w:vertAlign w:val="subscript"/>
              </w:rPr>
              <w:t>m</w:t>
            </w:r>
          </w:p>
        </w:tc>
        <w:tc>
          <w:tcPr>
            <w:tcW w:w="1824" w:type="dxa"/>
            <w:vAlign w:val="center"/>
          </w:tcPr>
          <w:p w14:paraId="74BE6455"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3,5</w:t>
            </w:r>
          </w:p>
        </w:tc>
      </w:tr>
      <w:tr w:rsidR="00AE5E42" w:rsidRPr="00C758B1" w14:paraId="14E47607" w14:textId="77777777" w:rsidTr="000A5326">
        <w:trPr>
          <w:jc w:val="center"/>
        </w:trPr>
        <w:tc>
          <w:tcPr>
            <w:tcW w:w="0" w:type="auto"/>
            <w:tcBorders>
              <w:bottom w:val="double" w:sz="4" w:space="0" w:color="auto"/>
            </w:tcBorders>
            <w:vAlign w:val="center"/>
          </w:tcPr>
          <w:p w14:paraId="16DCF197"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D</w:t>
            </w:r>
            <w:r w:rsidRPr="00C758B1">
              <w:rPr>
                <w:rFonts w:ascii="Lato" w:eastAsia="Malgun Gothic" w:hAnsi="Lato"/>
                <w:sz w:val="20"/>
                <w:szCs w:val="20"/>
                <w:vertAlign w:val="subscript"/>
              </w:rPr>
              <w:t>max</w:t>
            </w:r>
          </w:p>
        </w:tc>
        <w:tc>
          <w:tcPr>
            <w:tcW w:w="1824" w:type="dxa"/>
            <w:tcBorders>
              <w:bottom w:val="double" w:sz="4" w:space="0" w:color="auto"/>
            </w:tcBorders>
            <w:vAlign w:val="center"/>
          </w:tcPr>
          <w:p w14:paraId="352CDB43"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5,0</w:t>
            </w:r>
          </w:p>
        </w:tc>
      </w:tr>
      <w:tr w:rsidR="00AE5E42" w:rsidRPr="00C758B1" w14:paraId="4CDD5334" w14:textId="77777777" w:rsidTr="000A5326">
        <w:trPr>
          <w:jc w:val="center"/>
        </w:trPr>
        <w:tc>
          <w:tcPr>
            <w:tcW w:w="0" w:type="auto"/>
            <w:tcBorders>
              <w:top w:val="double" w:sz="4" w:space="0" w:color="auto"/>
              <w:left w:val="double" w:sz="4" w:space="0" w:color="auto"/>
              <w:bottom w:val="double" w:sz="4" w:space="0" w:color="auto"/>
              <w:right w:val="double" w:sz="4" w:space="0" w:color="auto"/>
            </w:tcBorders>
            <w:shd w:val="clear" w:color="auto" w:fill="D9D9D9"/>
            <w:vAlign w:val="center"/>
          </w:tcPr>
          <w:p w14:paraId="1B90B879"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N-1</w:t>
            </w:r>
          </w:p>
        </w:tc>
        <w:tc>
          <w:tcPr>
            <w:tcW w:w="1824" w:type="dxa"/>
            <w:tcBorders>
              <w:top w:val="double" w:sz="4" w:space="0" w:color="auto"/>
              <w:left w:val="double" w:sz="4" w:space="0" w:color="auto"/>
              <w:bottom w:val="double" w:sz="4" w:space="0" w:color="auto"/>
              <w:right w:val="double" w:sz="4" w:space="0" w:color="auto"/>
            </w:tcBorders>
            <w:shd w:val="clear" w:color="auto" w:fill="D9D9D9"/>
            <w:vAlign w:val="center"/>
          </w:tcPr>
          <w:p w14:paraId="1A01A9D7"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134%</w:t>
            </w:r>
          </w:p>
        </w:tc>
      </w:tr>
    </w:tbl>
    <w:p w14:paraId="3ED32989" w14:textId="77777777" w:rsidR="00B03DBA" w:rsidRPr="00C758B1" w:rsidRDefault="00C7771E" w:rsidP="000A5326">
      <w:pPr>
        <w:pStyle w:val="Rozdzia3"/>
        <w:rPr>
          <w:rFonts w:ascii="Lato" w:hAnsi="Lato"/>
        </w:rPr>
      </w:pPr>
      <w:bookmarkStart w:id="238" w:name="_Toc142469572"/>
      <w:r w:rsidRPr="00C758B1">
        <w:rPr>
          <w:rFonts w:ascii="Lato" w:hAnsi="Lato"/>
        </w:rPr>
        <w:t>System gazu ziemnego Ls</w:t>
      </w:r>
      <w:bookmarkEnd w:id="238"/>
    </w:p>
    <w:p w14:paraId="765334FB" w14:textId="4CB0BF0A" w:rsidR="00086AFF" w:rsidRPr="004D7EBB" w:rsidRDefault="00C7771E" w:rsidP="004D7EBB">
      <w:pPr>
        <w:spacing w:line="276" w:lineRule="auto"/>
        <w:rPr>
          <w:rFonts w:ascii="Lato" w:hAnsi="Lato"/>
        </w:rPr>
      </w:pPr>
      <w:r w:rsidRPr="00D1163A">
        <w:rPr>
          <w:rFonts w:ascii="Lato" w:hAnsi="Lato"/>
        </w:rPr>
        <w:tab/>
      </w:r>
      <w:r w:rsidR="00AE5E42" w:rsidRPr="00D1163A">
        <w:rPr>
          <w:rFonts w:ascii="Lato" w:hAnsi="Lato"/>
        </w:rPr>
        <w:t>Do obliczania technicznych zdolności infrastruktury do zaspokojenia zapotrzebowania na gaz ziemny zaazotowany Ls za największy element infrastruktury</w:t>
      </w:r>
      <w:r w:rsidR="008830DE">
        <w:rPr>
          <w:rFonts w:ascii="Lato" w:hAnsi="Lato"/>
        </w:rPr>
        <w:t>,</w:t>
      </w:r>
      <w:r w:rsidR="00AE5E42" w:rsidRPr="00D1163A">
        <w:rPr>
          <w:rFonts w:ascii="Lato" w:hAnsi="Lato"/>
        </w:rPr>
        <w:t xml:space="preserve"> posiadający największą zdolność zaopatrzenia obszaru analizowanego w gaz ziemny zaazotowany</w:t>
      </w:r>
      <w:r w:rsidR="008830DE">
        <w:rPr>
          <w:rFonts w:ascii="Lato" w:hAnsi="Lato"/>
        </w:rPr>
        <w:t>,</w:t>
      </w:r>
      <w:r w:rsidR="00AE5E42" w:rsidRPr="00D1163A">
        <w:rPr>
          <w:rFonts w:ascii="Lato" w:hAnsi="Lato"/>
        </w:rPr>
        <w:t xml:space="preserve"> przyjęto MG Gorzysław o zdolnościach technicznych na poziomie 0,48 mln m</w:t>
      </w:r>
      <w:r w:rsidR="00AE5E42" w:rsidRPr="000A5326">
        <w:rPr>
          <w:rFonts w:ascii="Lato" w:hAnsi="Lato"/>
          <w:vertAlign w:val="superscript"/>
        </w:rPr>
        <w:t>3</w:t>
      </w:r>
      <w:r w:rsidR="00AE5E42" w:rsidRPr="00D1163A">
        <w:rPr>
          <w:rFonts w:ascii="Lato" w:hAnsi="Lato"/>
        </w:rPr>
        <w:t>/dobę (5,3 GWh/dobę). Przyjęto, że zapotrzebowanie odbiorców przyłączonych do systemu gazu ziemnego Ls utrzymuje się na stałym poziomie. Maksymalny pobór przyjęto na poziomie 0,84 mln m</w:t>
      </w:r>
      <w:r w:rsidR="00AE5E42" w:rsidRPr="000A5326">
        <w:rPr>
          <w:rFonts w:ascii="Lato" w:hAnsi="Lato"/>
          <w:vertAlign w:val="superscript"/>
        </w:rPr>
        <w:t>3</w:t>
      </w:r>
      <w:r w:rsidR="00AE5E42" w:rsidRPr="00D1163A">
        <w:rPr>
          <w:rFonts w:ascii="Lato" w:hAnsi="Lato"/>
        </w:rPr>
        <w:t>/dobę (6,7 GWh/dobę). Przyjęto, że zdolność punktów wejścia jest równa zdolności wydobywczej. Zdolność magazynowa równa jest zdolności odbioru gazu z PMG Daszewo.</w:t>
      </w:r>
    </w:p>
    <w:p w14:paraId="3C332F67" w14:textId="0B7A8529" w:rsidR="00B03DBA" w:rsidRPr="000A5326" w:rsidRDefault="00C7771E" w:rsidP="000A5326">
      <w:pPr>
        <w:pStyle w:val="Tabela"/>
        <w:spacing w:before="120" w:after="120"/>
        <w:rPr>
          <w:rFonts w:ascii="Lato" w:hAnsi="Lato"/>
          <w:sz w:val="22"/>
          <w:szCs w:val="22"/>
        </w:rPr>
      </w:pPr>
      <w:r w:rsidRPr="000A5326">
        <w:rPr>
          <w:rFonts w:ascii="Lato" w:hAnsi="Lato"/>
          <w:sz w:val="22"/>
          <w:szCs w:val="22"/>
        </w:rPr>
        <w:t xml:space="preserve">Tabela </w:t>
      </w:r>
      <w:r w:rsidR="002C139B">
        <w:rPr>
          <w:rFonts w:ascii="Lato" w:hAnsi="Lato"/>
          <w:sz w:val="22"/>
          <w:szCs w:val="22"/>
        </w:rPr>
        <w:t>7</w:t>
      </w:r>
      <w:r w:rsidRPr="000A5326">
        <w:rPr>
          <w:rFonts w:ascii="Lato" w:hAnsi="Lato"/>
          <w:sz w:val="22"/>
          <w:szCs w:val="22"/>
        </w:rPr>
        <w:t>. Wskaźnik N-1 dla systemu gazu ziemnego 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1824"/>
      </w:tblGrid>
      <w:tr w:rsidR="00AE5E42" w:rsidRPr="00C758B1" w14:paraId="464C31C6" w14:textId="77777777" w:rsidTr="000A5326">
        <w:trPr>
          <w:jc w:val="center"/>
        </w:trPr>
        <w:tc>
          <w:tcPr>
            <w:tcW w:w="0" w:type="auto"/>
            <w:shd w:val="clear" w:color="auto" w:fill="D9D9D9"/>
            <w:vAlign w:val="center"/>
          </w:tcPr>
          <w:p w14:paraId="08D2E9BF"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Współczynnik</w:t>
            </w:r>
          </w:p>
        </w:tc>
        <w:tc>
          <w:tcPr>
            <w:tcW w:w="1824" w:type="dxa"/>
            <w:shd w:val="clear" w:color="auto" w:fill="D9D9D9"/>
            <w:vAlign w:val="center"/>
          </w:tcPr>
          <w:p w14:paraId="1E5E0341" w14:textId="77777777" w:rsidR="00AE5E42" w:rsidRPr="00C758B1" w:rsidRDefault="00AE5E42" w:rsidP="000A5326">
            <w:pPr>
              <w:spacing w:after="0" w:line="276" w:lineRule="auto"/>
              <w:jc w:val="center"/>
              <w:rPr>
                <w:rFonts w:ascii="Lato" w:eastAsia="Malgun Gothic" w:hAnsi="Lato"/>
                <w:sz w:val="20"/>
                <w:szCs w:val="20"/>
              </w:rPr>
            </w:pPr>
            <w:r w:rsidRPr="00C758B1">
              <w:rPr>
                <w:rFonts w:ascii="Lato" w:eastAsia="Malgun Gothic" w:hAnsi="Lato"/>
                <w:sz w:val="20"/>
                <w:szCs w:val="20"/>
              </w:rPr>
              <w:t>Warto</w:t>
            </w:r>
            <w:r w:rsidRPr="00C758B1">
              <w:rPr>
                <w:rFonts w:ascii="Lato" w:eastAsia="Malgun Gothic" w:hAnsi="Lato" w:cs="Calibri"/>
                <w:sz w:val="20"/>
                <w:szCs w:val="20"/>
              </w:rPr>
              <w:t>ść</w:t>
            </w:r>
            <w:r w:rsidRPr="00C758B1">
              <w:rPr>
                <w:rFonts w:ascii="Lato" w:eastAsia="Malgun Gothic" w:hAnsi="Lato"/>
                <w:sz w:val="20"/>
                <w:szCs w:val="20"/>
              </w:rPr>
              <w:t xml:space="preserve"> </w:t>
            </w:r>
          </w:p>
          <w:p w14:paraId="17AF974D" w14:textId="77777777" w:rsidR="00AE5E42" w:rsidRPr="00C758B1" w:rsidRDefault="00AE5E42" w:rsidP="000A5326">
            <w:pPr>
              <w:spacing w:after="0" w:line="276" w:lineRule="auto"/>
              <w:jc w:val="center"/>
              <w:rPr>
                <w:rFonts w:ascii="Lato" w:eastAsia="Malgun Gothic" w:hAnsi="Lato"/>
                <w:sz w:val="20"/>
                <w:szCs w:val="20"/>
              </w:rPr>
            </w:pPr>
            <w:r w:rsidRPr="00C758B1">
              <w:rPr>
                <w:rFonts w:ascii="Lato" w:eastAsia="Malgun Gothic" w:hAnsi="Lato"/>
                <w:sz w:val="20"/>
                <w:szCs w:val="20"/>
              </w:rPr>
              <w:t>mln m</w:t>
            </w:r>
            <w:r w:rsidRPr="00C758B1">
              <w:rPr>
                <w:rFonts w:ascii="Lato" w:eastAsia="Malgun Gothic" w:hAnsi="Lato"/>
                <w:sz w:val="20"/>
                <w:szCs w:val="20"/>
                <w:vertAlign w:val="superscript"/>
              </w:rPr>
              <w:t>3</w:t>
            </w:r>
            <w:r w:rsidRPr="00C758B1">
              <w:rPr>
                <w:rFonts w:ascii="Lato" w:eastAsia="Malgun Gothic" w:hAnsi="Lato"/>
                <w:sz w:val="20"/>
                <w:szCs w:val="20"/>
              </w:rPr>
              <w:t>/dob</w:t>
            </w:r>
            <w:r w:rsidRPr="00C758B1">
              <w:rPr>
                <w:rFonts w:ascii="Lato" w:eastAsia="Malgun Gothic" w:hAnsi="Lato" w:cs="Calibri"/>
                <w:sz w:val="20"/>
                <w:szCs w:val="20"/>
              </w:rPr>
              <w:t>ę</w:t>
            </w:r>
          </w:p>
        </w:tc>
      </w:tr>
      <w:tr w:rsidR="00AE5E42" w:rsidRPr="00C758B1" w14:paraId="0E4E7276" w14:textId="77777777" w:rsidTr="000A5326">
        <w:trPr>
          <w:jc w:val="center"/>
        </w:trPr>
        <w:tc>
          <w:tcPr>
            <w:tcW w:w="0" w:type="auto"/>
            <w:vAlign w:val="center"/>
          </w:tcPr>
          <w:p w14:paraId="741E59BC"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lastRenderedPageBreak/>
              <w:t>EP</w:t>
            </w:r>
            <w:r w:rsidRPr="00C758B1">
              <w:rPr>
                <w:rFonts w:ascii="Lato" w:eastAsia="Malgun Gothic" w:hAnsi="Lato"/>
                <w:sz w:val="20"/>
                <w:szCs w:val="20"/>
                <w:vertAlign w:val="subscript"/>
              </w:rPr>
              <w:t>m</w:t>
            </w:r>
          </w:p>
        </w:tc>
        <w:tc>
          <w:tcPr>
            <w:tcW w:w="1824" w:type="dxa"/>
            <w:vAlign w:val="center"/>
          </w:tcPr>
          <w:p w14:paraId="4B657536"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w:t>
            </w:r>
          </w:p>
        </w:tc>
      </w:tr>
      <w:tr w:rsidR="00AE5E42" w:rsidRPr="00C758B1" w14:paraId="398FDFF6" w14:textId="77777777" w:rsidTr="000A5326">
        <w:trPr>
          <w:jc w:val="center"/>
        </w:trPr>
        <w:tc>
          <w:tcPr>
            <w:tcW w:w="0" w:type="auto"/>
            <w:vAlign w:val="center"/>
          </w:tcPr>
          <w:p w14:paraId="7289C42C"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S</w:t>
            </w:r>
            <w:r w:rsidRPr="00C758B1">
              <w:rPr>
                <w:rFonts w:ascii="Lato" w:eastAsia="Malgun Gothic" w:hAnsi="Lato"/>
                <w:sz w:val="20"/>
                <w:szCs w:val="20"/>
                <w:vertAlign w:val="subscript"/>
              </w:rPr>
              <w:t>m</w:t>
            </w:r>
          </w:p>
        </w:tc>
        <w:tc>
          <w:tcPr>
            <w:tcW w:w="1824" w:type="dxa"/>
            <w:vAlign w:val="center"/>
          </w:tcPr>
          <w:p w14:paraId="2A37CBBD"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0,48</w:t>
            </w:r>
          </w:p>
        </w:tc>
      </w:tr>
      <w:tr w:rsidR="00AE5E42" w:rsidRPr="00C758B1" w14:paraId="049095E1" w14:textId="77777777" w:rsidTr="000A5326">
        <w:trPr>
          <w:jc w:val="center"/>
        </w:trPr>
        <w:tc>
          <w:tcPr>
            <w:tcW w:w="0" w:type="auto"/>
            <w:vAlign w:val="center"/>
          </w:tcPr>
          <w:p w14:paraId="5F8FB316"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P</w:t>
            </w:r>
            <w:r w:rsidRPr="00C758B1">
              <w:rPr>
                <w:rFonts w:ascii="Lato" w:eastAsia="Malgun Gothic" w:hAnsi="Lato"/>
                <w:sz w:val="20"/>
                <w:szCs w:val="20"/>
                <w:vertAlign w:val="subscript"/>
              </w:rPr>
              <w:t>m</w:t>
            </w:r>
          </w:p>
        </w:tc>
        <w:tc>
          <w:tcPr>
            <w:tcW w:w="1824" w:type="dxa"/>
            <w:vAlign w:val="center"/>
          </w:tcPr>
          <w:p w14:paraId="26D64137"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1,09</w:t>
            </w:r>
          </w:p>
        </w:tc>
      </w:tr>
      <w:tr w:rsidR="00AE5E42" w:rsidRPr="00C758B1" w14:paraId="093D6FF6" w14:textId="77777777" w:rsidTr="000A5326">
        <w:trPr>
          <w:jc w:val="center"/>
        </w:trPr>
        <w:tc>
          <w:tcPr>
            <w:tcW w:w="0" w:type="auto"/>
            <w:vAlign w:val="center"/>
          </w:tcPr>
          <w:p w14:paraId="39D28360"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LNG</w:t>
            </w:r>
            <w:r w:rsidRPr="00C758B1">
              <w:rPr>
                <w:rFonts w:ascii="Lato" w:eastAsia="Malgun Gothic" w:hAnsi="Lato"/>
                <w:sz w:val="20"/>
                <w:szCs w:val="20"/>
                <w:vertAlign w:val="subscript"/>
              </w:rPr>
              <w:t>m</w:t>
            </w:r>
          </w:p>
        </w:tc>
        <w:tc>
          <w:tcPr>
            <w:tcW w:w="1824" w:type="dxa"/>
            <w:vAlign w:val="center"/>
          </w:tcPr>
          <w:p w14:paraId="5C06BAE9"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w:t>
            </w:r>
          </w:p>
        </w:tc>
      </w:tr>
      <w:tr w:rsidR="00AE5E42" w:rsidRPr="00C758B1" w14:paraId="697F50F6" w14:textId="77777777" w:rsidTr="000A5326">
        <w:trPr>
          <w:jc w:val="center"/>
        </w:trPr>
        <w:tc>
          <w:tcPr>
            <w:tcW w:w="0" w:type="auto"/>
            <w:vAlign w:val="center"/>
          </w:tcPr>
          <w:p w14:paraId="14FCF8C0"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I</w:t>
            </w:r>
            <w:r w:rsidRPr="00C758B1">
              <w:rPr>
                <w:rFonts w:ascii="Lato" w:eastAsia="Malgun Gothic" w:hAnsi="Lato"/>
                <w:sz w:val="20"/>
                <w:szCs w:val="20"/>
                <w:vertAlign w:val="subscript"/>
              </w:rPr>
              <w:t>m</w:t>
            </w:r>
          </w:p>
        </w:tc>
        <w:tc>
          <w:tcPr>
            <w:tcW w:w="1824" w:type="dxa"/>
            <w:vAlign w:val="center"/>
          </w:tcPr>
          <w:p w14:paraId="47DFA30F"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0,48</w:t>
            </w:r>
          </w:p>
        </w:tc>
      </w:tr>
      <w:tr w:rsidR="00AE5E42" w:rsidRPr="00C758B1" w14:paraId="1F106EDF" w14:textId="77777777" w:rsidTr="000A5326">
        <w:trPr>
          <w:jc w:val="center"/>
        </w:trPr>
        <w:tc>
          <w:tcPr>
            <w:tcW w:w="0" w:type="auto"/>
            <w:tcBorders>
              <w:bottom w:val="double" w:sz="4" w:space="0" w:color="auto"/>
            </w:tcBorders>
            <w:vAlign w:val="center"/>
          </w:tcPr>
          <w:p w14:paraId="5451D764"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D</w:t>
            </w:r>
            <w:r w:rsidRPr="00C758B1">
              <w:rPr>
                <w:rFonts w:ascii="Lato" w:eastAsia="Malgun Gothic" w:hAnsi="Lato"/>
                <w:sz w:val="20"/>
                <w:szCs w:val="20"/>
                <w:vertAlign w:val="subscript"/>
              </w:rPr>
              <w:t>max</w:t>
            </w:r>
          </w:p>
        </w:tc>
        <w:tc>
          <w:tcPr>
            <w:tcW w:w="1824" w:type="dxa"/>
            <w:tcBorders>
              <w:bottom w:val="double" w:sz="4" w:space="0" w:color="auto"/>
            </w:tcBorders>
            <w:vAlign w:val="center"/>
          </w:tcPr>
          <w:p w14:paraId="62C0F1FD"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0,77</w:t>
            </w:r>
          </w:p>
        </w:tc>
      </w:tr>
      <w:tr w:rsidR="00AE5E42" w:rsidRPr="00C758B1" w14:paraId="6CAAC0DC" w14:textId="77777777" w:rsidTr="000A5326">
        <w:trPr>
          <w:jc w:val="center"/>
        </w:trPr>
        <w:tc>
          <w:tcPr>
            <w:tcW w:w="0" w:type="auto"/>
            <w:tcBorders>
              <w:top w:val="double" w:sz="4" w:space="0" w:color="auto"/>
              <w:left w:val="double" w:sz="4" w:space="0" w:color="auto"/>
              <w:bottom w:val="double" w:sz="4" w:space="0" w:color="auto"/>
              <w:right w:val="double" w:sz="4" w:space="0" w:color="auto"/>
            </w:tcBorders>
            <w:shd w:val="clear" w:color="auto" w:fill="D9D9D9"/>
            <w:vAlign w:val="center"/>
          </w:tcPr>
          <w:p w14:paraId="547A336F"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N-1</w:t>
            </w:r>
          </w:p>
        </w:tc>
        <w:tc>
          <w:tcPr>
            <w:tcW w:w="1824" w:type="dxa"/>
            <w:tcBorders>
              <w:top w:val="double" w:sz="4" w:space="0" w:color="auto"/>
              <w:left w:val="double" w:sz="4" w:space="0" w:color="auto"/>
              <w:bottom w:val="double" w:sz="4" w:space="0" w:color="auto"/>
              <w:right w:val="double" w:sz="4" w:space="0" w:color="auto"/>
            </w:tcBorders>
            <w:shd w:val="clear" w:color="auto" w:fill="D9D9D9"/>
            <w:vAlign w:val="center"/>
          </w:tcPr>
          <w:p w14:paraId="6F13FBAB" w14:textId="77777777" w:rsidR="00AE5E42" w:rsidRPr="00C758B1" w:rsidRDefault="00AE5E42" w:rsidP="00983C18">
            <w:pPr>
              <w:spacing w:line="276" w:lineRule="auto"/>
              <w:jc w:val="center"/>
              <w:rPr>
                <w:rFonts w:ascii="Lato" w:eastAsia="Malgun Gothic" w:hAnsi="Lato"/>
                <w:sz w:val="20"/>
                <w:szCs w:val="20"/>
              </w:rPr>
            </w:pPr>
            <w:r w:rsidRPr="00C758B1">
              <w:rPr>
                <w:rFonts w:ascii="Lato" w:eastAsia="Malgun Gothic" w:hAnsi="Lato"/>
                <w:sz w:val="20"/>
                <w:szCs w:val="20"/>
              </w:rPr>
              <w:t>141,6%</w:t>
            </w:r>
          </w:p>
        </w:tc>
      </w:tr>
    </w:tbl>
    <w:p w14:paraId="54FAF3A7" w14:textId="59B863D8" w:rsidR="00B03DBA" w:rsidRPr="00C758B1" w:rsidRDefault="00C7771E" w:rsidP="008830DE">
      <w:pPr>
        <w:pStyle w:val="Rozdzia2"/>
        <w:spacing w:after="120"/>
        <w:rPr>
          <w:rFonts w:ascii="Lato" w:hAnsi="Lato"/>
        </w:rPr>
      </w:pPr>
      <w:bookmarkStart w:id="239" w:name="_Toc140488988"/>
      <w:bookmarkStart w:id="240" w:name="_Toc140580980"/>
      <w:bookmarkStart w:id="241" w:name="_Toc12953917"/>
      <w:bookmarkStart w:id="242" w:name="_Toc19782950"/>
      <w:bookmarkStart w:id="243" w:name="_Toc142469573"/>
      <w:bookmarkEnd w:id="239"/>
      <w:bookmarkEnd w:id="240"/>
      <w:r w:rsidRPr="00C758B1">
        <w:rPr>
          <w:rFonts w:ascii="Lato" w:hAnsi="Lato"/>
        </w:rPr>
        <w:t>Zdolność przepływu w obu kierunkach</w:t>
      </w:r>
      <w:bookmarkEnd w:id="241"/>
      <w:bookmarkEnd w:id="242"/>
      <w:bookmarkEnd w:id="243"/>
    </w:p>
    <w:p w14:paraId="3A623CDD" w14:textId="3E71881A" w:rsidR="00B03DBA" w:rsidRPr="00D1163A" w:rsidRDefault="00C7771E" w:rsidP="008830DE">
      <w:pPr>
        <w:spacing w:after="60" w:line="276" w:lineRule="auto"/>
        <w:rPr>
          <w:rFonts w:ascii="Lato" w:hAnsi="Lato"/>
          <w:szCs w:val="24"/>
        </w:rPr>
      </w:pPr>
      <w:r w:rsidRPr="00C758B1">
        <w:tab/>
      </w:r>
      <w:r w:rsidRPr="00D1163A">
        <w:rPr>
          <w:rFonts w:ascii="Lato" w:hAnsi="Lato"/>
          <w:szCs w:val="24"/>
        </w:rPr>
        <w:t>Zgodnie z art. 5 ust. 4 rozporz</w:t>
      </w:r>
      <w:r w:rsidRPr="00D1163A">
        <w:rPr>
          <w:rFonts w:ascii="Lato" w:hAnsi="Lato" w:cs="Calibri"/>
          <w:szCs w:val="24"/>
        </w:rPr>
        <w:t>ą</w:t>
      </w:r>
      <w:r w:rsidRPr="00D1163A">
        <w:rPr>
          <w:rFonts w:ascii="Lato" w:hAnsi="Lato"/>
          <w:szCs w:val="24"/>
        </w:rPr>
        <w:t>dzenia 2017/1938</w:t>
      </w:r>
      <w:r w:rsidR="00D5155A">
        <w:rPr>
          <w:rFonts w:ascii="Lato" w:hAnsi="Lato" w:cs="Malgun Gothic"/>
          <w:szCs w:val="24"/>
        </w:rPr>
        <w:t xml:space="preserve"> </w:t>
      </w:r>
      <w:r w:rsidRPr="00D5155A">
        <w:rPr>
          <w:rFonts w:ascii="Lato" w:hAnsi="Lato"/>
          <w:i/>
          <w:iCs/>
          <w:szCs w:val="24"/>
        </w:rPr>
        <w:t>operatorzy system</w:t>
      </w:r>
      <w:r w:rsidRPr="00D5155A">
        <w:rPr>
          <w:rFonts w:ascii="Lato" w:hAnsi="Lato" w:cs="Malgun Gothic"/>
          <w:i/>
          <w:iCs/>
          <w:szCs w:val="24"/>
        </w:rPr>
        <w:t>ó</w:t>
      </w:r>
      <w:r w:rsidRPr="00D5155A">
        <w:rPr>
          <w:rFonts w:ascii="Lato" w:hAnsi="Lato"/>
          <w:i/>
          <w:iCs/>
          <w:szCs w:val="24"/>
        </w:rPr>
        <w:t>w przesy</w:t>
      </w:r>
      <w:r w:rsidRPr="00D5155A">
        <w:rPr>
          <w:rFonts w:ascii="Lato" w:hAnsi="Lato" w:cs="Malgun Gothic"/>
          <w:i/>
          <w:iCs/>
          <w:szCs w:val="24"/>
        </w:rPr>
        <w:t>ł</w:t>
      </w:r>
      <w:r w:rsidRPr="00D5155A">
        <w:rPr>
          <w:rFonts w:ascii="Lato" w:hAnsi="Lato"/>
          <w:i/>
          <w:iCs/>
          <w:szCs w:val="24"/>
        </w:rPr>
        <w:t>owych udost</w:t>
      </w:r>
      <w:r w:rsidRPr="00D5155A">
        <w:rPr>
          <w:rFonts w:ascii="Lato" w:hAnsi="Lato" w:cs="Calibri"/>
          <w:i/>
          <w:iCs/>
          <w:szCs w:val="24"/>
        </w:rPr>
        <w:t>ę</w:t>
      </w:r>
      <w:r w:rsidRPr="00D5155A">
        <w:rPr>
          <w:rFonts w:ascii="Lato" w:hAnsi="Lato"/>
          <w:i/>
          <w:iCs/>
          <w:szCs w:val="24"/>
        </w:rPr>
        <w:t>pni</w:t>
      </w:r>
      <w:r w:rsidRPr="00D5155A">
        <w:rPr>
          <w:rFonts w:ascii="Lato" w:hAnsi="Lato" w:cs="Calibri"/>
          <w:i/>
          <w:iCs/>
          <w:szCs w:val="24"/>
        </w:rPr>
        <w:t>ą</w:t>
      </w:r>
      <w:r w:rsidRPr="00D5155A">
        <w:rPr>
          <w:rFonts w:ascii="Lato" w:hAnsi="Lato"/>
          <w:i/>
          <w:iCs/>
          <w:szCs w:val="24"/>
        </w:rPr>
        <w:t xml:space="preserve"> sta</w:t>
      </w:r>
      <w:r w:rsidRPr="00D5155A">
        <w:rPr>
          <w:rFonts w:ascii="Lato" w:hAnsi="Lato" w:cs="Malgun Gothic"/>
          <w:i/>
          <w:iCs/>
          <w:szCs w:val="24"/>
        </w:rPr>
        <w:t>ł</w:t>
      </w:r>
      <w:r w:rsidRPr="00D5155A">
        <w:rPr>
          <w:rFonts w:ascii="Lato" w:hAnsi="Lato" w:cs="Calibri"/>
          <w:i/>
          <w:iCs/>
          <w:szCs w:val="24"/>
        </w:rPr>
        <w:t>ą</w:t>
      </w:r>
      <w:r w:rsidRPr="00D5155A">
        <w:rPr>
          <w:rFonts w:ascii="Lato" w:hAnsi="Lato"/>
          <w:i/>
          <w:iCs/>
          <w:szCs w:val="24"/>
        </w:rPr>
        <w:t xml:space="preserve"> fizyczn</w:t>
      </w:r>
      <w:r w:rsidRPr="00D5155A">
        <w:rPr>
          <w:rFonts w:ascii="Lato" w:hAnsi="Lato" w:cs="Calibri"/>
          <w:i/>
          <w:iCs/>
          <w:szCs w:val="24"/>
        </w:rPr>
        <w:t>ą</w:t>
      </w:r>
      <w:r w:rsidRPr="00D5155A">
        <w:rPr>
          <w:rFonts w:ascii="Lato" w:hAnsi="Lato"/>
          <w:i/>
          <w:iCs/>
          <w:szCs w:val="24"/>
        </w:rPr>
        <w:t xml:space="preserve"> zdolno</w:t>
      </w:r>
      <w:r w:rsidRPr="00D5155A">
        <w:rPr>
          <w:rFonts w:ascii="Lato" w:hAnsi="Lato" w:cs="Calibri"/>
          <w:i/>
          <w:iCs/>
          <w:szCs w:val="24"/>
        </w:rPr>
        <w:t>ść</w:t>
      </w:r>
      <w:r w:rsidRPr="00D5155A">
        <w:rPr>
          <w:rFonts w:ascii="Lato" w:hAnsi="Lato"/>
          <w:i/>
          <w:iCs/>
          <w:szCs w:val="24"/>
        </w:rPr>
        <w:t xml:space="preserve"> przesy</w:t>
      </w:r>
      <w:r w:rsidRPr="00D5155A">
        <w:rPr>
          <w:rFonts w:ascii="Lato" w:hAnsi="Lato" w:cs="Malgun Gothic"/>
          <w:i/>
          <w:iCs/>
          <w:szCs w:val="24"/>
        </w:rPr>
        <w:t>ł</w:t>
      </w:r>
      <w:r w:rsidRPr="00D5155A">
        <w:rPr>
          <w:rFonts w:ascii="Lato" w:hAnsi="Lato"/>
          <w:i/>
          <w:iCs/>
          <w:szCs w:val="24"/>
        </w:rPr>
        <w:t>u w obu kierunkach (zwan</w:t>
      </w:r>
      <w:r w:rsidRPr="00D5155A">
        <w:rPr>
          <w:rFonts w:ascii="Lato" w:hAnsi="Lato" w:cs="Calibri"/>
          <w:i/>
          <w:iCs/>
          <w:szCs w:val="24"/>
        </w:rPr>
        <w:t>ą</w:t>
      </w:r>
      <w:r w:rsidRPr="00D5155A">
        <w:rPr>
          <w:rFonts w:ascii="Lato" w:hAnsi="Lato"/>
          <w:i/>
          <w:iCs/>
          <w:szCs w:val="24"/>
        </w:rPr>
        <w:t xml:space="preserve"> dalej </w:t>
      </w:r>
      <w:r w:rsidRPr="00D5155A">
        <w:rPr>
          <w:rFonts w:ascii="Lato" w:hAnsi="Lato" w:cs="Malgun Gothic"/>
          <w:i/>
          <w:iCs/>
          <w:szCs w:val="24"/>
        </w:rPr>
        <w:t>„</w:t>
      </w:r>
      <w:r w:rsidRPr="00D5155A">
        <w:rPr>
          <w:rFonts w:ascii="Lato" w:hAnsi="Lato"/>
          <w:i/>
          <w:iCs/>
          <w:szCs w:val="24"/>
        </w:rPr>
        <w:t>zdolno</w:t>
      </w:r>
      <w:r w:rsidRPr="00D5155A">
        <w:rPr>
          <w:rFonts w:ascii="Lato" w:hAnsi="Lato" w:cs="Calibri"/>
          <w:i/>
          <w:iCs/>
          <w:szCs w:val="24"/>
        </w:rPr>
        <w:t>ś</w:t>
      </w:r>
      <w:r w:rsidRPr="00D5155A">
        <w:rPr>
          <w:rFonts w:ascii="Lato" w:hAnsi="Lato"/>
          <w:i/>
          <w:iCs/>
          <w:szCs w:val="24"/>
        </w:rPr>
        <w:t>ci</w:t>
      </w:r>
      <w:r w:rsidRPr="00D5155A">
        <w:rPr>
          <w:rFonts w:ascii="Lato" w:hAnsi="Lato" w:cs="Calibri"/>
          <w:i/>
          <w:iCs/>
          <w:szCs w:val="24"/>
        </w:rPr>
        <w:t>ą</w:t>
      </w:r>
      <w:r w:rsidRPr="00D5155A">
        <w:rPr>
          <w:rFonts w:ascii="Lato" w:hAnsi="Lato"/>
          <w:i/>
          <w:iCs/>
          <w:szCs w:val="24"/>
        </w:rPr>
        <w:t xml:space="preserve"> przep</w:t>
      </w:r>
      <w:r w:rsidRPr="00D5155A">
        <w:rPr>
          <w:rFonts w:ascii="Lato" w:hAnsi="Lato" w:cs="Malgun Gothic"/>
          <w:i/>
          <w:iCs/>
          <w:szCs w:val="24"/>
        </w:rPr>
        <w:t>ł</w:t>
      </w:r>
      <w:r w:rsidRPr="00D5155A">
        <w:rPr>
          <w:rFonts w:ascii="Lato" w:hAnsi="Lato"/>
          <w:i/>
          <w:iCs/>
          <w:szCs w:val="24"/>
        </w:rPr>
        <w:t>ywu w obu kierunkach</w:t>
      </w:r>
      <w:r w:rsidRPr="00D5155A">
        <w:rPr>
          <w:rFonts w:ascii="Lato" w:hAnsi="Lato" w:cs="Malgun Gothic"/>
          <w:i/>
          <w:iCs/>
          <w:szCs w:val="24"/>
        </w:rPr>
        <w:t>”</w:t>
      </w:r>
      <w:r w:rsidRPr="00D5155A">
        <w:rPr>
          <w:rFonts w:ascii="Lato" w:hAnsi="Lato"/>
          <w:i/>
          <w:iCs/>
          <w:szCs w:val="24"/>
        </w:rPr>
        <w:t xml:space="preserve"> na wszystkich po</w:t>
      </w:r>
      <w:r w:rsidRPr="00D5155A">
        <w:rPr>
          <w:rFonts w:ascii="Lato" w:hAnsi="Lato" w:cs="Malgun Gothic"/>
          <w:i/>
          <w:iCs/>
          <w:szCs w:val="24"/>
        </w:rPr>
        <w:t>ł</w:t>
      </w:r>
      <w:r w:rsidRPr="00D5155A">
        <w:rPr>
          <w:rFonts w:ascii="Lato" w:hAnsi="Lato" w:cs="Calibri"/>
          <w:i/>
          <w:iCs/>
          <w:szCs w:val="24"/>
        </w:rPr>
        <w:t>ą</w:t>
      </w:r>
      <w:r w:rsidRPr="00D5155A">
        <w:rPr>
          <w:rFonts w:ascii="Lato" w:hAnsi="Lato"/>
          <w:i/>
          <w:iCs/>
          <w:szCs w:val="24"/>
        </w:rPr>
        <w:t>czeniach mi</w:t>
      </w:r>
      <w:r w:rsidRPr="00D5155A">
        <w:rPr>
          <w:rFonts w:ascii="Lato" w:hAnsi="Lato" w:cs="Calibri"/>
          <w:i/>
          <w:iCs/>
          <w:szCs w:val="24"/>
        </w:rPr>
        <w:t>ę</w:t>
      </w:r>
      <w:r w:rsidRPr="00D5155A">
        <w:rPr>
          <w:rFonts w:ascii="Lato" w:hAnsi="Lato"/>
          <w:i/>
          <w:iCs/>
          <w:szCs w:val="24"/>
        </w:rPr>
        <w:t>dzysystemowych mi</w:t>
      </w:r>
      <w:r w:rsidRPr="00D5155A">
        <w:rPr>
          <w:rFonts w:ascii="Lato" w:hAnsi="Lato" w:cs="Calibri"/>
          <w:i/>
          <w:iCs/>
          <w:szCs w:val="24"/>
        </w:rPr>
        <w:t>ę</w:t>
      </w:r>
      <w:r w:rsidRPr="00D5155A">
        <w:rPr>
          <w:rFonts w:ascii="Lato" w:hAnsi="Lato"/>
          <w:i/>
          <w:iCs/>
          <w:szCs w:val="24"/>
        </w:rPr>
        <w:t>dzy pa</w:t>
      </w:r>
      <w:r w:rsidRPr="00D5155A">
        <w:rPr>
          <w:rFonts w:ascii="Lato" w:hAnsi="Lato" w:cs="Calibri"/>
          <w:i/>
          <w:iCs/>
          <w:szCs w:val="24"/>
        </w:rPr>
        <w:t>ń</w:t>
      </w:r>
      <w:r w:rsidRPr="00D5155A">
        <w:rPr>
          <w:rFonts w:ascii="Lato" w:hAnsi="Lato"/>
          <w:i/>
          <w:iCs/>
          <w:szCs w:val="24"/>
        </w:rPr>
        <w:t>stwami członkowskimi</w:t>
      </w:r>
      <w:r w:rsidRPr="00D1163A">
        <w:rPr>
          <w:rFonts w:ascii="Lato" w:hAnsi="Lato"/>
          <w:szCs w:val="24"/>
        </w:rPr>
        <w:t>.</w:t>
      </w:r>
    </w:p>
    <w:p w14:paraId="65C5B30A" w14:textId="650C85FC" w:rsidR="00B03DBA" w:rsidRPr="00D1163A" w:rsidRDefault="00C7771E" w:rsidP="008830DE">
      <w:pPr>
        <w:spacing w:after="60" w:line="276" w:lineRule="auto"/>
        <w:rPr>
          <w:rFonts w:ascii="Lato" w:hAnsi="Lato"/>
          <w:szCs w:val="24"/>
        </w:rPr>
      </w:pPr>
      <w:r w:rsidRPr="00D1163A">
        <w:rPr>
          <w:rFonts w:ascii="Lato" w:hAnsi="Lato"/>
          <w:szCs w:val="24"/>
        </w:rPr>
        <w:tab/>
        <w:t>Stworzenie mo</w:t>
      </w:r>
      <w:r w:rsidRPr="00D1163A">
        <w:rPr>
          <w:rFonts w:ascii="Lato" w:hAnsi="Lato" w:cs="Calibri"/>
          <w:szCs w:val="24"/>
        </w:rPr>
        <w:t>ż</w:t>
      </w:r>
      <w:r w:rsidRPr="00D1163A">
        <w:rPr>
          <w:rFonts w:ascii="Lato" w:hAnsi="Lato"/>
          <w:szCs w:val="24"/>
        </w:rPr>
        <w:t>liwo</w:t>
      </w:r>
      <w:r w:rsidRPr="00D1163A">
        <w:rPr>
          <w:rFonts w:ascii="Lato" w:hAnsi="Lato" w:cs="Calibri"/>
          <w:szCs w:val="24"/>
        </w:rPr>
        <w:t>ś</w:t>
      </w:r>
      <w:r w:rsidRPr="00D1163A">
        <w:rPr>
          <w:rFonts w:ascii="Lato" w:hAnsi="Lato"/>
          <w:szCs w:val="24"/>
        </w:rPr>
        <w:t>ci dwukierunkowych przep</w:t>
      </w:r>
      <w:r w:rsidRPr="00D1163A">
        <w:rPr>
          <w:rFonts w:ascii="Lato" w:hAnsi="Lato" w:cs="Malgun Gothic"/>
          <w:szCs w:val="24"/>
        </w:rPr>
        <w:t>ł</w:t>
      </w:r>
      <w:r w:rsidRPr="00D1163A">
        <w:rPr>
          <w:rFonts w:ascii="Lato" w:hAnsi="Lato"/>
          <w:szCs w:val="24"/>
        </w:rPr>
        <w:t>yw</w:t>
      </w:r>
      <w:r w:rsidRPr="00D1163A">
        <w:rPr>
          <w:rFonts w:ascii="Lato" w:hAnsi="Lato" w:cs="Malgun Gothic"/>
          <w:szCs w:val="24"/>
        </w:rPr>
        <w:t>ó</w:t>
      </w:r>
      <w:r w:rsidRPr="00D1163A">
        <w:rPr>
          <w:rFonts w:ascii="Lato" w:hAnsi="Lato"/>
          <w:szCs w:val="24"/>
        </w:rPr>
        <w:t>w gazu ziemnego stanowi jeden z</w:t>
      </w:r>
      <w:r w:rsidR="00245AD3">
        <w:rPr>
          <w:rFonts w:ascii="Lato" w:hAnsi="Lato"/>
          <w:szCs w:val="24"/>
        </w:rPr>
        <w:t xml:space="preserve"> </w:t>
      </w:r>
      <w:r w:rsidRPr="00D1163A">
        <w:rPr>
          <w:rFonts w:ascii="Lato" w:hAnsi="Lato"/>
          <w:szCs w:val="24"/>
        </w:rPr>
        <w:t>czynnik</w:t>
      </w:r>
      <w:r w:rsidRPr="00D1163A">
        <w:rPr>
          <w:rFonts w:ascii="Lato" w:hAnsi="Lato" w:cs="Malgun Gothic"/>
          <w:szCs w:val="24"/>
        </w:rPr>
        <w:t>ó</w:t>
      </w:r>
      <w:r w:rsidRPr="00D1163A">
        <w:rPr>
          <w:rFonts w:ascii="Lato" w:hAnsi="Lato"/>
          <w:szCs w:val="24"/>
        </w:rPr>
        <w:t>w wp</w:t>
      </w:r>
      <w:r w:rsidRPr="00D1163A">
        <w:rPr>
          <w:rFonts w:ascii="Lato" w:hAnsi="Lato" w:cs="Malgun Gothic"/>
          <w:szCs w:val="24"/>
        </w:rPr>
        <w:t>ł</w:t>
      </w:r>
      <w:r w:rsidRPr="00D1163A">
        <w:rPr>
          <w:rFonts w:ascii="Lato" w:hAnsi="Lato"/>
          <w:szCs w:val="24"/>
        </w:rPr>
        <w:t>ywaj</w:t>
      </w:r>
      <w:r w:rsidRPr="00D1163A">
        <w:rPr>
          <w:rFonts w:ascii="Lato" w:hAnsi="Lato" w:cs="Calibri"/>
          <w:szCs w:val="24"/>
        </w:rPr>
        <w:t>ą</w:t>
      </w:r>
      <w:r w:rsidRPr="00D1163A">
        <w:rPr>
          <w:rFonts w:ascii="Lato" w:hAnsi="Lato"/>
          <w:szCs w:val="24"/>
        </w:rPr>
        <w:t>cych na zapewnienie bezpiecze</w:t>
      </w:r>
      <w:r w:rsidRPr="00D1163A">
        <w:rPr>
          <w:rFonts w:ascii="Lato" w:hAnsi="Lato" w:cs="Calibri"/>
          <w:szCs w:val="24"/>
        </w:rPr>
        <w:t>ń</w:t>
      </w:r>
      <w:r w:rsidRPr="00D1163A">
        <w:rPr>
          <w:rFonts w:ascii="Lato" w:hAnsi="Lato"/>
          <w:szCs w:val="24"/>
        </w:rPr>
        <w:t>stwa dostaw gazu ziemnego oraz mo</w:t>
      </w:r>
      <w:r w:rsidRPr="00D1163A">
        <w:rPr>
          <w:rFonts w:ascii="Lato" w:hAnsi="Lato" w:cs="Calibri"/>
          <w:szCs w:val="24"/>
        </w:rPr>
        <w:t>ż</w:t>
      </w:r>
      <w:r w:rsidRPr="00D1163A">
        <w:rPr>
          <w:rFonts w:ascii="Lato" w:hAnsi="Lato"/>
          <w:szCs w:val="24"/>
        </w:rPr>
        <w:t>liwo</w:t>
      </w:r>
      <w:r w:rsidRPr="00D1163A">
        <w:rPr>
          <w:rFonts w:ascii="Lato" w:hAnsi="Lato" w:cs="Calibri"/>
          <w:szCs w:val="24"/>
        </w:rPr>
        <w:t>ść</w:t>
      </w:r>
      <w:r w:rsidRPr="00D1163A">
        <w:rPr>
          <w:rFonts w:ascii="Lato" w:hAnsi="Lato"/>
          <w:szCs w:val="24"/>
        </w:rPr>
        <w:t xml:space="preserve"> podj</w:t>
      </w:r>
      <w:r w:rsidRPr="00D1163A">
        <w:rPr>
          <w:rFonts w:ascii="Lato" w:hAnsi="Lato" w:cs="Calibri"/>
          <w:szCs w:val="24"/>
        </w:rPr>
        <w:t>ę</w:t>
      </w:r>
      <w:r w:rsidRPr="00D1163A">
        <w:rPr>
          <w:rFonts w:ascii="Lato" w:hAnsi="Lato"/>
          <w:szCs w:val="24"/>
        </w:rPr>
        <w:t>cia wsp</w:t>
      </w:r>
      <w:r w:rsidRPr="00D1163A">
        <w:rPr>
          <w:rFonts w:ascii="Lato" w:hAnsi="Lato" w:cs="Malgun Gothic"/>
          <w:szCs w:val="24"/>
        </w:rPr>
        <w:t>ół</w:t>
      </w:r>
      <w:r w:rsidRPr="00D1163A">
        <w:rPr>
          <w:rFonts w:ascii="Lato" w:hAnsi="Lato"/>
          <w:szCs w:val="24"/>
        </w:rPr>
        <w:t>pracy regionalnej w ramach mechanizmu solidarno</w:t>
      </w:r>
      <w:r w:rsidRPr="00D1163A">
        <w:rPr>
          <w:rFonts w:ascii="Lato" w:hAnsi="Lato" w:cs="Calibri"/>
          <w:szCs w:val="24"/>
        </w:rPr>
        <w:t>ś</w:t>
      </w:r>
      <w:r w:rsidRPr="00D1163A">
        <w:rPr>
          <w:rFonts w:ascii="Lato" w:hAnsi="Lato"/>
          <w:szCs w:val="24"/>
        </w:rPr>
        <w:t>ci w przypadku wyst</w:t>
      </w:r>
      <w:r w:rsidRPr="00D1163A">
        <w:rPr>
          <w:rFonts w:ascii="Lato" w:hAnsi="Lato" w:cs="Calibri"/>
          <w:szCs w:val="24"/>
        </w:rPr>
        <w:t>ą</w:t>
      </w:r>
      <w:r w:rsidRPr="00D1163A">
        <w:rPr>
          <w:rFonts w:ascii="Lato" w:hAnsi="Lato"/>
          <w:szCs w:val="24"/>
        </w:rPr>
        <w:t>pienia sytuacji kryzysowych. Decyzja o wdro</w:t>
      </w:r>
      <w:r w:rsidRPr="00D1163A">
        <w:rPr>
          <w:rFonts w:ascii="Lato" w:hAnsi="Lato" w:cs="Calibri"/>
          <w:szCs w:val="24"/>
        </w:rPr>
        <w:t>ż</w:t>
      </w:r>
      <w:r w:rsidRPr="00D1163A">
        <w:rPr>
          <w:rFonts w:ascii="Lato" w:hAnsi="Lato"/>
          <w:szCs w:val="24"/>
        </w:rPr>
        <w:t>eniu zdolno</w:t>
      </w:r>
      <w:r w:rsidRPr="00D1163A">
        <w:rPr>
          <w:rFonts w:ascii="Lato" w:hAnsi="Lato" w:cs="Calibri"/>
          <w:szCs w:val="24"/>
        </w:rPr>
        <w:t>ś</w:t>
      </w:r>
      <w:r w:rsidRPr="00D1163A">
        <w:rPr>
          <w:rFonts w:ascii="Lato" w:hAnsi="Lato"/>
          <w:szCs w:val="24"/>
        </w:rPr>
        <w:t>ci przep</w:t>
      </w:r>
      <w:r w:rsidRPr="00D1163A">
        <w:rPr>
          <w:rFonts w:ascii="Lato" w:hAnsi="Lato" w:cs="Malgun Gothic"/>
          <w:szCs w:val="24"/>
        </w:rPr>
        <w:t>ł</w:t>
      </w:r>
      <w:r w:rsidRPr="00D1163A">
        <w:rPr>
          <w:rFonts w:ascii="Lato" w:hAnsi="Lato"/>
          <w:szCs w:val="24"/>
        </w:rPr>
        <w:t>ywu gazu ziemnego w obu kierunkach w danym punkcie po</w:t>
      </w:r>
      <w:r w:rsidRPr="00D1163A">
        <w:rPr>
          <w:rFonts w:ascii="Lato" w:hAnsi="Lato" w:cs="Malgun Gothic"/>
          <w:szCs w:val="24"/>
        </w:rPr>
        <w:t>ł</w:t>
      </w:r>
      <w:r w:rsidRPr="00D1163A">
        <w:rPr>
          <w:rFonts w:ascii="Lato" w:hAnsi="Lato" w:cs="Calibri"/>
          <w:szCs w:val="24"/>
        </w:rPr>
        <w:t>ą</w:t>
      </w:r>
      <w:r w:rsidRPr="00D1163A">
        <w:rPr>
          <w:rFonts w:ascii="Lato" w:hAnsi="Lato"/>
          <w:szCs w:val="24"/>
        </w:rPr>
        <w:t>czenia mi</w:t>
      </w:r>
      <w:r w:rsidRPr="00D1163A">
        <w:rPr>
          <w:rFonts w:ascii="Lato" w:hAnsi="Lato" w:cs="Calibri"/>
          <w:szCs w:val="24"/>
        </w:rPr>
        <w:t>ę</w:t>
      </w:r>
      <w:r w:rsidRPr="00D1163A">
        <w:rPr>
          <w:rFonts w:ascii="Lato" w:hAnsi="Lato"/>
          <w:szCs w:val="24"/>
        </w:rPr>
        <w:t>dzysystemowego powinna opiera</w:t>
      </w:r>
      <w:r w:rsidRPr="00D1163A">
        <w:rPr>
          <w:rFonts w:ascii="Lato" w:hAnsi="Lato" w:cs="Calibri"/>
          <w:szCs w:val="24"/>
        </w:rPr>
        <w:t>ć</w:t>
      </w:r>
      <w:r w:rsidRPr="00D1163A">
        <w:rPr>
          <w:rFonts w:ascii="Lato" w:hAnsi="Lato"/>
          <w:szCs w:val="24"/>
        </w:rPr>
        <w:t xml:space="preserve"> si</w:t>
      </w:r>
      <w:r w:rsidRPr="00D1163A">
        <w:rPr>
          <w:rFonts w:ascii="Lato" w:hAnsi="Lato" w:cs="Calibri"/>
          <w:szCs w:val="24"/>
        </w:rPr>
        <w:t>ę</w:t>
      </w:r>
      <w:r w:rsidRPr="00D1163A">
        <w:rPr>
          <w:rFonts w:ascii="Lato" w:hAnsi="Lato"/>
          <w:szCs w:val="24"/>
        </w:rPr>
        <w:t xml:space="preserve"> na ocenie sytuacji rynkowej, w szczeg</w:t>
      </w:r>
      <w:r w:rsidRPr="00D1163A">
        <w:rPr>
          <w:rFonts w:ascii="Lato" w:hAnsi="Lato" w:cs="Malgun Gothic"/>
          <w:szCs w:val="24"/>
        </w:rPr>
        <w:t>ó</w:t>
      </w:r>
      <w:r w:rsidRPr="00D1163A">
        <w:rPr>
          <w:rFonts w:ascii="Lato" w:hAnsi="Lato"/>
          <w:szCs w:val="24"/>
        </w:rPr>
        <w:t>lno</w:t>
      </w:r>
      <w:r w:rsidRPr="00D1163A">
        <w:rPr>
          <w:rFonts w:ascii="Lato" w:hAnsi="Lato" w:cs="Calibri"/>
          <w:szCs w:val="24"/>
        </w:rPr>
        <w:t>ś</w:t>
      </w:r>
      <w:r w:rsidRPr="00D1163A">
        <w:rPr>
          <w:rFonts w:ascii="Lato" w:hAnsi="Lato"/>
          <w:szCs w:val="24"/>
        </w:rPr>
        <w:t>ci zapotrzebowania, prognoz popytu i poda</w:t>
      </w:r>
      <w:r w:rsidRPr="00D1163A">
        <w:rPr>
          <w:rFonts w:ascii="Lato" w:hAnsi="Lato" w:cs="Calibri"/>
          <w:szCs w:val="24"/>
        </w:rPr>
        <w:t>ż</w:t>
      </w:r>
      <w:r w:rsidRPr="00D1163A">
        <w:rPr>
          <w:rFonts w:ascii="Lato" w:hAnsi="Lato"/>
          <w:szCs w:val="24"/>
        </w:rPr>
        <w:t>y na gaz ziemny oraz warunk</w:t>
      </w:r>
      <w:r w:rsidRPr="00D1163A">
        <w:rPr>
          <w:rFonts w:ascii="Lato" w:hAnsi="Lato" w:cs="Malgun Gothic"/>
          <w:szCs w:val="24"/>
        </w:rPr>
        <w:t>ó</w:t>
      </w:r>
      <w:r w:rsidRPr="00D1163A">
        <w:rPr>
          <w:rFonts w:ascii="Lato" w:hAnsi="Lato"/>
          <w:szCs w:val="24"/>
        </w:rPr>
        <w:t>w technicznych, analizach ekonomicznych realizacji przedsi</w:t>
      </w:r>
      <w:r w:rsidRPr="00D1163A">
        <w:rPr>
          <w:rFonts w:ascii="Lato" w:hAnsi="Lato" w:cs="Calibri"/>
          <w:szCs w:val="24"/>
        </w:rPr>
        <w:t>ę</w:t>
      </w:r>
      <w:r w:rsidRPr="00D1163A">
        <w:rPr>
          <w:rFonts w:ascii="Lato" w:hAnsi="Lato"/>
          <w:szCs w:val="24"/>
        </w:rPr>
        <w:t>wzi</w:t>
      </w:r>
      <w:r w:rsidRPr="00D1163A">
        <w:rPr>
          <w:rFonts w:ascii="Lato" w:hAnsi="Lato" w:cs="Calibri"/>
          <w:szCs w:val="24"/>
        </w:rPr>
        <w:t>ę</w:t>
      </w:r>
      <w:r w:rsidRPr="00D1163A">
        <w:rPr>
          <w:rFonts w:ascii="Lato" w:hAnsi="Lato"/>
          <w:szCs w:val="24"/>
        </w:rPr>
        <w:t>cia</w:t>
      </w:r>
      <w:r w:rsidR="00185C3C">
        <w:rPr>
          <w:rFonts w:ascii="Lato" w:hAnsi="Lato"/>
          <w:szCs w:val="24"/>
        </w:rPr>
        <w:t>,</w:t>
      </w:r>
      <w:r w:rsidRPr="00D1163A">
        <w:rPr>
          <w:rFonts w:ascii="Lato" w:hAnsi="Lato"/>
          <w:szCs w:val="24"/>
        </w:rPr>
        <w:t xml:space="preserve"> jak r</w:t>
      </w:r>
      <w:r w:rsidRPr="00D1163A">
        <w:rPr>
          <w:rFonts w:ascii="Lato" w:hAnsi="Lato" w:cs="Malgun Gothic"/>
          <w:szCs w:val="24"/>
        </w:rPr>
        <w:t>ó</w:t>
      </w:r>
      <w:r w:rsidRPr="00D1163A">
        <w:rPr>
          <w:rFonts w:ascii="Lato" w:hAnsi="Lato"/>
          <w:szCs w:val="24"/>
        </w:rPr>
        <w:t>wnie</w:t>
      </w:r>
      <w:r w:rsidRPr="00D1163A">
        <w:rPr>
          <w:rFonts w:ascii="Lato" w:hAnsi="Lato" w:cs="Calibri"/>
          <w:szCs w:val="24"/>
        </w:rPr>
        <w:t>ż</w:t>
      </w:r>
      <w:r w:rsidRPr="00D1163A">
        <w:rPr>
          <w:rFonts w:ascii="Lato" w:hAnsi="Lato"/>
          <w:szCs w:val="24"/>
        </w:rPr>
        <w:t xml:space="preserve"> wyp</w:t>
      </w:r>
      <w:r w:rsidRPr="00D1163A">
        <w:rPr>
          <w:rFonts w:ascii="Lato" w:hAnsi="Lato" w:cs="Malgun Gothic"/>
          <w:szCs w:val="24"/>
        </w:rPr>
        <w:t>ł</w:t>
      </w:r>
      <w:r w:rsidRPr="00D1163A">
        <w:rPr>
          <w:rFonts w:ascii="Lato" w:hAnsi="Lato"/>
          <w:szCs w:val="24"/>
        </w:rPr>
        <w:t>ywu na bezpiecze</w:t>
      </w:r>
      <w:r w:rsidRPr="00D1163A">
        <w:rPr>
          <w:rFonts w:ascii="Lato" w:hAnsi="Lato" w:cs="Calibri"/>
          <w:szCs w:val="24"/>
        </w:rPr>
        <w:t>ń</w:t>
      </w:r>
      <w:r w:rsidRPr="00D1163A">
        <w:rPr>
          <w:rFonts w:ascii="Lato" w:hAnsi="Lato"/>
          <w:szCs w:val="24"/>
        </w:rPr>
        <w:t xml:space="preserve">stwo dostaw. </w:t>
      </w:r>
    </w:p>
    <w:p w14:paraId="6C726EC8" w14:textId="506A76C8" w:rsidR="00B03DBA" w:rsidRPr="00D1163A" w:rsidRDefault="00C7771E" w:rsidP="008830DE">
      <w:pPr>
        <w:spacing w:after="60" w:line="276" w:lineRule="auto"/>
        <w:rPr>
          <w:rFonts w:ascii="Lato" w:hAnsi="Lato"/>
          <w:szCs w:val="24"/>
        </w:rPr>
      </w:pPr>
      <w:r w:rsidRPr="00D1163A">
        <w:rPr>
          <w:rFonts w:ascii="Lato" w:hAnsi="Lato"/>
          <w:szCs w:val="24"/>
        </w:rPr>
        <w:tab/>
        <w:t>Obowi</w:t>
      </w:r>
      <w:r w:rsidRPr="00D1163A">
        <w:rPr>
          <w:rFonts w:ascii="Lato" w:hAnsi="Lato" w:cs="Calibri"/>
          <w:szCs w:val="24"/>
        </w:rPr>
        <w:t>ą</w:t>
      </w:r>
      <w:r w:rsidRPr="00D1163A">
        <w:rPr>
          <w:rFonts w:ascii="Lato" w:hAnsi="Lato"/>
          <w:szCs w:val="24"/>
        </w:rPr>
        <w:t>zek zapewnienia mo</w:t>
      </w:r>
      <w:r w:rsidRPr="00D1163A">
        <w:rPr>
          <w:rFonts w:ascii="Lato" w:hAnsi="Lato" w:cs="Calibri"/>
          <w:szCs w:val="24"/>
        </w:rPr>
        <w:t>ż</w:t>
      </w:r>
      <w:r w:rsidRPr="00D1163A">
        <w:rPr>
          <w:rFonts w:ascii="Lato" w:hAnsi="Lato"/>
          <w:szCs w:val="24"/>
        </w:rPr>
        <w:t>liwo</w:t>
      </w:r>
      <w:r w:rsidRPr="00D1163A">
        <w:rPr>
          <w:rFonts w:ascii="Lato" w:hAnsi="Lato" w:cs="Calibri"/>
          <w:szCs w:val="24"/>
        </w:rPr>
        <w:t>ś</w:t>
      </w:r>
      <w:r w:rsidRPr="00D1163A">
        <w:rPr>
          <w:rFonts w:ascii="Lato" w:hAnsi="Lato"/>
          <w:szCs w:val="24"/>
        </w:rPr>
        <w:t>ci dwukierunkowego przep</w:t>
      </w:r>
      <w:r w:rsidRPr="00D1163A">
        <w:rPr>
          <w:rFonts w:ascii="Lato" w:hAnsi="Lato" w:cs="Malgun Gothic"/>
          <w:szCs w:val="24"/>
        </w:rPr>
        <w:t>ł</w:t>
      </w:r>
      <w:r w:rsidRPr="00D1163A">
        <w:rPr>
          <w:rFonts w:ascii="Lato" w:hAnsi="Lato"/>
          <w:szCs w:val="24"/>
        </w:rPr>
        <w:t>ywu gazu ziemnego w</w:t>
      </w:r>
      <w:r w:rsidR="00245AD3">
        <w:rPr>
          <w:rFonts w:ascii="Lato" w:hAnsi="Lato"/>
          <w:szCs w:val="24"/>
        </w:rPr>
        <w:t xml:space="preserve"> </w:t>
      </w:r>
      <w:r w:rsidRPr="00D1163A">
        <w:rPr>
          <w:rFonts w:ascii="Lato" w:hAnsi="Lato"/>
          <w:szCs w:val="24"/>
        </w:rPr>
        <w:t>odniesieniu do poł</w:t>
      </w:r>
      <w:r w:rsidRPr="00D1163A">
        <w:rPr>
          <w:rFonts w:ascii="Lato" w:hAnsi="Lato" w:cs="Calibri"/>
          <w:szCs w:val="24"/>
        </w:rPr>
        <w:t>ą</w:t>
      </w:r>
      <w:r w:rsidRPr="00D1163A">
        <w:rPr>
          <w:rFonts w:ascii="Lato" w:hAnsi="Lato"/>
          <w:szCs w:val="24"/>
        </w:rPr>
        <w:t>cze</w:t>
      </w:r>
      <w:r w:rsidRPr="00D1163A">
        <w:rPr>
          <w:rFonts w:ascii="Lato" w:hAnsi="Lato" w:cs="Calibri"/>
          <w:szCs w:val="24"/>
        </w:rPr>
        <w:t>ń</w:t>
      </w:r>
      <w:r w:rsidRPr="00D1163A">
        <w:rPr>
          <w:rFonts w:ascii="Lato" w:hAnsi="Lato"/>
          <w:szCs w:val="24"/>
        </w:rPr>
        <w:t xml:space="preserve"> polskiego systemu gazowego z systemami s</w:t>
      </w:r>
      <w:r w:rsidRPr="00D1163A">
        <w:rPr>
          <w:rFonts w:ascii="Lato" w:hAnsi="Lato" w:cs="Calibri"/>
          <w:szCs w:val="24"/>
        </w:rPr>
        <w:t>ą</w:t>
      </w:r>
      <w:r w:rsidRPr="00D1163A">
        <w:rPr>
          <w:rFonts w:ascii="Lato" w:hAnsi="Lato"/>
          <w:szCs w:val="24"/>
        </w:rPr>
        <w:t>siednimi zosta</w:t>
      </w:r>
      <w:r w:rsidRPr="00D1163A">
        <w:rPr>
          <w:rFonts w:ascii="Lato" w:hAnsi="Lato" w:cs="Malgun Gothic"/>
          <w:szCs w:val="24"/>
        </w:rPr>
        <w:t>ł</w:t>
      </w:r>
      <w:r w:rsidRPr="00D1163A">
        <w:rPr>
          <w:rFonts w:ascii="Lato" w:hAnsi="Lato"/>
          <w:szCs w:val="24"/>
        </w:rPr>
        <w:t xml:space="preserve"> w pe</w:t>
      </w:r>
      <w:r w:rsidRPr="00D1163A">
        <w:rPr>
          <w:rFonts w:ascii="Lato" w:hAnsi="Lato" w:cs="Malgun Gothic"/>
          <w:szCs w:val="24"/>
        </w:rPr>
        <w:t>ł</w:t>
      </w:r>
      <w:r w:rsidRPr="00D1163A">
        <w:rPr>
          <w:rFonts w:ascii="Lato" w:hAnsi="Lato"/>
          <w:szCs w:val="24"/>
        </w:rPr>
        <w:t>ni zrealizowany zgodnie z wymogami rozporz</w:t>
      </w:r>
      <w:r w:rsidRPr="00D1163A">
        <w:rPr>
          <w:rFonts w:ascii="Lato" w:hAnsi="Lato" w:cs="Calibri"/>
          <w:szCs w:val="24"/>
        </w:rPr>
        <w:t>ą</w:t>
      </w:r>
      <w:r w:rsidRPr="00D1163A">
        <w:rPr>
          <w:rFonts w:ascii="Lato" w:hAnsi="Lato"/>
          <w:szCs w:val="24"/>
        </w:rPr>
        <w:t>dzenia 2017/1938, a wcze</w:t>
      </w:r>
      <w:r w:rsidRPr="00D1163A">
        <w:rPr>
          <w:rFonts w:ascii="Lato" w:hAnsi="Lato" w:cs="Calibri"/>
          <w:szCs w:val="24"/>
        </w:rPr>
        <w:t>ś</w:t>
      </w:r>
      <w:r w:rsidRPr="00D1163A">
        <w:rPr>
          <w:rFonts w:ascii="Lato" w:hAnsi="Lato"/>
          <w:szCs w:val="24"/>
        </w:rPr>
        <w:t>niej rozporz</w:t>
      </w:r>
      <w:r w:rsidRPr="00D1163A">
        <w:rPr>
          <w:rFonts w:ascii="Lato" w:hAnsi="Lato" w:cs="Calibri"/>
          <w:szCs w:val="24"/>
        </w:rPr>
        <w:t>ą</w:t>
      </w:r>
      <w:r w:rsidRPr="00D1163A">
        <w:rPr>
          <w:rFonts w:ascii="Lato" w:hAnsi="Lato"/>
          <w:szCs w:val="24"/>
        </w:rPr>
        <w:t>dzenia 994/2010.</w:t>
      </w:r>
    </w:p>
    <w:p w14:paraId="7D10DAED" w14:textId="77777777" w:rsidR="00B03DBA" w:rsidRPr="00D1163A" w:rsidRDefault="00C7771E" w:rsidP="00983C18">
      <w:pPr>
        <w:spacing w:after="0" w:line="276" w:lineRule="auto"/>
        <w:rPr>
          <w:rFonts w:ascii="Lato" w:hAnsi="Lato"/>
          <w:szCs w:val="24"/>
        </w:rPr>
      </w:pPr>
      <w:r w:rsidRPr="00D1163A">
        <w:rPr>
          <w:rFonts w:ascii="Lato" w:hAnsi="Lato"/>
          <w:szCs w:val="24"/>
        </w:rPr>
        <w:t>Mo</w:t>
      </w:r>
      <w:r w:rsidRPr="00D1163A">
        <w:rPr>
          <w:rFonts w:ascii="Lato" w:hAnsi="Lato" w:cs="Calibri"/>
          <w:szCs w:val="24"/>
        </w:rPr>
        <w:t>ż</w:t>
      </w:r>
      <w:r w:rsidRPr="00D1163A">
        <w:rPr>
          <w:rFonts w:ascii="Lato" w:hAnsi="Lato"/>
          <w:szCs w:val="24"/>
        </w:rPr>
        <w:t>liwo</w:t>
      </w:r>
      <w:r w:rsidRPr="00D1163A">
        <w:rPr>
          <w:rFonts w:ascii="Lato" w:hAnsi="Lato" w:cs="Calibri"/>
          <w:szCs w:val="24"/>
        </w:rPr>
        <w:t>ść</w:t>
      </w:r>
      <w:r w:rsidRPr="00D1163A">
        <w:rPr>
          <w:rFonts w:ascii="Lato" w:hAnsi="Lato"/>
          <w:szCs w:val="24"/>
        </w:rPr>
        <w:t xml:space="preserve"> przep</w:t>
      </w:r>
      <w:r w:rsidRPr="00D1163A">
        <w:rPr>
          <w:rFonts w:ascii="Lato" w:hAnsi="Lato" w:cs="Malgun Gothic"/>
          <w:szCs w:val="24"/>
        </w:rPr>
        <w:t>ł</w:t>
      </w:r>
      <w:r w:rsidRPr="00D1163A">
        <w:rPr>
          <w:rFonts w:ascii="Lato" w:hAnsi="Lato"/>
          <w:szCs w:val="24"/>
        </w:rPr>
        <w:t>ywu gazu ziemnego w obu kierunkach (rewers fizyczny) istnieje:</w:t>
      </w:r>
    </w:p>
    <w:p w14:paraId="47387727" w14:textId="77777777" w:rsidR="00245AD3" w:rsidRPr="00D5155A" w:rsidRDefault="00245AD3">
      <w:pPr>
        <w:pStyle w:val="Akapitzlist"/>
        <w:numPr>
          <w:ilvl w:val="0"/>
          <w:numId w:val="17"/>
        </w:numPr>
        <w:spacing w:line="276" w:lineRule="auto"/>
        <w:rPr>
          <w:rFonts w:ascii="Lato" w:hAnsi="Lato"/>
          <w:szCs w:val="24"/>
        </w:rPr>
      </w:pPr>
      <w:r w:rsidRPr="00D5155A">
        <w:rPr>
          <w:rFonts w:ascii="Lato" w:hAnsi="Lato"/>
          <w:szCs w:val="24"/>
        </w:rPr>
        <w:t>w punkcie FAXE (Baltic Pipe) – zdolności przesyłowe na zasadach ciągłych w kierunku Polski wynoszą 1 140 tys. m</w:t>
      </w:r>
      <w:r w:rsidRPr="00D5155A">
        <w:rPr>
          <w:rFonts w:ascii="Lato" w:hAnsi="Lato"/>
          <w:szCs w:val="24"/>
          <w:vertAlign w:val="superscript"/>
        </w:rPr>
        <w:t>3</w:t>
      </w:r>
      <w:r w:rsidRPr="00D5155A">
        <w:rPr>
          <w:rFonts w:ascii="Lato" w:hAnsi="Lato"/>
          <w:szCs w:val="24"/>
        </w:rPr>
        <w:t>/h (13,4 GWh/h), zaś w kierunku Danii 342 tys. m</w:t>
      </w:r>
      <w:r w:rsidRPr="00D5155A">
        <w:rPr>
          <w:rFonts w:ascii="Lato" w:hAnsi="Lato"/>
          <w:szCs w:val="24"/>
          <w:vertAlign w:val="superscript"/>
        </w:rPr>
        <w:t>3</w:t>
      </w:r>
      <w:r w:rsidRPr="00D5155A">
        <w:rPr>
          <w:rFonts w:ascii="Lato" w:hAnsi="Lato"/>
          <w:szCs w:val="24"/>
        </w:rPr>
        <w:t>/h (3,9 GWh/h);</w:t>
      </w:r>
    </w:p>
    <w:p w14:paraId="5C400129" w14:textId="436578B9" w:rsidR="00245AD3" w:rsidRPr="00D5155A" w:rsidRDefault="00245AD3">
      <w:pPr>
        <w:pStyle w:val="Akapitzlist"/>
        <w:numPr>
          <w:ilvl w:val="0"/>
          <w:numId w:val="17"/>
        </w:numPr>
        <w:spacing w:line="276" w:lineRule="auto"/>
        <w:rPr>
          <w:rFonts w:ascii="Lato" w:hAnsi="Lato"/>
          <w:szCs w:val="24"/>
        </w:rPr>
      </w:pPr>
      <w:r w:rsidRPr="00D5155A">
        <w:rPr>
          <w:rFonts w:ascii="Lato" w:hAnsi="Lato"/>
          <w:szCs w:val="24"/>
        </w:rPr>
        <w:t>na polskim odcinku gazoci</w:t>
      </w:r>
      <w:r w:rsidRPr="00D5155A">
        <w:rPr>
          <w:rFonts w:ascii="Lato" w:hAnsi="Lato" w:cs="Calibri"/>
          <w:szCs w:val="24"/>
        </w:rPr>
        <w:t>ą</w:t>
      </w:r>
      <w:r w:rsidRPr="00D5155A">
        <w:rPr>
          <w:rFonts w:ascii="Lato" w:hAnsi="Lato"/>
          <w:szCs w:val="24"/>
        </w:rPr>
        <w:t>gu jamalskiego w punkcie Mallnow –</w:t>
      </w:r>
      <w:r w:rsidR="00185C3C">
        <w:rPr>
          <w:rFonts w:ascii="Lato" w:hAnsi="Lato"/>
          <w:szCs w:val="24"/>
        </w:rPr>
        <w:t xml:space="preserve"> </w:t>
      </w:r>
      <w:r w:rsidRPr="00D5155A">
        <w:rPr>
          <w:rFonts w:ascii="Lato" w:hAnsi="Lato"/>
          <w:szCs w:val="24"/>
        </w:rPr>
        <w:t>zdolno</w:t>
      </w:r>
      <w:r w:rsidRPr="00D5155A">
        <w:rPr>
          <w:rFonts w:ascii="Lato" w:hAnsi="Lato" w:cs="Calibri"/>
          <w:szCs w:val="24"/>
        </w:rPr>
        <w:t>ś</w:t>
      </w:r>
      <w:r w:rsidRPr="00D5155A">
        <w:rPr>
          <w:rFonts w:ascii="Lato" w:hAnsi="Lato"/>
          <w:szCs w:val="24"/>
        </w:rPr>
        <w:t>ci przesyłowe na zasadach ci</w:t>
      </w:r>
      <w:r w:rsidRPr="00D5155A">
        <w:rPr>
          <w:rFonts w:ascii="Lato" w:hAnsi="Lato" w:cs="Calibri"/>
          <w:szCs w:val="24"/>
        </w:rPr>
        <w:t>ą</w:t>
      </w:r>
      <w:r w:rsidRPr="00D5155A">
        <w:rPr>
          <w:rFonts w:ascii="Lato" w:hAnsi="Lato"/>
          <w:szCs w:val="24"/>
        </w:rPr>
        <w:t>g</w:t>
      </w:r>
      <w:r w:rsidRPr="00D5155A">
        <w:rPr>
          <w:rFonts w:ascii="Lato" w:hAnsi="Lato" w:cs="Malgun Gothic"/>
          <w:szCs w:val="24"/>
        </w:rPr>
        <w:t>ł</w:t>
      </w:r>
      <w:r w:rsidRPr="00D5155A">
        <w:rPr>
          <w:rFonts w:ascii="Lato" w:hAnsi="Lato"/>
          <w:szCs w:val="24"/>
        </w:rPr>
        <w:t>ych w punkcie Mallnow w kierunku Polski od stycznia 2023 r. wyn</w:t>
      </w:r>
      <w:r w:rsidRPr="00D5155A">
        <w:rPr>
          <w:rFonts w:ascii="Lato" w:hAnsi="Lato" w:cs="Calibri"/>
          <w:szCs w:val="24"/>
        </w:rPr>
        <w:t>oszą</w:t>
      </w:r>
      <w:r w:rsidRPr="00D5155A">
        <w:rPr>
          <w:rFonts w:ascii="Lato" w:hAnsi="Lato"/>
          <w:szCs w:val="24"/>
        </w:rPr>
        <w:t xml:space="preserve"> 1 044 tys. m</w:t>
      </w:r>
      <w:r w:rsidRPr="00D5155A">
        <w:rPr>
          <w:rFonts w:ascii="Lato" w:hAnsi="Lato"/>
          <w:szCs w:val="24"/>
          <w:vertAlign w:val="superscript"/>
        </w:rPr>
        <w:t>3</w:t>
      </w:r>
      <w:r w:rsidRPr="00D5155A">
        <w:rPr>
          <w:rFonts w:ascii="Lato" w:hAnsi="Lato"/>
          <w:szCs w:val="24"/>
        </w:rPr>
        <w:t>/h (11,6 GWh/h);</w:t>
      </w:r>
    </w:p>
    <w:p w14:paraId="1E79749D" w14:textId="4F893A4E" w:rsidR="00245AD3" w:rsidRPr="00D5155A" w:rsidRDefault="00245AD3">
      <w:pPr>
        <w:pStyle w:val="Akapitzlist"/>
        <w:numPr>
          <w:ilvl w:val="0"/>
          <w:numId w:val="17"/>
        </w:numPr>
        <w:spacing w:line="276" w:lineRule="auto"/>
        <w:rPr>
          <w:rFonts w:ascii="Lato" w:hAnsi="Lato"/>
          <w:szCs w:val="24"/>
        </w:rPr>
      </w:pPr>
      <w:r w:rsidRPr="00D5155A">
        <w:rPr>
          <w:rFonts w:ascii="Lato" w:hAnsi="Lato"/>
          <w:szCs w:val="24"/>
        </w:rPr>
        <w:t>w punkcie GCP GAZ-SYSTEM/ONTRAS, tj.</w:t>
      </w:r>
      <w:r w:rsidR="003D7F62">
        <w:rPr>
          <w:rFonts w:ascii="Lato" w:hAnsi="Lato"/>
          <w:szCs w:val="24"/>
        </w:rPr>
        <w:t xml:space="preserve"> w punktach</w:t>
      </w:r>
      <w:r w:rsidRPr="00D5155A">
        <w:rPr>
          <w:rFonts w:ascii="Lato" w:hAnsi="Lato"/>
          <w:szCs w:val="24"/>
        </w:rPr>
        <w:t xml:space="preserve"> na poł</w:t>
      </w:r>
      <w:r w:rsidRPr="00D5155A">
        <w:rPr>
          <w:rFonts w:ascii="Lato" w:hAnsi="Lato" w:cs="Calibri"/>
          <w:szCs w:val="24"/>
        </w:rPr>
        <w:t>ą</w:t>
      </w:r>
      <w:r w:rsidRPr="00D5155A">
        <w:rPr>
          <w:rFonts w:ascii="Lato" w:hAnsi="Lato"/>
          <w:szCs w:val="24"/>
        </w:rPr>
        <w:t>czeniu system</w:t>
      </w:r>
      <w:r w:rsidRPr="00D5155A">
        <w:rPr>
          <w:rFonts w:ascii="Lato" w:hAnsi="Lato" w:cs="Malgun Gothic"/>
          <w:szCs w:val="24"/>
        </w:rPr>
        <w:t>ó</w:t>
      </w:r>
      <w:r w:rsidRPr="00D5155A">
        <w:rPr>
          <w:rFonts w:ascii="Lato" w:hAnsi="Lato"/>
          <w:szCs w:val="24"/>
        </w:rPr>
        <w:t>w polskiego i niemieckiego (Gubin, Las</w:t>
      </w:r>
      <w:r w:rsidRPr="00D5155A">
        <w:rPr>
          <w:rFonts w:ascii="Lato" w:hAnsi="Lato" w:cs="Malgun Gothic"/>
          <w:szCs w:val="24"/>
        </w:rPr>
        <w:t>ó</w:t>
      </w:r>
      <w:r w:rsidRPr="00D5155A">
        <w:rPr>
          <w:rFonts w:ascii="Lato" w:hAnsi="Lato"/>
          <w:szCs w:val="24"/>
        </w:rPr>
        <w:t>w oraz Kamminke i Las</w:t>
      </w:r>
      <w:r w:rsidRPr="00D5155A">
        <w:rPr>
          <w:rFonts w:ascii="Lato" w:hAnsi="Lato" w:cs="Malgun Gothic"/>
          <w:szCs w:val="24"/>
        </w:rPr>
        <w:t>ó</w:t>
      </w:r>
      <w:r w:rsidRPr="00D5155A">
        <w:rPr>
          <w:rFonts w:ascii="Lato" w:hAnsi="Lato"/>
          <w:szCs w:val="24"/>
        </w:rPr>
        <w:t>w Rewers), przesył do Polski w ilościach 182 tys. m</w:t>
      </w:r>
      <w:r w:rsidRPr="00D5155A">
        <w:rPr>
          <w:rFonts w:ascii="Lato" w:hAnsi="Lato"/>
          <w:szCs w:val="24"/>
          <w:vertAlign w:val="superscript"/>
        </w:rPr>
        <w:t>3</w:t>
      </w:r>
      <w:r w:rsidRPr="00D5155A">
        <w:rPr>
          <w:rFonts w:ascii="Lato" w:hAnsi="Lato"/>
          <w:szCs w:val="24"/>
        </w:rPr>
        <w:t xml:space="preserve">/h (2,1 GWh/h), po stronie polskiej </w:t>
      </w:r>
      <w:r w:rsidRPr="00D5155A">
        <w:rPr>
          <w:rFonts w:ascii="Lato" w:hAnsi="Lato" w:cs="Malgun Gothic"/>
          <w:szCs w:val="24"/>
        </w:rPr>
        <w:t>–</w:t>
      </w:r>
      <w:r w:rsidRPr="00D5155A">
        <w:rPr>
          <w:rFonts w:ascii="Lato" w:hAnsi="Lato"/>
          <w:szCs w:val="24"/>
        </w:rPr>
        <w:t xml:space="preserve"> możliwe jest przesy</w:t>
      </w:r>
      <w:r w:rsidRPr="00D5155A">
        <w:rPr>
          <w:rFonts w:ascii="Lato" w:hAnsi="Lato" w:cs="Malgun Gothic"/>
          <w:szCs w:val="24"/>
        </w:rPr>
        <w:t>ł</w:t>
      </w:r>
      <w:r w:rsidRPr="00D5155A">
        <w:rPr>
          <w:rFonts w:ascii="Lato" w:hAnsi="Lato"/>
          <w:szCs w:val="24"/>
        </w:rPr>
        <w:t>anie gazu ziemnego na zasadach ci</w:t>
      </w:r>
      <w:r w:rsidRPr="00D5155A">
        <w:rPr>
          <w:rFonts w:ascii="Lato" w:hAnsi="Lato" w:cs="Calibri"/>
          <w:szCs w:val="24"/>
        </w:rPr>
        <w:t>ą</w:t>
      </w:r>
      <w:r w:rsidRPr="00D5155A">
        <w:rPr>
          <w:rFonts w:ascii="Lato" w:hAnsi="Lato"/>
          <w:szCs w:val="24"/>
        </w:rPr>
        <w:t>g</w:t>
      </w:r>
      <w:r w:rsidRPr="00D5155A">
        <w:rPr>
          <w:rFonts w:ascii="Lato" w:hAnsi="Lato" w:cs="Malgun Gothic"/>
          <w:szCs w:val="24"/>
        </w:rPr>
        <w:t>ł</w:t>
      </w:r>
      <w:r w:rsidRPr="00D5155A">
        <w:rPr>
          <w:rFonts w:ascii="Lato" w:hAnsi="Lato"/>
          <w:szCs w:val="24"/>
        </w:rPr>
        <w:t>ych w kierunku Niemiec w ilo</w:t>
      </w:r>
      <w:r w:rsidRPr="00D5155A">
        <w:rPr>
          <w:rFonts w:ascii="Lato" w:hAnsi="Lato" w:cs="Calibri"/>
          <w:szCs w:val="24"/>
        </w:rPr>
        <w:t>ś</w:t>
      </w:r>
      <w:r w:rsidRPr="00D5155A">
        <w:rPr>
          <w:rFonts w:ascii="Lato" w:hAnsi="Lato"/>
          <w:szCs w:val="24"/>
        </w:rPr>
        <w:t>ci do 100 tys. m</w:t>
      </w:r>
      <w:r w:rsidRPr="00D5155A">
        <w:rPr>
          <w:rFonts w:ascii="Lato" w:hAnsi="Lato"/>
          <w:szCs w:val="24"/>
          <w:vertAlign w:val="superscript"/>
        </w:rPr>
        <w:t>3</w:t>
      </w:r>
      <w:r w:rsidRPr="00D5155A">
        <w:rPr>
          <w:rFonts w:ascii="Lato" w:hAnsi="Lato"/>
          <w:szCs w:val="24"/>
        </w:rPr>
        <w:t>/h (1,1 GWh/h);</w:t>
      </w:r>
    </w:p>
    <w:p w14:paraId="347B6209" w14:textId="77777777" w:rsidR="00245AD3" w:rsidRPr="00D5155A" w:rsidRDefault="00245AD3">
      <w:pPr>
        <w:pStyle w:val="Akapitzlist"/>
        <w:numPr>
          <w:ilvl w:val="0"/>
          <w:numId w:val="17"/>
        </w:numPr>
        <w:spacing w:line="276" w:lineRule="auto"/>
        <w:rPr>
          <w:rFonts w:ascii="Lato" w:hAnsi="Lato"/>
          <w:szCs w:val="24"/>
        </w:rPr>
      </w:pPr>
      <w:r w:rsidRPr="00D5155A">
        <w:rPr>
          <w:rFonts w:ascii="Lato" w:hAnsi="Lato"/>
          <w:szCs w:val="24"/>
        </w:rPr>
        <w:lastRenderedPageBreak/>
        <w:t>w punkcie Vyrava (połączenie systemów przesyłowych Polski i Słowacji) – zdolności przesyłowe na zasadach ciągłych w kierunku Polski wynoszą 650 tys. m</w:t>
      </w:r>
      <w:r w:rsidRPr="00D5155A">
        <w:rPr>
          <w:rFonts w:ascii="Lato" w:hAnsi="Lato"/>
          <w:szCs w:val="24"/>
          <w:vertAlign w:val="superscript"/>
        </w:rPr>
        <w:t>3</w:t>
      </w:r>
      <w:r w:rsidRPr="00D5155A">
        <w:rPr>
          <w:rFonts w:ascii="Lato" w:hAnsi="Lato"/>
          <w:szCs w:val="24"/>
        </w:rPr>
        <w:t>/h (7,2 GWh/h), zaś w kierunku Słowacji 540 tys. m</w:t>
      </w:r>
      <w:r w:rsidRPr="00D5155A">
        <w:rPr>
          <w:rFonts w:ascii="Lato" w:hAnsi="Lato"/>
          <w:szCs w:val="24"/>
          <w:vertAlign w:val="superscript"/>
        </w:rPr>
        <w:t>3</w:t>
      </w:r>
      <w:r w:rsidRPr="00D5155A">
        <w:rPr>
          <w:rFonts w:ascii="Lato" w:hAnsi="Lato"/>
          <w:szCs w:val="24"/>
        </w:rPr>
        <w:t>/h (6,0 GWh/h);</w:t>
      </w:r>
    </w:p>
    <w:p w14:paraId="7C6CB32E" w14:textId="3765BBC2" w:rsidR="00245AD3" w:rsidRPr="00D5155A" w:rsidRDefault="00245AD3">
      <w:pPr>
        <w:pStyle w:val="Akapitzlist"/>
        <w:numPr>
          <w:ilvl w:val="0"/>
          <w:numId w:val="17"/>
        </w:numPr>
        <w:spacing w:line="276" w:lineRule="auto"/>
        <w:rPr>
          <w:rFonts w:ascii="Lato" w:hAnsi="Lato"/>
          <w:szCs w:val="24"/>
        </w:rPr>
      </w:pPr>
      <w:r w:rsidRPr="00D5155A">
        <w:rPr>
          <w:rFonts w:ascii="Lato" w:hAnsi="Lato"/>
          <w:szCs w:val="24"/>
        </w:rPr>
        <w:t xml:space="preserve">w punkcie GCP GAZ-SYSTEM/UA TSO, tj. </w:t>
      </w:r>
      <w:r w:rsidR="003D7F62">
        <w:rPr>
          <w:rFonts w:ascii="Lato" w:hAnsi="Lato"/>
          <w:szCs w:val="24"/>
        </w:rPr>
        <w:t>w punktach</w:t>
      </w:r>
      <w:r w:rsidRPr="00D5155A">
        <w:rPr>
          <w:rFonts w:ascii="Lato" w:hAnsi="Lato"/>
          <w:szCs w:val="24"/>
        </w:rPr>
        <w:t xml:space="preserve"> na połączeniu systemów polskiego i ukraińskiego (Drozdowicze i Hermanowice), które zostały połączone w wirtualny </w:t>
      </w:r>
      <w:r w:rsidR="00A43906">
        <w:rPr>
          <w:rFonts w:ascii="Lato" w:hAnsi="Lato"/>
          <w:szCs w:val="24"/>
        </w:rPr>
        <w:t>GCP</w:t>
      </w:r>
      <w:r w:rsidRPr="00D5155A">
        <w:rPr>
          <w:rFonts w:ascii="Lato" w:hAnsi="Lato"/>
          <w:szCs w:val="24"/>
        </w:rPr>
        <w:t xml:space="preserve"> GAZ-SYSTEM/UA TSO na podstawie porozumienia zawartego w dniu 5 czerwca 2020 r. Zdolności przesyłowe na zasadach ciągłych w kierunku Polski wynoszą 500 tys. m</w:t>
      </w:r>
      <w:r w:rsidRPr="00D5155A">
        <w:rPr>
          <w:rFonts w:ascii="Lato" w:hAnsi="Lato"/>
          <w:szCs w:val="24"/>
          <w:vertAlign w:val="superscript"/>
        </w:rPr>
        <w:t>3</w:t>
      </w:r>
      <w:r w:rsidRPr="00D5155A">
        <w:rPr>
          <w:rFonts w:ascii="Lato" w:hAnsi="Lato"/>
          <w:szCs w:val="24"/>
        </w:rPr>
        <w:t>/h (5,7 GWh/h), zaś w kierunku Ukrainy 167 tys. m3/h (1,8 GWh/h) – (przepustowość przerywana warunkowo ciągła);</w:t>
      </w:r>
    </w:p>
    <w:p w14:paraId="7122E996" w14:textId="77777777" w:rsidR="00245AD3" w:rsidRPr="00D5155A" w:rsidRDefault="00245AD3">
      <w:pPr>
        <w:pStyle w:val="Akapitzlist"/>
        <w:numPr>
          <w:ilvl w:val="0"/>
          <w:numId w:val="17"/>
        </w:numPr>
        <w:spacing w:line="276" w:lineRule="auto"/>
        <w:rPr>
          <w:rFonts w:ascii="Lato" w:hAnsi="Lato"/>
          <w:szCs w:val="24"/>
        </w:rPr>
      </w:pPr>
      <w:r w:rsidRPr="00D5155A">
        <w:rPr>
          <w:rFonts w:ascii="Lato" w:hAnsi="Lato"/>
          <w:szCs w:val="24"/>
        </w:rPr>
        <w:t>w punkcie Santaka (połączenie systemów przesyłowych Polski i Litwy) – zdolności przesyłowe na zasadach ciągłych w kierunku Polski wynoszą 217 tys. m</w:t>
      </w:r>
      <w:r w:rsidRPr="00D5155A">
        <w:rPr>
          <w:rFonts w:ascii="Lato" w:hAnsi="Lato"/>
          <w:szCs w:val="24"/>
          <w:vertAlign w:val="superscript"/>
        </w:rPr>
        <w:t>3</w:t>
      </w:r>
      <w:r w:rsidRPr="00D5155A">
        <w:rPr>
          <w:rFonts w:ascii="Lato" w:hAnsi="Lato"/>
          <w:szCs w:val="24"/>
        </w:rPr>
        <w:t xml:space="preserve">/h (2,4 GWh/h), zaś w kierunku Litwy </w:t>
      </w:r>
      <w:r w:rsidRPr="00D5155A">
        <w:rPr>
          <w:rStyle w:val="normaltextrun"/>
          <w:rFonts w:ascii="Lato" w:hAnsi="Lato"/>
          <w:szCs w:val="24"/>
        </w:rPr>
        <w:t>275 tys m</w:t>
      </w:r>
      <w:r w:rsidRPr="00D5155A">
        <w:rPr>
          <w:rStyle w:val="normaltextrun"/>
          <w:rFonts w:ascii="Lato" w:hAnsi="Lato"/>
          <w:szCs w:val="24"/>
          <w:vertAlign w:val="superscript"/>
        </w:rPr>
        <w:t>3</w:t>
      </w:r>
      <w:r w:rsidRPr="00D5155A">
        <w:rPr>
          <w:rStyle w:val="normaltextrun"/>
          <w:rFonts w:ascii="Lato" w:hAnsi="Lato"/>
          <w:szCs w:val="24"/>
        </w:rPr>
        <w:t>/h (3,0 GWh/h).</w:t>
      </w:r>
    </w:p>
    <w:p w14:paraId="7AFA306F" w14:textId="54D353CE" w:rsidR="00245AD3" w:rsidRPr="00D5155A" w:rsidRDefault="00245AD3" w:rsidP="003D7F62">
      <w:pPr>
        <w:spacing w:after="60" w:line="276" w:lineRule="auto"/>
        <w:ind w:firstLine="709"/>
        <w:rPr>
          <w:rFonts w:ascii="Lato" w:hAnsi="Lato"/>
          <w:szCs w:val="24"/>
        </w:rPr>
      </w:pPr>
      <w:r w:rsidRPr="00D5155A">
        <w:rPr>
          <w:rFonts w:ascii="Lato" w:hAnsi="Lato"/>
          <w:szCs w:val="24"/>
        </w:rPr>
        <w:t>Dla funkcjonującego obecnie połączenia systemów przesyłowych Polski i Czech w rejonie Cieszyna (Stork I) minister właściwy do spraw energii wydał odstępstwo od obowiązku wdrożenia zdolności przepływu w obu kierunkach, po uzgodnieniu z organem właściwym Republiki Cze</w:t>
      </w:r>
      <w:r w:rsidR="003D7F62">
        <w:rPr>
          <w:rFonts w:ascii="Lato" w:hAnsi="Lato"/>
          <w:szCs w:val="24"/>
        </w:rPr>
        <w:t>skiej</w:t>
      </w:r>
      <w:r w:rsidRPr="00D5155A">
        <w:rPr>
          <w:rFonts w:ascii="Lato" w:hAnsi="Lato"/>
          <w:szCs w:val="24"/>
        </w:rPr>
        <w:t>. Rozważany jest także powrót do budowy połączenia międzysystemowego w rejonie Hat (Stork II) w przypadku możliwości pozyskania finansowania zewnętrznego, ponieważ dotychczas procedowane procesy przepustowości przyrostowej nie dawały podstaw do podjęcia decyzji inwestycyjnej na zasadach komercyjnych. W zakresie ewentualnej budowy nowego połączenia Polska-Czechy (Stork II)</w:t>
      </w:r>
      <w:r w:rsidR="003D7F62">
        <w:rPr>
          <w:rFonts w:ascii="Lato" w:hAnsi="Lato"/>
          <w:szCs w:val="24"/>
        </w:rPr>
        <w:t xml:space="preserve">, obecnie </w:t>
      </w:r>
      <w:r w:rsidRPr="00D5155A">
        <w:rPr>
          <w:rFonts w:ascii="Lato" w:hAnsi="Lato"/>
          <w:szCs w:val="24"/>
        </w:rPr>
        <w:t>strony analizują potencjalne warianty oraz parametry ewentualnej budowy.</w:t>
      </w:r>
    </w:p>
    <w:p w14:paraId="220098FB" w14:textId="043284EC" w:rsidR="00290A60" w:rsidRPr="00D5155A" w:rsidRDefault="00245AD3" w:rsidP="003D7F62">
      <w:pPr>
        <w:spacing w:after="60" w:line="276" w:lineRule="auto"/>
        <w:ind w:firstLine="709"/>
        <w:rPr>
          <w:rFonts w:ascii="Lato" w:eastAsia="Malgun Gothic" w:hAnsi="Lato"/>
          <w:szCs w:val="24"/>
        </w:rPr>
      </w:pPr>
      <w:r w:rsidRPr="00245AD3">
        <w:rPr>
          <w:rFonts w:ascii="Lato" w:eastAsia="Malgun Gothic" w:hAnsi="Lato"/>
          <w:szCs w:val="24"/>
        </w:rPr>
        <w:t xml:space="preserve">Dla połączenia systemów przesyłowych Polski i Ukrainy w 2021 r. zgodnie z CAM NC, </w:t>
      </w:r>
      <w:r w:rsidR="00185C3C">
        <w:rPr>
          <w:rFonts w:ascii="Lato" w:eastAsia="Malgun Gothic" w:hAnsi="Lato"/>
          <w:szCs w:val="24"/>
        </w:rPr>
        <w:t xml:space="preserve">OGP </w:t>
      </w:r>
      <w:r w:rsidRPr="00245AD3">
        <w:rPr>
          <w:rFonts w:ascii="Lato" w:eastAsia="Malgun Gothic" w:hAnsi="Lato"/>
          <w:szCs w:val="24"/>
        </w:rPr>
        <w:t xml:space="preserve">GAZ-SYSTEM </w:t>
      </w:r>
      <w:r w:rsidR="00185C3C">
        <w:rPr>
          <w:rFonts w:ascii="Lato" w:eastAsia="Malgun Gothic" w:hAnsi="Lato"/>
          <w:szCs w:val="24"/>
        </w:rPr>
        <w:t xml:space="preserve">S.A. </w:t>
      </w:r>
      <w:r w:rsidRPr="00245AD3">
        <w:rPr>
          <w:rFonts w:ascii="Lato" w:eastAsia="Malgun Gothic" w:hAnsi="Lato"/>
          <w:szCs w:val="24"/>
        </w:rPr>
        <w:t>po raz pierwszy przeprowadził ocenę zapotrzebowania rynku na zdolności przyrostowe pomiędzy polskim system wejścia-wyjścia i ukraińskim systemem wejścia-wyjścia. Na podstawie otrzymanych niewiążących zgłoszeń uzgodniono, że należy zainicjować realizację projektu zdolności przyrostowej. Projekt na granicy Polska-Ukraina będzie realizowany pod warunkiem otrzymania wystarczającego poziomu rezerwacji w wiążącej fazie alokacji, gwarantującego uzyskanie pozytywnego testu ekonomicznego.</w:t>
      </w:r>
      <w:bookmarkStart w:id="244" w:name="_Toc18063890"/>
      <w:bookmarkStart w:id="245" w:name="_Toc12953918"/>
      <w:bookmarkEnd w:id="244"/>
      <w:r w:rsidR="00D5155A">
        <w:rPr>
          <w:rFonts w:ascii="Lato" w:eastAsia="Malgun Gothic" w:hAnsi="Lato"/>
          <w:szCs w:val="24"/>
        </w:rPr>
        <w:br w:type="page"/>
      </w:r>
    </w:p>
    <w:p w14:paraId="1401C7CE" w14:textId="5864F6D2" w:rsidR="00B03DBA" w:rsidRPr="00D5155A" w:rsidRDefault="00C7771E" w:rsidP="00D5155A">
      <w:pPr>
        <w:pStyle w:val="Rozdzia1"/>
        <w:rPr>
          <w:rFonts w:ascii="Lato" w:hAnsi="Lato"/>
          <w:sz w:val="28"/>
          <w:szCs w:val="28"/>
        </w:rPr>
      </w:pPr>
      <w:bookmarkStart w:id="246" w:name="_Toc140489015"/>
      <w:bookmarkStart w:id="247" w:name="_Toc140581007"/>
      <w:bookmarkStart w:id="248" w:name="_Toc140489016"/>
      <w:bookmarkStart w:id="249" w:name="_Toc140581008"/>
      <w:bookmarkStart w:id="250" w:name="_Toc140489017"/>
      <w:bookmarkStart w:id="251" w:name="_Toc140581009"/>
      <w:bookmarkStart w:id="252" w:name="_Toc140489018"/>
      <w:bookmarkStart w:id="253" w:name="_Toc140581010"/>
      <w:bookmarkStart w:id="254" w:name="_Toc140489019"/>
      <w:bookmarkStart w:id="255" w:name="_Toc140581011"/>
      <w:bookmarkStart w:id="256" w:name="_Toc140489020"/>
      <w:bookmarkStart w:id="257" w:name="_Toc140581012"/>
      <w:bookmarkStart w:id="258" w:name="_Toc140489021"/>
      <w:bookmarkStart w:id="259" w:name="_Toc140581013"/>
      <w:bookmarkStart w:id="260" w:name="_Toc140489022"/>
      <w:bookmarkStart w:id="261" w:name="_Toc140581014"/>
      <w:bookmarkStart w:id="262" w:name="_Toc140489023"/>
      <w:bookmarkStart w:id="263" w:name="_Toc140581015"/>
      <w:bookmarkStart w:id="264" w:name="_Toc140489024"/>
      <w:bookmarkStart w:id="265" w:name="_Toc140581016"/>
      <w:bookmarkStart w:id="266" w:name="_Toc19782951"/>
      <w:bookmarkStart w:id="267" w:name="_Toc142469574"/>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D5155A">
        <w:rPr>
          <w:rFonts w:ascii="Lato" w:hAnsi="Lato"/>
          <w:sz w:val="28"/>
          <w:szCs w:val="28"/>
        </w:rPr>
        <w:lastRenderedPageBreak/>
        <w:t>Zgodność ze standardem w zakresie dostaw</w:t>
      </w:r>
      <w:bookmarkEnd w:id="245"/>
      <w:bookmarkEnd w:id="266"/>
      <w:bookmarkEnd w:id="267"/>
    </w:p>
    <w:p w14:paraId="235AE3C2" w14:textId="62D7E1F8" w:rsidR="00B03DBA" w:rsidRPr="00D1163A" w:rsidRDefault="00C7771E" w:rsidP="00D5155A">
      <w:pPr>
        <w:spacing w:after="0" w:line="276" w:lineRule="auto"/>
        <w:rPr>
          <w:rFonts w:ascii="Lato" w:hAnsi="Lato"/>
        </w:rPr>
      </w:pPr>
      <w:r w:rsidRPr="00C758B1">
        <w:tab/>
      </w:r>
      <w:r w:rsidRPr="00D1163A">
        <w:rPr>
          <w:rFonts w:ascii="Lato" w:hAnsi="Lato"/>
        </w:rPr>
        <w:t>Zgodnie z art. 2 ust. 5 rozporządzenia 2017/1938 opracowano, a następnie przekazano K</w:t>
      </w:r>
      <w:r w:rsidR="00185C3C">
        <w:rPr>
          <w:rFonts w:ascii="Lato" w:hAnsi="Lato"/>
        </w:rPr>
        <w:t>E</w:t>
      </w:r>
      <w:r w:rsidRPr="00D1163A">
        <w:rPr>
          <w:rFonts w:ascii="Lato" w:hAnsi="Lato"/>
        </w:rPr>
        <w:t xml:space="preserve"> katalog odbiorców chronionych na potrzeby polskiego rynku gazu ziemnego. Definicja odbiorcy chronionego obejmuje: </w:t>
      </w:r>
    </w:p>
    <w:p w14:paraId="70E04C9C" w14:textId="57EEF1B3" w:rsidR="00B03DBA" w:rsidRPr="00D1163A" w:rsidRDefault="00C7771E">
      <w:pPr>
        <w:pStyle w:val="Akapitzlist"/>
        <w:numPr>
          <w:ilvl w:val="0"/>
          <w:numId w:val="12"/>
        </w:numPr>
        <w:spacing w:line="276" w:lineRule="auto"/>
        <w:rPr>
          <w:rFonts w:ascii="Lato" w:hAnsi="Lato"/>
        </w:rPr>
      </w:pPr>
      <w:r w:rsidRPr="00D1163A">
        <w:rPr>
          <w:rFonts w:ascii="Lato" w:hAnsi="Lato"/>
        </w:rPr>
        <w:t>odbiorcę w gospodarstwie domowym, który jest podłączony do sieci dystrybucyjnej gazu;</w:t>
      </w:r>
    </w:p>
    <w:p w14:paraId="67E7F348" w14:textId="602A375E" w:rsidR="00B03DBA" w:rsidRPr="00D1163A" w:rsidRDefault="00C7771E">
      <w:pPr>
        <w:pStyle w:val="Akapitzlist"/>
        <w:numPr>
          <w:ilvl w:val="0"/>
          <w:numId w:val="12"/>
        </w:numPr>
        <w:spacing w:line="276" w:lineRule="auto"/>
        <w:rPr>
          <w:rFonts w:ascii="Lato" w:hAnsi="Lato"/>
        </w:rPr>
      </w:pPr>
      <w:r w:rsidRPr="00D1163A">
        <w:rPr>
          <w:rFonts w:ascii="Lato" w:hAnsi="Lato"/>
        </w:rPr>
        <w:t>małe lub średnie przedsiębiorstwa, pod warunkiem że są one podłączone do sieci dystrybucyjnej gazu ziemnego i posiadają zamówioną moc umowną do 710 kWh/h;</w:t>
      </w:r>
    </w:p>
    <w:p w14:paraId="486CFFAD" w14:textId="02392E46" w:rsidR="00B03DBA" w:rsidRPr="00D1163A" w:rsidRDefault="00C7771E">
      <w:pPr>
        <w:pStyle w:val="Akapitzlist"/>
        <w:numPr>
          <w:ilvl w:val="0"/>
          <w:numId w:val="12"/>
        </w:numPr>
        <w:spacing w:line="276" w:lineRule="auto"/>
        <w:rPr>
          <w:rFonts w:ascii="Lato" w:hAnsi="Lato"/>
        </w:rPr>
      </w:pPr>
      <w:r w:rsidRPr="00D1163A">
        <w:rPr>
          <w:rFonts w:ascii="Lato" w:hAnsi="Lato"/>
        </w:rPr>
        <w:t>podmiot świadczący podstawowe usługi społeczne, pod warunkiem że jest on podłączony do sieci dystrybucyjnej lub przesyłowej gazu;</w:t>
      </w:r>
    </w:p>
    <w:p w14:paraId="1899669E" w14:textId="4F531E94" w:rsidR="00B03DBA" w:rsidRDefault="003D7F62">
      <w:pPr>
        <w:pStyle w:val="Akapitzlist"/>
        <w:numPr>
          <w:ilvl w:val="0"/>
          <w:numId w:val="12"/>
        </w:numPr>
        <w:spacing w:line="276" w:lineRule="auto"/>
        <w:rPr>
          <w:rFonts w:ascii="Lato" w:hAnsi="Lato"/>
        </w:rPr>
      </w:pPr>
      <w:r>
        <w:rPr>
          <w:rFonts w:ascii="Lato" w:hAnsi="Lato"/>
        </w:rPr>
        <w:t>odbiorców gazu ziemnego, w zakresie, w jakim zajmują się wytwarzaniem ciepła dla</w:t>
      </w:r>
      <w:r w:rsidR="00C7771E" w:rsidRPr="00D1163A">
        <w:rPr>
          <w:rFonts w:ascii="Lato" w:hAnsi="Lato"/>
        </w:rPr>
        <w:t xml:space="preserve"> odbiorc</w:t>
      </w:r>
      <w:r>
        <w:rPr>
          <w:rFonts w:ascii="Lato" w:hAnsi="Lato"/>
        </w:rPr>
        <w:t>ów</w:t>
      </w:r>
      <w:r w:rsidR="00C7771E" w:rsidRPr="00D1163A">
        <w:rPr>
          <w:rFonts w:ascii="Lato" w:hAnsi="Lato"/>
        </w:rPr>
        <w:t xml:space="preserve"> będący</w:t>
      </w:r>
      <w:r>
        <w:rPr>
          <w:rFonts w:ascii="Lato" w:hAnsi="Lato"/>
        </w:rPr>
        <w:t>ch</w:t>
      </w:r>
      <w:r w:rsidR="00C7771E" w:rsidRPr="00D1163A">
        <w:rPr>
          <w:rFonts w:ascii="Lato" w:hAnsi="Lato"/>
        </w:rPr>
        <w:t xml:space="preserve"> gospodarstwami domowymi, małym lub średnim przedsiębiorstw</w:t>
      </w:r>
      <w:r>
        <w:rPr>
          <w:rFonts w:ascii="Lato" w:hAnsi="Lato"/>
        </w:rPr>
        <w:t xml:space="preserve">ami </w:t>
      </w:r>
      <w:r w:rsidR="00C7771E" w:rsidRPr="00D1163A">
        <w:rPr>
          <w:rFonts w:ascii="Lato" w:hAnsi="Lato"/>
        </w:rPr>
        <w:t>lub podmiot</w:t>
      </w:r>
      <w:r>
        <w:rPr>
          <w:rFonts w:ascii="Lato" w:hAnsi="Lato"/>
        </w:rPr>
        <w:t>ami</w:t>
      </w:r>
      <w:r w:rsidR="00C7771E" w:rsidRPr="00D1163A">
        <w:rPr>
          <w:rFonts w:ascii="Lato" w:hAnsi="Lato"/>
        </w:rPr>
        <w:t xml:space="preserve"> świadczącym</w:t>
      </w:r>
      <w:r>
        <w:rPr>
          <w:rFonts w:ascii="Lato" w:hAnsi="Lato"/>
        </w:rPr>
        <w:t>i</w:t>
      </w:r>
      <w:r w:rsidR="00C7771E" w:rsidRPr="00D1163A">
        <w:rPr>
          <w:rFonts w:ascii="Lato" w:hAnsi="Lato"/>
        </w:rPr>
        <w:t xml:space="preserve"> podstawowe usługi społeczne, </w:t>
      </w:r>
      <w:r w:rsidR="00932D5F">
        <w:rPr>
          <w:rFonts w:ascii="Lato" w:hAnsi="Lato"/>
        </w:rPr>
        <w:t xml:space="preserve">lub zaopatrywaniem w ciepło tych odbiorców, </w:t>
      </w:r>
      <w:r w:rsidR="00C7771E" w:rsidRPr="00D1163A">
        <w:rPr>
          <w:rFonts w:ascii="Lato" w:hAnsi="Lato"/>
        </w:rPr>
        <w:t xml:space="preserve">pod warunkiem że instalacji </w:t>
      </w:r>
      <w:r w:rsidR="00932D5F">
        <w:rPr>
          <w:rFonts w:ascii="Lato" w:hAnsi="Lato"/>
        </w:rPr>
        <w:t xml:space="preserve">tych odbiorców gazu ziemnego </w:t>
      </w:r>
      <w:r w:rsidR="00C7771E" w:rsidRPr="00D1163A">
        <w:rPr>
          <w:rFonts w:ascii="Lato" w:hAnsi="Lato"/>
        </w:rPr>
        <w:t xml:space="preserve">nie można </w:t>
      </w:r>
      <w:r w:rsidR="00932D5F">
        <w:rPr>
          <w:rFonts w:ascii="Lato" w:hAnsi="Lato"/>
        </w:rPr>
        <w:t xml:space="preserve">zasilać paliwem </w:t>
      </w:r>
      <w:r w:rsidR="00C7771E" w:rsidRPr="00D1163A">
        <w:rPr>
          <w:rFonts w:ascii="Lato" w:hAnsi="Lato"/>
        </w:rPr>
        <w:t>inn</w:t>
      </w:r>
      <w:r w:rsidR="00932D5F">
        <w:rPr>
          <w:rFonts w:ascii="Lato" w:hAnsi="Lato"/>
        </w:rPr>
        <w:t>ym</w:t>
      </w:r>
      <w:r w:rsidR="00C7771E" w:rsidRPr="00D1163A">
        <w:rPr>
          <w:rFonts w:ascii="Lato" w:hAnsi="Lato"/>
        </w:rPr>
        <w:t xml:space="preserve"> niż gaz</w:t>
      </w:r>
      <w:r>
        <w:rPr>
          <w:rFonts w:ascii="Lato" w:hAnsi="Lato"/>
        </w:rPr>
        <w:t xml:space="preserve"> ziemny</w:t>
      </w:r>
      <w:r w:rsidR="00C7771E" w:rsidRPr="00D1163A">
        <w:rPr>
          <w:rFonts w:ascii="Lato" w:hAnsi="Lato"/>
        </w:rPr>
        <w:t>.</w:t>
      </w:r>
    </w:p>
    <w:p w14:paraId="50027BE9" w14:textId="7960C2AE" w:rsidR="00B03DBA" w:rsidRPr="00D1163A" w:rsidRDefault="00D5155A" w:rsidP="00646890">
      <w:pPr>
        <w:spacing w:after="60" w:line="276" w:lineRule="auto"/>
        <w:ind w:firstLine="709"/>
        <w:rPr>
          <w:rFonts w:ascii="Lato" w:hAnsi="Lato"/>
        </w:rPr>
      </w:pPr>
      <w:r>
        <w:rPr>
          <w:rFonts w:ascii="Lato" w:hAnsi="Lato"/>
        </w:rPr>
        <w:t>Należy wskazać,</w:t>
      </w:r>
      <w:r w:rsidR="00C7771E" w:rsidRPr="00D1163A">
        <w:rPr>
          <w:rFonts w:ascii="Lato" w:hAnsi="Lato"/>
        </w:rPr>
        <w:t xml:space="preserve"> że małe i średnie przedsiębiorstwa podłączone do sieci dystrybucyjnej gazu ziemnego, a także podmioty świadczące podstawowe usługi </w:t>
      </w:r>
      <w:r w:rsidR="0037385B">
        <w:rPr>
          <w:rFonts w:ascii="Lato" w:hAnsi="Lato"/>
        </w:rPr>
        <w:t>społeczne</w:t>
      </w:r>
      <w:r w:rsidR="00C7771E" w:rsidRPr="00D1163A">
        <w:rPr>
          <w:rFonts w:ascii="Lato" w:hAnsi="Lato"/>
        </w:rPr>
        <w:t xml:space="preserve"> podłączone do dystrybucyjnej lub przesyłowej sieci gazowej oraz instalacje systemów ciepłowniczych mogą być zaliczone do kategorii odbiorców chronionych, o ile zużycie gazu ziemnego przez ww. grupy konsumentów nie przekracza 20% ostatecznego zużycia tego surowca.</w:t>
      </w:r>
    </w:p>
    <w:p w14:paraId="0DB2281C" w14:textId="57B5722E" w:rsidR="0005315C" w:rsidRDefault="00C7771E" w:rsidP="00646890">
      <w:pPr>
        <w:spacing w:after="60" w:line="276" w:lineRule="auto"/>
        <w:rPr>
          <w:rFonts w:ascii="Lato" w:hAnsi="Lato"/>
        </w:rPr>
      </w:pPr>
      <w:r w:rsidRPr="00D1163A">
        <w:rPr>
          <w:rFonts w:ascii="Lato" w:hAnsi="Lato"/>
        </w:rPr>
        <w:tab/>
        <w:t>Wszystkie przedsiębiorstwa gazowe</w:t>
      </w:r>
      <w:r w:rsidR="00407115">
        <w:rPr>
          <w:rFonts w:ascii="Lato" w:hAnsi="Lato"/>
        </w:rPr>
        <w:t xml:space="preserve">, które sprzedają </w:t>
      </w:r>
      <w:r w:rsidRPr="00D1163A">
        <w:rPr>
          <w:rFonts w:ascii="Lato" w:hAnsi="Lato"/>
        </w:rPr>
        <w:t>gaz ziemn</w:t>
      </w:r>
      <w:r w:rsidR="00407115">
        <w:rPr>
          <w:rFonts w:ascii="Lato" w:hAnsi="Lato"/>
        </w:rPr>
        <w:t>y</w:t>
      </w:r>
      <w:r w:rsidRPr="00D1163A">
        <w:rPr>
          <w:rFonts w:ascii="Lato" w:hAnsi="Lato"/>
        </w:rPr>
        <w:t xml:space="preserve"> odbiorcom chronionym na terytorium R</w:t>
      </w:r>
      <w:r w:rsidR="00185C3C">
        <w:rPr>
          <w:rFonts w:ascii="Lato" w:hAnsi="Lato"/>
        </w:rPr>
        <w:t>P</w:t>
      </w:r>
      <w:r w:rsidRPr="00D1163A">
        <w:rPr>
          <w:rFonts w:ascii="Lato" w:hAnsi="Lato"/>
        </w:rPr>
        <w:t xml:space="preserve">, </w:t>
      </w:r>
      <w:r w:rsidR="00407115">
        <w:rPr>
          <w:rFonts w:ascii="Lato" w:hAnsi="Lato"/>
        </w:rPr>
        <w:t xml:space="preserve">są </w:t>
      </w:r>
      <w:r w:rsidRPr="00D1163A">
        <w:rPr>
          <w:rFonts w:ascii="Lato" w:hAnsi="Lato"/>
        </w:rPr>
        <w:t>obowiązane do podjęcia środków w celu zapewnienia dostaw swoim klientom w przypadkach określonych w art. 6 ust. 1 rozporządzenia 2017/1938. Poniższa tabela przedstawia ilości gazu ziemnego zużywane przez odbiorców chronionych w rozumieniu powyższej definicji w przypadkach wyszczególnionych w art. 8 ust. 1 rozporządzenia 2017/1938.</w:t>
      </w:r>
    </w:p>
    <w:p w14:paraId="26D86C0A" w14:textId="243D967C" w:rsidR="00290A60" w:rsidRPr="00D5155A" w:rsidRDefault="0005315C" w:rsidP="00381EF8">
      <w:pPr>
        <w:spacing w:line="259" w:lineRule="auto"/>
        <w:jc w:val="left"/>
        <w:rPr>
          <w:rFonts w:ascii="Lato" w:hAnsi="Lato"/>
        </w:rPr>
      </w:pPr>
      <w:r>
        <w:rPr>
          <w:rFonts w:ascii="Lato" w:hAnsi="Lato"/>
        </w:rPr>
        <w:br w:type="page"/>
      </w:r>
    </w:p>
    <w:p w14:paraId="2D43EE95" w14:textId="124999B5" w:rsidR="00B03DBA" w:rsidRPr="00D5155A" w:rsidRDefault="00C7771E" w:rsidP="00D5155A">
      <w:pPr>
        <w:pStyle w:val="Tabela"/>
        <w:spacing w:before="120" w:after="120"/>
        <w:rPr>
          <w:rFonts w:ascii="Lato" w:hAnsi="Lato"/>
        </w:rPr>
      </w:pPr>
      <w:r w:rsidRPr="00D5155A">
        <w:rPr>
          <w:rFonts w:ascii="Lato" w:hAnsi="Lato"/>
        </w:rPr>
        <w:lastRenderedPageBreak/>
        <w:t xml:space="preserve">Tabela </w:t>
      </w:r>
      <w:r w:rsidR="002C139B">
        <w:rPr>
          <w:rFonts w:ascii="Lato" w:hAnsi="Lato"/>
        </w:rPr>
        <w:t>8</w:t>
      </w:r>
      <w:r w:rsidRPr="00D5155A">
        <w:rPr>
          <w:rFonts w:ascii="Lato" w:hAnsi="Lato"/>
        </w:rPr>
        <w:t>. Standard w zakresie dostaw do odbiorców chronionych</w:t>
      </w:r>
    </w:p>
    <w:tbl>
      <w:tblPr>
        <w:tblStyle w:val="Zwykatabela11"/>
        <w:tblW w:w="0" w:type="auto"/>
        <w:jc w:val="center"/>
        <w:tblLayout w:type="fixed"/>
        <w:tblLook w:val="04A0" w:firstRow="1" w:lastRow="0" w:firstColumn="1" w:lastColumn="0" w:noHBand="0" w:noVBand="1"/>
      </w:tblPr>
      <w:tblGrid>
        <w:gridCol w:w="1281"/>
        <w:gridCol w:w="2114"/>
        <w:gridCol w:w="2322"/>
        <w:gridCol w:w="1791"/>
      </w:tblGrid>
      <w:tr w:rsidR="00311916" w:rsidRPr="00C758B1" w14:paraId="1352228B" w14:textId="77777777" w:rsidTr="00932D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1" w:type="dxa"/>
            <w:vMerge w:val="restart"/>
            <w:vAlign w:val="center"/>
          </w:tcPr>
          <w:p w14:paraId="22249F2D" w14:textId="77777777" w:rsidR="00B03DBA" w:rsidRPr="00C758B1" w:rsidRDefault="00C7771E" w:rsidP="00983C18">
            <w:pPr>
              <w:pStyle w:val="Default"/>
              <w:spacing w:line="276" w:lineRule="auto"/>
              <w:ind w:left="-120"/>
              <w:jc w:val="center"/>
              <w:rPr>
                <w:rFonts w:ascii="Lato" w:hAnsi="Lato"/>
                <w:sz w:val="20"/>
                <w:szCs w:val="20"/>
              </w:rPr>
            </w:pPr>
            <w:r w:rsidRPr="00C758B1">
              <w:rPr>
                <w:rFonts w:ascii="Lato" w:hAnsi="Lato"/>
                <w:b w:val="0"/>
                <w:bCs w:val="0"/>
                <w:sz w:val="20"/>
                <w:szCs w:val="20"/>
              </w:rPr>
              <w:t>Rodzaj</w:t>
            </w:r>
          </w:p>
          <w:p w14:paraId="71FB3B0A" w14:textId="77777777" w:rsidR="00B03DBA" w:rsidRPr="00C758B1" w:rsidRDefault="00C7771E" w:rsidP="00983C18">
            <w:pPr>
              <w:spacing w:line="276" w:lineRule="auto"/>
              <w:ind w:left="-120"/>
              <w:jc w:val="center"/>
              <w:rPr>
                <w:rFonts w:ascii="Lato" w:hAnsi="Lato"/>
                <w:sz w:val="20"/>
                <w:szCs w:val="20"/>
              </w:rPr>
            </w:pPr>
            <w:r w:rsidRPr="00C758B1">
              <w:rPr>
                <w:rFonts w:ascii="Lato" w:hAnsi="Lato"/>
                <w:b w:val="0"/>
                <w:bCs w:val="0"/>
                <w:sz w:val="20"/>
                <w:szCs w:val="20"/>
              </w:rPr>
              <w:t>gazu</w:t>
            </w:r>
          </w:p>
        </w:tc>
        <w:tc>
          <w:tcPr>
            <w:tcW w:w="6227" w:type="dxa"/>
            <w:gridSpan w:val="3"/>
            <w:vAlign w:val="center"/>
          </w:tcPr>
          <w:p w14:paraId="4E14E997" w14:textId="77777777" w:rsidR="00B03DBA" w:rsidRPr="00C758B1" w:rsidRDefault="00C7771E" w:rsidP="00983C18">
            <w:pPr>
              <w:spacing w:line="276" w:lineRule="auto"/>
              <w:ind w:left="-120"/>
              <w:jc w:val="center"/>
              <w:cnfStyle w:val="100000000000" w:firstRow="1"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b w:val="0"/>
                <w:sz w:val="20"/>
                <w:szCs w:val="20"/>
              </w:rPr>
              <w:t>Ilość gazu potrzebnego do zapewnienia zgodności ze standardem</w:t>
            </w:r>
          </w:p>
        </w:tc>
      </w:tr>
      <w:tr w:rsidR="00311916" w:rsidRPr="00C758B1" w14:paraId="1EB77715" w14:textId="77777777" w:rsidTr="00932D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1" w:type="dxa"/>
            <w:vMerge/>
            <w:vAlign w:val="center"/>
          </w:tcPr>
          <w:p w14:paraId="5103FC6C" w14:textId="77777777" w:rsidR="00B03DBA" w:rsidRPr="00C758B1" w:rsidRDefault="00B03DBA" w:rsidP="00983C18">
            <w:pPr>
              <w:pStyle w:val="Default"/>
              <w:spacing w:line="276" w:lineRule="auto"/>
              <w:ind w:left="-120"/>
              <w:jc w:val="center"/>
              <w:rPr>
                <w:rFonts w:ascii="Lato" w:hAnsi="Lato"/>
                <w:sz w:val="20"/>
                <w:szCs w:val="20"/>
              </w:rPr>
            </w:pPr>
          </w:p>
        </w:tc>
        <w:tc>
          <w:tcPr>
            <w:tcW w:w="2114" w:type="dxa"/>
            <w:vAlign w:val="center"/>
          </w:tcPr>
          <w:p w14:paraId="20F7917B"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C758B1">
              <w:rPr>
                <w:rFonts w:ascii="Lato" w:hAnsi="Lato"/>
                <w:bCs/>
                <w:sz w:val="20"/>
                <w:szCs w:val="20"/>
              </w:rPr>
              <w:t>Standard:</w:t>
            </w:r>
          </w:p>
          <w:p w14:paraId="5494D1C8"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bCs/>
                <w:sz w:val="20"/>
                <w:szCs w:val="20"/>
              </w:rPr>
              <w:t>ekstremalne temperatury przez</w:t>
            </w:r>
          </w:p>
          <w:p w14:paraId="6C40C50A"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bCs/>
                <w:sz w:val="20"/>
                <w:szCs w:val="20"/>
              </w:rPr>
              <w:t>7-dni szczytowego zapotrzebowania</w:t>
            </w:r>
          </w:p>
          <w:p w14:paraId="0BD3F33E"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C758B1">
              <w:rPr>
                <w:rFonts w:ascii="Lato" w:hAnsi="Lato"/>
                <w:bCs/>
                <w:sz w:val="20"/>
                <w:szCs w:val="20"/>
              </w:rPr>
              <w:t>na gaz</w:t>
            </w:r>
          </w:p>
        </w:tc>
        <w:tc>
          <w:tcPr>
            <w:tcW w:w="2322" w:type="dxa"/>
            <w:vAlign w:val="center"/>
          </w:tcPr>
          <w:p w14:paraId="5D27467F"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bCs/>
                <w:sz w:val="20"/>
                <w:szCs w:val="20"/>
              </w:rPr>
              <w:t>Standard: 30 dni nadzwyczajnie wysokiego zapotrzebowania</w:t>
            </w:r>
          </w:p>
          <w:p w14:paraId="46C86016"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C758B1">
              <w:rPr>
                <w:rFonts w:ascii="Lato" w:hAnsi="Lato"/>
                <w:bCs/>
                <w:sz w:val="20"/>
                <w:szCs w:val="20"/>
              </w:rPr>
              <w:t>na gaz</w:t>
            </w:r>
          </w:p>
        </w:tc>
        <w:tc>
          <w:tcPr>
            <w:tcW w:w="1791" w:type="dxa"/>
            <w:vAlign w:val="center"/>
          </w:tcPr>
          <w:p w14:paraId="101AFFB1" w14:textId="77777777" w:rsidR="00B03DBA" w:rsidRPr="00C758B1" w:rsidRDefault="00C7771E"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bCs/>
                <w:sz w:val="20"/>
                <w:szCs w:val="20"/>
              </w:rPr>
              <w:t>Standard: 30-dni zakłóceń w największej pojedynczej infrastrukturze gazowniczej</w:t>
            </w:r>
          </w:p>
          <w:p w14:paraId="76CFD8A7" w14:textId="77777777" w:rsidR="00B03DBA" w:rsidRPr="00C758B1" w:rsidRDefault="00B03DBA" w:rsidP="00983C18">
            <w:pPr>
              <w:pStyle w:val="Default"/>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p>
        </w:tc>
      </w:tr>
      <w:tr w:rsidR="00311916" w:rsidRPr="00C758B1" w14:paraId="601C043A" w14:textId="77777777" w:rsidTr="00932D5F">
        <w:trPr>
          <w:jc w:val="center"/>
        </w:trPr>
        <w:tc>
          <w:tcPr>
            <w:cnfStyle w:val="001000000000" w:firstRow="0" w:lastRow="0" w:firstColumn="1" w:lastColumn="0" w:oddVBand="0" w:evenVBand="0" w:oddHBand="0" w:evenHBand="0" w:firstRowFirstColumn="0" w:firstRowLastColumn="0" w:lastRowFirstColumn="0" w:lastRowLastColumn="0"/>
            <w:tcW w:w="1281" w:type="dxa"/>
            <w:vMerge/>
            <w:vAlign w:val="center"/>
          </w:tcPr>
          <w:p w14:paraId="7F601034" w14:textId="77777777" w:rsidR="00B03DBA" w:rsidRPr="00C758B1" w:rsidRDefault="00B03DBA" w:rsidP="00983C18">
            <w:pPr>
              <w:spacing w:line="276" w:lineRule="auto"/>
              <w:ind w:left="-120"/>
              <w:jc w:val="center"/>
              <w:rPr>
                <w:rFonts w:ascii="Lato" w:hAnsi="Lato"/>
                <w:sz w:val="20"/>
                <w:szCs w:val="20"/>
              </w:rPr>
            </w:pPr>
          </w:p>
        </w:tc>
        <w:tc>
          <w:tcPr>
            <w:tcW w:w="2114" w:type="dxa"/>
            <w:vAlign w:val="center"/>
          </w:tcPr>
          <w:p w14:paraId="235AA835" w14:textId="77777777" w:rsidR="00B03DBA" w:rsidRPr="00C758B1" w:rsidRDefault="00C7771E" w:rsidP="00983C18">
            <w:pPr>
              <w:pStyle w:val="Default"/>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bCs/>
                <w:sz w:val="20"/>
                <w:szCs w:val="20"/>
              </w:rPr>
              <w:t>prawdopodobieństwo wystąpienia raz na 20 lat [mln m</w:t>
            </w:r>
            <w:r w:rsidRPr="00C758B1">
              <w:rPr>
                <w:rFonts w:ascii="Lato" w:hAnsi="Lato"/>
                <w:bCs/>
                <w:sz w:val="20"/>
                <w:szCs w:val="20"/>
                <w:vertAlign w:val="superscript"/>
              </w:rPr>
              <w:t>3</w:t>
            </w:r>
            <w:r w:rsidRPr="00C758B1">
              <w:rPr>
                <w:rFonts w:ascii="Lato" w:hAnsi="Lato"/>
                <w:bCs/>
                <w:sz w:val="20"/>
                <w:szCs w:val="20"/>
              </w:rPr>
              <w:t>/GWh]</w:t>
            </w:r>
          </w:p>
          <w:p w14:paraId="67F3C2E8" w14:textId="77777777" w:rsidR="00B03DBA" w:rsidRPr="00C758B1" w:rsidRDefault="00B03DBA" w:rsidP="00983C18">
            <w:pPr>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p>
        </w:tc>
        <w:tc>
          <w:tcPr>
            <w:tcW w:w="2322" w:type="dxa"/>
            <w:vAlign w:val="center"/>
          </w:tcPr>
          <w:p w14:paraId="0D892D54" w14:textId="42C8FAB8" w:rsidR="00B03DBA" w:rsidRPr="00C758B1" w:rsidRDefault="00C7771E" w:rsidP="00983C18">
            <w:pPr>
              <w:pStyle w:val="Default"/>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bCs/>
                <w:sz w:val="20"/>
                <w:szCs w:val="20"/>
              </w:rPr>
              <w:t>prawdopodobieństwo wystąpienia raz na 20 lat</w:t>
            </w:r>
            <w:r w:rsidR="00932D5F">
              <w:rPr>
                <w:rFonts w:ascii="Lato" w:hAnsi="Lato"/>
                <w:bCs/>
                <w:sz w:val="20"/>
                <w:szCs w:val="20"/>
              </w:rPr>
              <w:t xml:space="preserve"> </w:t>
            </w:r>
            <w:r w:rsidRPr="00C758B1">
              <w:rPr>
                <w:rFonts w:ascii="Lato" w:hAnsi="Lato"/>
                <w:bCs/>
                <w:sz w:val="20"/>
                <w:szCs w:val="20"/>
              </w:rPr>
              <w:t>[mln m</w:t>
            </w:r>
            <w:r w:rsidRPr="00C758B1">
              <w:rPr>
                <w:rFonts w:ascii="Lato" w:hAnsi="Lato"/>
                <w:bCs/>
                <w:sz w:val="20"/>
                <w:szCs w:val="20"/>
                <w:vertAlign w:val="superscript"/>
              </w:rPr>
              <w:t>3</w:t>
            </w:r>
            <w:r w:rsidRPr="00C758B1">
              <w:rPr>
                <w:rFonts w:ascii="Lato" w:hAnsi="Lato"/>
                <w:bCs/>
                <w:sz w:val="20"/>
                <w:szCs w:val="20"/>
              </w:rPr>
              <w:t>/GWh]</w:t>
            </w:r>
          </w:p>
          <w:p w14:paraId="629CAA55" w14:textId="77777777" w:rsidR="00B03DBA" w:rsidRPr="00C758B1" w:rsidRDefault="00B03DBA" w:rsidP="00983C18">
            <w:pPr>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p>
        </w:tc>
        <w:tc>
          <w:tcPr>
            <w:tcW w:w="1791" w:type="dxa"/>
            <w:vAlign w:val="center"/>
          </w:tcPr>
          <w:p w14:paraId="2F3F6F46" w14:textId="77777777" w:rsidR="00B03DBA" w:rsidRPr="00C758B1" w:rsidRDefault="00C7771E" w:rsidP="00983C18">
            <w:pPr>
              <w:pStyle w:val="Default"/>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r w:rsidRPr="00C758B1">
              <w:rPr>
                <w:rFonts w:ascii="Lato" w:hAnsi="Lato"/>
                <w:bCs/>
                <w:sz w:val="20"/>
                <w:szCs w:val="20"/>
              </w:rPr>
              <w:t>przeciętne warunki zimą</w:t>
            </w:r>
          </w:p>
          <w:p w14:paraId="2F9C9597" w14:textId="77777777" w:rsidR="00B03DBA" w:rsidRPr="00C758B1" w:rsidRDefault="00C7771E" w:rsidP="00983C18">
            <w:pPr>
              <w:pStyle w:val="Default"/>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bCs/>
                <w:sz w:val="20"/>
                <w:szCs w:val="20"/>
              </w:rPr>
              <w:t>[mln m</w:t>
            </w:r>
            <w:r w:rsidRPr="00C758B1">
              <w:rPr>
                <w:rFonts w:ascii="Lato" w:hAnsi="Lato"/>
                <w:bCs/>
                <w:sz w:val="20"/>
                <w:szCs w:val="20"/>
                <w:vertAlign w:val="superscript"/>
              </w:rPr>
              <w:t>3</w:t>
            </w:r>
            <w:r w:rsidRPr="00C758B1">
              <w:rPr>
                <w:rFonts w:ascii="Lato" w:hAnsi="Lato"/>
                <w:bCs/>
                <w:sz w:val="20"/>
                <w:szCs w:val="20"/>
              </w:rPr>
              <w:t>/GWh]</w:t>
            </w:r>
          </w:p>
          <w:p w14:paraId="25238E6F" w14:textId="77777777" w:rsidR="00B03DBA" w:rsidRPr="00C758B1" w:rsidRDefault="00B03DBA" w:rsidP="00983C18">
            <w:pPr>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p>
        </w:tc>
      </w:tr>
      <w:tr w:rsidR="00311916" w:rsidRPr="00C758B1" w14:paraId="5CEF014A" w14:textId="77777777" w:rsidTr="00932D5F">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1281" w:type="dxa"/>
            <w:vAlign w:val="center"/>
          </w:tcPr>
          <w:p w14:paraId="2DDAFEFC" w14:textId="77777777" w:rsidR="00B03DBA" w:rsidRPr="00C758B1" w:rsidRDefault="00C7771E" w:rsidP="00983C18">
            <w:pPr>
              <w:spacing w:line="276" w:lineRule="auto"/>
              <w:ind w:left="-120"/>
              <w:jc w:val="center"/>
              <w:rPr>
                <w:rFonts w:ascii="Lato" w:hAnsi="Lato"/>
                <w:sz w:val="20"/>
                <w:szCs w:val="20"/>
              </w:rPr>
            </w:pPr>
            <w:r w:rsidRPr="00C758B1">
              <w:rPr>
                <w:rFonts w:ascii="Lato" w:hAnsi="Lato"/>
                <w:sz w:val="20"/>
                <w:szCs w:val="20"/>
              </w:rPr>
              <w:t>E</w:t>
            </w:r>
          </w:p>
        </w:tc>
        <w:tc>
          <w:tcPr>
            <w:tcW w:w="2114" w:type="dxa"/>
            <w:vAlign w:val="center"/>
          </w:tcPr>
          <w:p w14:paraId="4574E230" w14:textId="04077F21" w:rsidR="00B03DBA" w:rsidRPr="00C758B1" w:rsidRDefault="007C5539" w:rsidP="00983C18">
            <w:pPr>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sz w:val="20"/>
                <w:szCs w:val="20"/>
              </w:rPr>
              <w:t>335,8</w:t>
            </w:r>
            <w:r w:rsidR="00C7771E" w:rsidRPr="00C758B1">
              <w:rPr>
                <w:rFonts w:ascii="Lato" w:hAnsi="Lato"/>
                <w:sz w:val="20"/>
                <w:szCs w:val="20"/>
              </w:rPr>
              <w:t>/</w:t>
            </w:r>
            <w:r w:rsidRPr="00C758B1">
              <w:rPr>
                <w:rFonts w:ascii="Lato" w:hAnsi="Lato"/>
                <w:sz w:val="20"/>
                <w:szCs w:val="20"/>
              </w:rPr>
              <w:t>3 704,3</w:t>
            </w:r>
          </w:p>
        </w:tc>
        <w:tc>
          <w:tcPr>
            <w:tcW w:w="2322" w:type="dxa"/>
            <w:vAlign w:val="center"/>
          </w:tcPr>
          <w:p w14:paraId="301620B5" w14:textId="0288D075" w:rsidR="00B03DBA" w:rsidRPr="00C758B1" w:rsidRDefault="00B00146" w:rsidP="00983C18">
            <w:pPr>
              <w:spacing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olor w:val="000000"/>
                <w:sz w:val="20"/>
                <w:szCs w:val="20"/>
              </w:rPr>
            </w:pPr>
            <w:r w:rsidRPr="00C758B1">
              <w:rPr>
                <w:rFonts w:ascii="Lato" w:hAnsi="Lato"/>
                <w:color w:val="000000"/>
                <w:sz w:val="20"/>
                <w:szCs w:val="20"/>
              </w:rPr>
              <w:t>1 153,4</w:t>
            </w:r>
            <w:r w:rsidR="00C7771E" w:rsidRPr="00C758B1">
              <w:rPr>
                <w:rFonts w:ascii="Lato" w:hAnsi="Lato"/>
                <w:sz w:val="20"/>
                <w:szCs w:val="20"/>
              </w:rPr>
              <w:t>/</w:t>
            </w:r>
            <w:r w:rsidRPr="00C758B1">
              <w:rPr>
                <w:rFonts w:ascii="Lato" w:hAnsi="Lato"/>
                <w:sz w:val="20"/>
                <w:szCs w:val="20"/>
              </w:rPr>
              <w:t>12 735,7</w:t>
            </w:r>
          </w:p>
        </w:tc>
        <w:tc>
          <w:tcPr>
            <w:tcW w:w="1791" w:type="dxa"/>
            <w:vAlign w:val="center"/>
          </w:tcPr>
          <w:p w14:paraId="5BF18E5A" w14:textId="55B1D69E" w:rsidR="00B03DBA" w:rsidRPr="00C758B1" w:rsidRDefault="00EE0BEC" w:rsidP="00983C18">
            <w:pPr>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sz w:val="20"/>
                <w:szCs w:val="20"/>
              </w:rPr>
              <w:t>907,4</w:t>
            </w:r>
            <w:r w:rsidR="00C7771E" w:rsidRPr="00C758B1">
              <w:rPr>
                <w:rFonts w:ascii="Lato" w:hAnsi="Lato"/>
                <w:sz w:val="20"/>
                <w:szCs w:val="20"/>
              </w:rPr>
              <w:t>/</w:t>
            </w:r>
            <w:r w:rsidR="00550C18" w:rsidRPr="00C758B1">
              <w:rPr>
                <w:rFonts w:ascii="Lato" w:hAnsi="Lato"/>
                <w:sz w:val="20"/>
                <w:szCs w:val="20"/>
              </w:rPr>
              <w:t>10 020,8</w:t>
            </w:r>
          </w:p>
        </w:tc>
      </w:tr>
      <w:tr w:rsidR="00311916" w:rsidRPr="00C758B1" w14:paraId="4105F0EC" w14:textId="77777777" w:rsidTr="00932D5F">
        <w:trPr>
          <w:trHeight w:val="414"/>
          <w:jc w:val="center"/>
        </w:trPr>
        <w:tc>
          <w:tcPr>
            <w:cnfStyle w:val="001000000000" w:firstRow="0" w:lastRow="0" w:firstColumn="1" w:lastColumn="0" w:oddVBand="0" w:evenVBand="0" w:oddHBand="0" w:evenHBand="0" w:firstRowFirstColumn="0" w:firstRowLastColumn="0" w:lastRowFirstColumn="0" w:lastRowLastColumn="0"/>
            <w:tcW w:w="1281" w:type="dxa"/>
            <w:vAlign w:val="center"/>
          </w:tcPr>
          <w:p w14:paraId="5811519E" w14:textId="77777777" w:rsidR="00B03DBA" w:rsidRPr="00C758B1" w:rsidRDefault="00C7771E" w:rsidP="00983C18">
            <w:pPr>
              <w:spacing w:line="276" w:lineRule="auto"/>
              <w:ind w:left="-120"/>
              <w:jc w:val="center"/>
              <w:rPr>
                <w:rFonts w:ascii="Lato" w:hAnsi="Lato"/>
                <w:sz w:val="20"/>
                <w:szCs w:val="20"/>
              </w:rPr>
            </w:pPr>
            <w:r w:rsidRPr="00C758B1">
              <w:rPr>
                <w:rFonts w:ascii="Lato" w:hAnsi="Lato"/>
                <w:sz w:val="20"/>
                <w:szCs w:val="20"/>
              </w:rPr>
              <w:t>Lw</w:t>
            </w:r>
          </w:p>
        </w:tc>
        <w:tc>
          <w:tcPr>
            <w:tcW w:w="2114" w:type="dxa"/>
            <w:vAlign w:val="center"/>
          </w:tcPr>
          <w:p w14:paraId="2B74FD28" w14:textId="22835B7F" w:rsidR="00B03DBA" w:rsidRPr="00C758B1" w:rsidRDefault="00A549B5" w:rsidP="00983C18">
            <w:pPr>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sz w:val="20"/>
                <w:szCs w:val="20"/>
              </w:rPr>
              <w:t>16,6</w:t>
            </w:r>
            <w:r w:rsidR="00C7771E" w:rsidRPr="00C758B1">
              <w:rPr>
                <w:rFonts w:ascii="Lato" w:hAnsi="Lato"/>
                <w:sz w:val="20"/>
                <w:szCs w:val="20"/>
              </w:rPr>
              <w:t>/</w:t>
            </w:r>
            <w:r w:rsidRPr="00C758B1">
              <w:rPr>
                <w:rFonts w:ascii="Lato" w:hAnsi="Lato"/>
                <w:sz w:val="20"/>
                <w:szCs w:val="20"/>
              </w:rPr>
              <w:t>151,0</w:t>
            </w:r>
          </w:p>
        </w:tc>
        <w:tc>
          <w:tcPr>
            <w:tcW w:w="2322" w:type="dxa"/>
            <w:vAlign w:val="center"/>
          </w:tcPr>
          <w:p w14:paraId="4220AA71" w14:textId="2459D76D" w:rsidR="00B03DBA" w:rsidRPr="00C758B1" w:rsidRDefault="001E1C0D" w:rsidP="00983C18">
            <w:pPr>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sz w:val="20"/>
                <w:szCs w:val="20"/>
              </w:rPr>
              <w:t>60,8</w:t>
            </w:r>
            <w:r w:rsidR="00C7771E" w:rsidRPr="00C758B1">
              <w:rPr>
                <w:rFonts w:ascii="Lato" w:hAnsi="Lato"/>
                <w:sz w:val="20"/>
                <w:szCs w:val="20"/>
              </w:rPr>
              <w:t>/</w:t>
            </w:r>
            <w:r w:rsidRPr="00C758B1">
              <w:rPr>
                <w:rFonts w:ascii="Lato" w:hAnsi="Lato"/>
                <w:sz w:val="20"/>
                <w:szCs w:val="20"/>
              </w:rPr>
              <w:t>551,1</w:t>
            </w:r>
          </w:p>
        </w:tc>
        <w:tc>
          <w:tcPr>
            <w:tcW w:w="1791" w:type="dxa"/>
            <w:vAlign w:val="center"/>
          </w:tcPr>
          <w:p w14:paraId="7A3792C1" w14:textId="25AA4498" w:rsidR="00B03DBA" w:rsidRPr="00C758B1" w:rsidRDefault="00550C18" w:rsidP="00983C18">
            <w:pPr>
              <w:spacing w:line="276" w:lineRule="auto"/>
              <w:ind w:left="-120"/>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C758B1">
              <w:rPr>
                <w:rFonts w:ascii="Lato" w:hAnsi="Lato"/>
                <w:sz w:val="20"/>
                <w:szCs w:val="20"/>
              </w:rPr>
              <w:t>44,1</w:t>
            </w:r>
            <w:r w:rsidR="00C7771E" w:rsidRPr="00C758B1">
              <w:rPr>
                <w:rFonts w:ascii="Lato" w:hAnsi="Lato"/>
                <w:sz w:val="20"/>
                <w:szCs w:val="20"/>
              </w:rPr>
              <w:t>/</w:t>
            </w:r>
            <w:r w:rsidRPr="00C758B1">
              <w:rPr>
                <w:rFonts w:ascii="Lato" w:hAnsi="Lato"/>
                <w:sz w:val="20"/>
                <w:szCs w:val="20"/>
              </w:rPr>
              <w:t>399,0</w:t>
            </w:r>
          </w:p>
        </w:tc>
      </w:tr>
      <w:tr w:rsidR="00311916" w:rsidRPr="00C758B1" w14:paraId="16B0801A" w14:textId="77777777" w:rsidTr="00932D5F">
        <w:trPr>
          <w:cnfStyle w:val="000000100000" w:firstRow="0" w:lastRow="0" w:firstColumn="0" w:lastColumn="0" w:oddVBand="0" w:evenVBand="0" w:oddHBand="1"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1281" w:type="dxa"/>
            <w:vAlign w:val="center"/>
          </w:tcPr>
          <w:p w14:paraId="1BF85C7D" w14:textId="77777777" w:rsidR="00B03DBA" w:rsidRPr="00C758B1" w:rsidRDefault="00C7771E" w:rsidP="00983C18">
            <w:pPr>
              <w:spacing w:line="276" w:lineRule="auto"/>
              <w:ind w:left="-120"/>
              <w:jc w:val="center"/>
              <w:rPr>
                <w:rFonts w:ascii="Lato" w:hAnsi="Lato"/>
                <w:sz w:val="20"/>
                <w:szCs w:val="20"/>
              </w:rPr>
            </w:pPr>
            <w:r w:rsidRPr="00C758B1">
              <w:rPr>
                <w:rFonts w:ascii="Lato" w:hAnsi="Lato"/>
                <w:sz w:val="20"/>
                <w:szCs w:val="20"/>
              </w:rPr>
              <w:t>Ls</w:t>
            </w:r>
          </w:p>
        </w:tc>
        <w:tc>
          <w:tcPr>
            <w:tcW w:w="2114" w:type="dxa"/>
            <w:vAlign w:val="center"/>
          </w:tcPr>
          <w:p w14:paraId="2200D737" w14:textId="10164673" w:rsidR="00B03DBA" w:rsidRPr="00C758B1" w:rsidRDefault="00A549B5" w:rsidP="00983C18">
            <w:pPr>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sz w:val="20"/>
                <w:szCs w:val="20"/>
              </w:rPr>
              <w:t>4,9</w:t>
            </w:r>
            <w:r w:rsidR="00C7771E" w:rsidRPr="00C758B1">
              <w:rPr>
                <w:rFonts w:ascii="Lato" w:hAnsi="Lato"/>
                <w:sz w:val="20"/>
                <w:szCs w:val="20"/>
              </w:rPr>
              <w:t>/</w:t>
            </w:r>
            <w:r w:rsidRPr="00C758B1">
              <w:rPr>
                <w:rFonts w:ascii="Lato" w:hAnsi="Lato"/>
                <w:sz w:val="20"/>
                <w:szCs w:val="20"/>
              </w:rPr>
              <w:t>39,3</w:t>
            </w:r>
          </w:p>
        </w:tc>
        <w:tc>
          <w:tcPr>
            <w:tcW w:w="2322" w:type="dxa"/>
            <w:vAlign w:val="center"/>
          </w:tcPr>
          <w:p w14:paraId="154D2E7A" w14:textId="41996B57" w:rsidR="00B03DBA" w:rsidRPr="00C758B1" w:rsidRDefault="001E1C0D" w:rsidP="00983C18">
            <w:pPr>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sz w:val="20"/>
                <w:szCs w:val="20"/>
              </w:rPr>
              <w:t>12,6</w:t>
            </w:r>
            <w:r w:rsidR="00C7771E" w:rsidRPr="00C758B1">
              <w:rPr>
                <w:rFonts w:ascii="Lato" w:hAnsi="Lato"/>
                <w:sz w:val="20"/>
                <w:szCs w:val="20"/>
              </w:rPr>
              <w:t>/</w:t>
            </w:r>
            <w:r w:rsidRPr="00C758B1">
              <w:rPr>
                <w:rFonts w:ascii="Lato" w:hAnsi="Lato"/>
                <w:sz w:val="20"/>
                <w:szCs w:val="20"/>
              </w:rPr>
              <w:t>100,7</w:t>
            </w:r>
          </w:p>
        </w:tc>
        <w:tc>
          <w:tcPr>
            <w:tcW w:w="1791" w:type="dxa"/>
            <w:vAlign w:val="center"/>
          </w:tcPr>
          <w:p w14:paraId="4CFCBB76" w14:textId="35B7BFF9" w:rsidR="00B03DBA" w:rsidRPr="00C758B1" w:rsidRDefault="00550C18" w:rsidP="00983C18">
            <w:pPr>
              <w:spacing w:line="276" w:lineRule="auto"/>
              <w:ind w:left="-120"/>
              <w:jc w:val="center"/>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C758B1">
              <w:rPr>
                <w:rFonts w:ascii="Lato" w:hAnsi="Lato"/>
                <w:sz w:val="20"/>
                <w:szCs w:val="20"/>
              </w:rPr>
              <w:t>11,9</w:t>
            </w:r>
            <w:r w:rsidR="00C7771E" w:rsidRPr="00C758B1">
              <w:rPr>
                <w:rFonts w:ascii="Lato" w:hAnsi="Lato"/>
                <w:sz w:val="20"/>
                <w:szCs w:val="20"/>
              </w:rPr>
              <w:t>/</w:t>
            </w:r>
            <w:r w:rsidRPr="00C758B1">
              <w:rPr>
                <w:rFonts w:ascii="Lato" w:hAnsi="Lato"/>
                <w:sz w:val="20"/>
                <w:szCs w:val="20"/>
              </w:rPr>
              <w:t>95,3</w:t>
            </w:r>
          </w:p>
        </w:tc>
      </w:tr>
    </w:tbl>
    <w:p w14:paraId="3DF7B2C8" w14:textId="77777777" w:rsidR="00192491" w:rsidRDefault="00192491" w:rsidP="00983C18">
      <w:pPr>
        <w:spacing w:line="276" w:lineRule="auto"/>
        <w:rPr>
          <w:rFonts w:ascii="Lato" w:hAnsi="Lato"/>
        </w:rPr>
      </w:pPr>
    </w:p>
    <w:p w14:paraId="0C2F1DF2" w14:textId="454708D2" w:rsidR="00B03DBA" w:rsidRPr="00D1163A" w:rsidRDefault="00C7771E" w:rsidP="00646890">
      <w:pPr>
        <w:spacing w:after="60" w:line="276" w:lineRule="auto"/>
        <w:ind w:firstLine="709"/>
        <w:rPr>
          <w:rFonts w:ascii="Lato" w:hAnsi="Lato"/>
        </w:rPr>
      </w:pPr>
      <w:r w:rsidRPr="00D1163A">
        <w:rPr>
          <w:rFonts w:ascii="Lato" w:hAnsi="Lato"/>
        </w:rPr>
        <w:t xml:space="preserve">Na podstawie danych uzyskanych od </w:t>
      </w:r>
      <w:r w:rsidR="001079B8">
        <w:rPr>
          <w:rFonts w:ascii="Lato" w:hAnsi="Lato"/>
        </w:rPr>
        <w:t xml:space="preserve">przedsiębiorstw energetycznych dostarczających paliwa gazowe do odbiorców chronionych </w:t>
      </w:r>
      <w:r w:rsidR="00407115">
        <w:rPr>
          <w:rFonts w:ascii="Lato" w:hAnsi="Lato"/>
        </w:rPr>
        <w:t>oszacowano</w:t>
      </w:r>
      <w:r w:rsidRPr="00D1163A">
        <w:rPr>
          <w:rFonts w:ascii="Lato" w:hAnsi="Lato"/>
        </w:rPr>
        <w:t>, że na spełnienie wymogów standardu w zakresie dostaw dla odbiorców gazu ziemnego należących do grupy odbiorców chronionych, potrzebne jest ok.</w:t>
      </w:r>
      <w:r w:rsidR="00764352" w:rsidRPr="00D1163A">
        <w:rPr>
          <w:rFonts w:ascii="Lato" w:hAnsi="Lato"/>
        </w:rPr>
        <w:t xml:space="preserve"> </w:t>
      </w:r>
      <w:r w:rsidRPr="00D1163A">
        <w:rPr>
          <w:rFonts w:ascii="Lato" w:hAnsi="Lato"/>
        </w:rPr>
        <w:t>1 </w:t>
      </w:r>
      <w:r w:rsidR="006F72A0" w:rsidRPr="00D1163A">
        <w:rPr>
          <w:rFonts w:ascii="Lato" w:hAnsi="Lato"/>
        </w:rPr>
        <w:t>226,8</w:t>
      </w:r>
      <w:r w:rsidRPr="00D1163A">
        <w:rPr>
          <w:rFonts w:ascii="Lato" w:hAnsi="Lato"/>
        </w:rPr>
        <w:t xml:space="preserve"> mln m</w:t>
      </w:r>
      <w:r w:rsidRPr="00D1163A">
        <w:rPr>
          <w:rFonts w:ascii="Lato" w:hAnsi="Lato"/>
          <w:vertAlign w:val="superscript"/>
        </w:rPr>
        <w:t>3</w:t>
      </w:r>
      <w:r w:rsidRPr="00D1163A">
        <w:rPr>
          <w:rFonts w:ascii="Lato" w:hAnsi="Lato"/>
        </w:rPr>
        <w:t xml:space="preserve"> (</w:t>
      </w:r>
      <w:r w:rsidR="003F2F61" w:rsidRPr="00D1163A">
        <w:rPr>
          <w:rFonts w:ascii="Lato" w:hAnsi="Lato"/>
        </w:rPr>
        <w:t>13 387,</w:t>
      </w:r>
      <w:r w:rsidR="0036571A" w:rsidRPr="00D1163A">
        <w:rPr>
          <w:rFonts w:ascii="Lato" w:hAnsi="Lato"/>
        </w:rPr>
        <w:t>5</w:t>
      </w:r>
      <w:r w:rsidRPr="00D1163A">
        <w:rPr>
          <w:rFonts w:ascii="Lato" w:hAnsi="Lato"/>
        </w:rPr>
        <w:t xml:space="preserve"> GWh) do uzupełnienia w</w:t>
      </w:r>
      <w:r w:rsidRPr="00D1163A">
        <w:rPr>
          <w:rFonts w:ascii="Lato" w:hAnsi="Lato"/>
          <w:vertAlign w:val="superscript"/>
        </w:rPr>
        <w:t xml:space="preserve"> </w:t>
      </w:r>
      <w:r w:rsidRPr="00D1163A">
        <w:rPr>
          <w:rFonts w:ascii="Lato" w:hAnsi="Lato"/>
        </w:rPr>
        <w:t>czasie 30 dni nadzwyczajnego zapotrzebowania.</w:t>
      </w:r>
    </w:p>
    <w:p w14:paraId="73768D40" w14:textId="049DE968" w:rsidR="003043BB" w:rsidRPr="00D1163A" w:rsidRDefault="003043BB" w:rsidP="00646890">
      <w:pPr>
        <w:spacing w:after="60" w:line="276" w:lineRule="auto"/>
        <w:ind w:firstLine="709"/>
        <w:rPr>
          <w:rFonts w:ascii="Lato" w:hAnsi="Lato" w:cs="Times New Roman"/>
          <w:color w:val="000000" w:themeColor="text1"/>
          <w:szCs w:val="24"/>
        </w:rPr>
      </w:pPr>
      <w:r w:rsidRPr="00D1163A">
        <w:rPr>
          <w:rFonts w:ascii="Lato" w:hAnsi="Lato" w:cs="Times New Roman"/>
          <w:color w:val="000000" w:themeColor="text1"/>
          <w:szCs w:val="24"/>
        </w:rPr>
        <w:t xml:space="preserve">W celu zapewnienia standardu w zakresie dostaw do odbiorców chronionych w czasie 30 dni nadzwyczajnie wysokiego zapotrzebowania szacowanego na </w:t>
      </w:r>
      <w:r w:rsidR="00932D5F">
        <w:rPr>
          <w:rFonts w:ascii="Lato" w:hAnsi="Lato" w:cs="Times New Roman"/>
          <w:color w:val="000000" w:themeColor="text1"/>
          <w:szCs w:val="24"/>
        </w:rPr>
        <w:t xml:space="preserve">poziomie </w:t>
      </w:r>
      <w:r w:rsidR="0036571A" w:rsidRPr="00D1163A">
        <w:rPr>
          <w:rFonts w:ascii="Lato" w:hAnsi="Lato" w:cs="Times New Roman"/>
          <w:color w:val="000000" w:themeColor="text1"/>
          <w:szCs w:val="24"/>
        </w:rPr>
        <w:t>1 226,8</w:t>
      </w:r>
      <w:r w:rsidRPr="00D1163A">
        <w:rPr>
          <w:rFonts w:ascii="Lato" w:hAnsi="Lato" w:cs="Times New Roman"/>
          <w:color w:val="000000" w:themeColor="text1"/>
          <w:szCs w:val="24"/>
        </w:rPr>
        <w:t xml:space="preserve"> mln m</w:t>
      </w:r>
      <w:r w:rsidRPr="00D1163A">
        <w:rPr>
          <w:rFonts w:ascii="Lato" w:hAnsi="Lato" w:cs="Times New Roman"/>
          <w:color w:val="000000" w:themeColor="text1"/>
          <w:szCs w:val="24"/>
          <w:vertAlign w:val="superscript"/>
        </w:rPr>
        <w:t xml:space="preserve">3 </w:t>
      </w:r>
      <w:r w:rsidRPr="00D1163A">
        <w:rPr>
          <w:rFonts w:ascii="Lato" w:hAnsi="Lato" w:cs="Times New Roman"/>
          <w:color w:val="000000" w:themeColor="text1"/>
          <w:szCs w:val="24"/>
        </w:rPr>
        <w:t>(</w:t>
      </w:r>
      <w:r w:rsidR="00C7584D" w:rsidRPr="00D1163A">
        <w:rPr>
          <w:rFonts w:ascii="Lato" w:hAnsi="Lato" w:cs="Times New Roman"/>
          <w:color w:val="000000" w:themeColor="text1"/>
          <w:szCs w:val="24"/>
        </w:rPr>
        <w:t>13 387,5</w:t>
      </w:r>
      <w:r w:rsidRPr="00D1163A">
        <w:rPr>
          <w:rFonts w:ascii="Lato" w:hAnsi="Lato" w:cs="Times New Roman"/>
          <w:color w:val="000000" w:themeColor="text1"/>
          <w:szCs w:val="24"/>
        </w:rPr>
        <w:t xml:space="preserve"> GWh), w pierwszej kolejności planowane jest wykorzystanie dostępnych środków rynkowych po stronie podażowej – przede wszystkim zwiększenie elastyczności importu poprzez zakontraktowanie dodatkowych przepustowości na połączeniach międzysystemowych z państwami UE oraz terminalu LNG</w:t>
      </w:r>
      <w:r w:rsidR="00646890">
        <w:rPr>
          <w:rFonts w:ascii="Lato" w:hAnsi="Lato" w:cs="Times New Roman"/>
          <w:color w:val="000000" w:themeColor="text1"/>
          <w:szCs w:val="24"/>
        </w:rPr>
        <w:t>, w szczególności w punktach</w:t>
      </w:r>
      <w:r w:rsidR="00407115">
        <w:rPr>
          <w:rFonts w:ascii="Lato" w:hAnsi="Lato" w:cs="Times New Roman"/>
          <w:color w:val="000000" w:themeColor="text1"/>
          <w:szCs w:val="24"/>
        </w:rPr>
        <w:t>:</w:t>
      </w:r>
    </w:p>
    <w:p w14:paraId="2615D6AC" w14:textId="519410A1" w:rsidR="003043BB" w:rsidRPr="00364782" w:rsidRDefault="003043BB">
      <w:pPr>
        <w:pStyle w:val="Akapitzlist"/>
        <w:numPr>
          <w:ilvl w:val="0"/>
          <w:numId w:val="13"/>
        </w:numPr>
        <w:spacing w:line="276" w:lineRule="auto"/>
        <w:rPr>
          <w:rFonts w:ascii="Lato" w:hAnsi="Lato"/>
        </w:rPr>
      </w:pPr>
      <w:r w:rsidRPr="00364782">
        <w:rPr>
          <w:rFonts w:ascii="Lato" w:hAnsi="Lato"/>
        </w:rPr>
        <w:t>GCP GAZ-SYSTEM/Ontras – do 4,4 mln m</w:t>
      </w:r>
      <w:r w:rsidRPr="00364782">
        <w:rPr>
          <w:rFonts w:ascii="Lato" w:hAnsi="Lato"/>
          <w:vertAlign w:val="superscript"/>
        </w:rPr>
        <w:t>3</w:t>
      </w:r>
      <w:r w:rsidRPr="00364782">
        <w:rPr>
          <w:rFonts w:ascii="Lato" w:hAnsi="Lato"/>
        </w:rPr>
        <w:t>/dobę (48,7 GWh/dobę</w:t>
      </w:r>
      <w:r w:rsidRPr="00D1163A">
        <w:rPr>
          <w:rFonts w:ascii="Lato" w:hAnsi="Lato"/>
        </w:rPr>
        <w:t>)</w:t>
      </w:r>
      <w:r w:rsidR="00290A60" w:rsidRPr="00D1163A">
        <w:rPr>
          <w:rFonts w:ascii="Lato" w:hAnsi="Lato"/>
        </w:rPr>
        <w:t>;</w:t>
      </w:r>
    </w:p>
    <w:p w14:paraId="2ED9593B" w14:textId="73FBD784" w:rsidR="003043BB" w:rsidRPr="00407115" w:rsidRDefault="003043BB">
      <w:pPr>
        <w:pStyle w:val="Akapitzlist"/>
        <w:numPr>
          <w:ilvl w:val="0"/>
          <w:numId w:val="13"/>
        </w:numPr>
        <w:spacing w:line="276" w:lineRule="auto"/>
        <w:rPr>
          <w:rFonts w:ascii="Lato" w:hAnsi="Lato"/>
        </w:rPr>
      </w:pPr>
      <w:r w:rsidRPr="00364782">
        <w:rPr>
          <w:rFonts w:ascii="Lato" w:hAnsi="Lato"/>
        </w:rPr>
        <w:t>Cieszyn – do 2,5 mln m</w:t>
      </w:r>
      <w:r w:rsidRPr="00364782">
        <w:rPr>
          <w:rFonts w:ascii="Lato" w:hAnsi="Lato"/>
          <w:vertAlign w:val="superscript"/>
        </w:rPr>
        <w:t>3</w:t>
      </w:r>
      <w:r w:rsidRPr="00364782">
        <w:rPr>
          <w:rFonts w:ascii="Lato" w:hAnsi="Lato"/>
        </w:rPr>
        <w:t xml:space="preserve">/dobę (28 GWh/dobę) w okresie od października do </w:t>
      </w:r>
      <w:r w:rsidRPr="00407115">
        <w:rPr>
          <w:rFonts w:ascii="Lato" w:hAnsi="Lato"/>
        </w:rPr>
        <w:t>kwietnia</w:t>
      </w:r>
      <w:r w:rsidR="00290A60" w:rsidRPr="00D1163A">
        <w:rPr>
          <w:rFonts w:ascii="Lato" w:hAnsi="Lato"/>
        </w:rPr>
        <w:t>;</w:t>
      </w:r>
    </w:p>
    <w:p w14:paraId="6340F09E" w14:textId="7C9020B2" w:rsidR="003043BB" w:rsidRPr="00407115" w:rsidRDefault="003043BB">
      <w:pPr>
        <w:pStyle w:val="Akapitzlist"/>
        <w:numPr>
          <w:ilvl w:val="0"/>
          <w:numId w:val="13"/>
        </w:numPr>
        <w:spacing w:line="276" w:lineRule="auto"/>
        <w:rPr>
          <w:rFonts w:ascii="Lato" w:hAnsi="Lato"/>
        </w:rPr>
      </w:pPr>
      <w:r w:rsidRPr="00407115">
        <w:rPr>
          <w:rFonts w:ascii="Lato" w:hAnsi="Lato"/>
        </w:rPr>
        <w:t xml:space="preserve">Mallnow Rewers – do </w:t>
      </w:r>
      <w:r w:rsidR="003F6FA1" w:rsidRPr="00D1163A">
        <w:rPr>
          <w:rFonts w:ascii="Lato" w:hAnsi="Lato"/>
        </w:rPr>
        <w:t>25,1</w:t>
      </w:r>
      <w:r w:rsidRPr="00407115">
        <w:rPr>
          <w:rFonts w:ascii="Lato" w:hAnsi="Lato"/>
        </w:rPr>
        <w:t xml:space="preserve"> mln m</w:t>
      </w:r>
      <w:r w:rsidRPr="00407115">
        <w:rPr>
          <w:rFonts w:ascii="Lato" w:hAnsi="Lato"/>
          <w:vertAlign w:val="superscript"/>
        </w:rPr>
        <w:t>3</w:t>
      </w:r>
      <w:r w:rsidRPr="00407115">
        <w:rPr>
          <w:rFonts w:ascii="Lato" w:hAnsi="Lato"/>
        </w:rPr>
        <w:t>/dobę (</w:t>
      </w:r>
      <w:r w:rsidR="005F4D9D" w:rsidRPr="00D1163A">
        <w:rPr>
          <w:rFonts w:ascii="Lato" w:hAnsi="Lato"/>
        </w:rPr>
        <w:t>277,6</w:t>
      </w:r>
      <w:r w:rsidRPr="00407115">
        <w:rPr>
          <w:rFonts w:ascii="Lato" w:hAnsi="Lato"/>
        </w:rPr>
        <w:t xml:space="preserve"> GWh/dobę</w:t>
      </w:r>
      <w:r w:rsidRPr="00D1163A">
        <w:rPr>
          <w:rFonts w:ascii="Lato" w:hAnsi="Lato"/>
        </w:rPr>
        <w:t>)</w:t>
      </w:r>
      <w:r w:rsidR="00290A60" w:rsidRPr="00D1163A">
        <w:rPr>
          <w:rFonts w:ascii="Lato" w:hAnsi="Lato"/>
        </w:rPr>
        <w:t>;</w:t>
      </w:r>
    </w:p>
    <w:p w14:paraId="05E05082" w14:textId="7BF414C2" w:rsidR="005F4D9D" w:rsidRPr="00D1163A" w:rsidRDefault="005F4D9D">
      <w:pPr>
        <w:pStyle w:val="Akapitzlist"/>
        <w:numPr>
          <w:ilvl w:val="0"/>
          <w:numId w:val="13"/>
        </w:numPr>
        <w:spacing w:line="276" w:lineRule="auto"/>
        <w:rPr>
          <w:rFonts w:ascii="Lato" w:hAnsi="Lato"/>
        </w:rPr>
      </w:pPr>
      <w:r w:rsidRPr="00D1163A">
        <w:rPr>
          <w:rFonts w:ascii="Lato" w:hAnsi="Lato"/>
        </w:rPr>
        <w:t xml:space="preserve">FAXE (Baltic Pipe) – do </w:t>
      </w:r>
      <w:r w:rsidR="000C4B13" w:rsidRPr="00D1163A">
        <w:rPr>
          <w:rFonts w:ascii="Lato" w:hAnsi="Lato"/>
        </w:rPr>
        <w:t>27,4 mln m</w:t>
      </w:r>
      <w:r w:rsidR="000C4B13" w:rsidRPr="00D1163A">
        <w:rPr>
          <w:rFonts w:ascii="Lato" w:hAnsi="Lato"/>
          <w:vertAlign w:val="superscript"/>
        </w:rPr>
        <w:t>3</w:t>
      </w:r>
      <w:r w:rsidR="000C4B13" w:rsidRPr="00D1163A">
        <w:rPr>
          <w:rFonts w:ascii="Lato" w:hAnsi="Lato"/>
        </w:rPr>
        <w:t>/dobę (321,9 GWh/dobę)</w:t>
      </w:r>
      <w:r w:rsidR="00290A60" w:rsidRPr="00D1163A">
        <w:rPr>
          <w:rFonts w:ascii="Lato" w:hAnsi="Lato"/>
        </w:rPr>
        <w:t>;</w:t>
      </w:r>
    </w:p>
    <w:p w14:paraId="16DF5D5A" w14:textId="28F0897B" w:rsidR="000C4B13" w:rsidRPr="00D1163A" w:rsidRDefault="000C4B13">
      <w:pPr>
        <w:pStyle w:val="Akapitzlist"/>
        <w:numPr>
          <w:ilvl w:val="0"/>
          <w:numId w:val="13"/>
        </w:numPr>
        <w:spacing w:line="276" w:lineRule="auto"/>
        <w:rPr>
          <w:rFonts w:ascii="Lato" w:hAnsi="Lato"/>
        </w:rPr>
      </w:pPr>
      <w:r w:rsidRPr="00D1163A">
        <w:rPr>
          <w:rFonts w:ascii="Lato" w:hAnsi="Lato"/>
        </w:rPr>
        <w:t>Santaka – do 5,2 mln m</w:t>
      </w:r>
      <w:r w:rsidRPr="00D1163A">
        <w:rPr>
          <w:rFonts w:ascii="Lato" w:hAnsi="Lato"/>
          <w:vertAlign w:val="superscript"/>
        </w:rPr>
        <w:t>3</w:t>
      </w:r>
      <w:r w:rsidRPr="00D1163A">
        <w:rPr>
          <w:rFonts w:ascii="Lato" w:hAnsi="Lato"/>
        </w:rPr>
        <w:t>/dobę (58,1 GWh/dobę)</w:t>
      </w:r>
      <w:r w:rsidR="00290A60" w:rsidRPr="00D1163A">
        <w:rPr>
          <w:rFonts w:ascii="Lato" w:hAnsi="Lato"/>
        </w:rPr>
        <w:t>;</w:t>
      </w:r>
    </w:p>
    <w:p w14:paraId="518AD76E" w14:textId="081DE2A9" w:rsidR="000C4B13" w:rsidRPr="00D1163A" w:rsidRDefault="000C4B13">
      <w:pPr>
        <w:pStyle w:val="Akapitzlist"/>
        <w:numPr>
          <w:ilvl w:val="0"/>
          <w:numId w:val="13"/>
        </w:numPr>
        <w:spacing w:line="276" w:lineRule="auto"/>
        <w:rPr>
          <w:rFonts w:ascii="Lato" w:hAnsi="Lato"/>
        </w:rPr>
      </w:pPr>
      <w:r w:rsidRPr="00D1163A">
        <w:rPr>
          <w:rFonts w:ascii="Lato" w:hAnsi="Lato"/>
        </w:rPr>
        <w:t>Vyrava</w:t>
      </w:r>
      <w:r w:rsidR="00E7194B" w:rsidRPr="00D1163A">
        <w:rPr>
          <w:rFonts w:ascii="Lato" w:hAnsi="Lato"/>
        </w:rPr>
        <w:t xml:space="preserve"> – do 15,4 mln m</w:t>
      </w:r>
      <w:r w:rsidR="00E7194B" w:rsidRPr="00D1163A">
        <w:rPr>
          <w:rFonts w:ascii="Lato" w:hAnsi="Lato"/>
          <w:vertAlign w:val="superscript"/>
        </w:rPr>
        <w:t>3</w:t>
      </w:r>
      <w:r w:rsidR="00E7194B" w:rsidRPr="00D1163A">
        <w:rPr>
          <w:rFonts w:ascii="Lato" w:hAnsi="Lato"/>
        </w:rPr>
        <w:t>/dobę (173,9 GWh/dobę)</w:t>
      </w:r>
      <w:r w:rsidR="00290A60" w:rsidRPr="00D1163A">
        <w:rPr>
          <w:rFonts w:ascii="Lato" w:hAnsi="Lato"/>
        </w:rPr>
        <w:t>;</w:t>
      </w:r>
    </w:p>
    <w:p w14:paraId="4D5BC27A" w14:textId="70367A69" w:rsidR="003043BB" w:rsidRPr="00407115" w:rsidRDefault="003043BB">
      <w:pPr>
        <w:pStyle w:val="Akapitzlist"/>
        <w:numPr>
          <w:ilvl w:val="0"/>
          <w:numId w:val="13"/>
        </w:numPr>
        <w:spacing w:line="276" w:lineRule="auto"/>
        <w:rPr>
          <w:rFonts w:ascii="Lato" w:hAnsi="Lato"/>
        </w:rPr>
      </w:pPr>
      <w:r w:rsidRPr="00407115">
        <w:rPr>
          <w:rFonts w:ascii="Lato" w:hAnsi="Lato"/>
        </w:rPr>
        <w:t xml:space="preserve">terminal LNG – do </w:t>
      </w:r>
      <w:r w:rsidR="005F4D9D" w:rsidRPr="00D1163A">
        <w:rPr>
          <w:rFonts w:ascii="Lato" w:hAnsi="Lato"/>
        </w:rPr>
        <w:t>19</w:t>
      </w:r>
      <w:r w:rsidRPr="00407115">
        <w:rPr>
          <w:rFonts w:ascii="Lato" w:hAnsi="Lato"/>
        </w:rPr>
        <w:t>,7 mln m</w:t>
      </w:r>
      <w:r w:rsidRPr="00407115">
        <w:rPr>
          <w:rFonts w:ascii="Lato" w:hAnsi="Lato"/>
          <w:vertAlign w:val="superscript"/>
        </w:rPr>
        <w:t>3</w:t>
      </w:r>
      <w:r w:rsidRPr="00407115">
        <w:rPr>
          <w:rFonts w:ascii="Lato" w:hAnsi="Lato"/>
        </w:rPr>
        <w:t>/dobę (</w:t>
      </w:r>
      <w:r w:rsidR="005F4D9D" w:rsidRPr="00D1163A">
        <w:rPr>
          <w:rFonts w:ascii="Lato" w:hAnsi="Lato"/>
        </w:rPr>
        <w:t>227,3</w:t>
      </w:r>
      <w:r w:rsidRPr="00D1163A">
        <w:rPr>
          <w:rFonts w:ascii="Lato" w:hAnsi="Lato"/>
        </w:rPr>
        <w:t>GWh</w:t>
      </w:r>
      <w:r w:rsidRPr="00407115">
        <w:rPr>
          <w:rFonts w:ascii="Lato" w:hAnsi="Lato"/>
        </w:rPr>
        <w:t>/dobę).</w:t>
      </w:r>
    </w:p>
    <w:p w14:paraId="54409D6F" w14:textId="1E8C533E" w:rsidR="003043BB" w:rsidRPr="00D1163A" w:rsidRDefault="00290A60" w:rsidP="00646890">
      <w:pPr>
        <w:spacing w:after="60" w:line="276" w:lineRule="auto"/>
        <w:rPr>
          <w:rFonts w:ascii="Lato" w:hAnsi="Lato"/>
        </w:rPr>
      </w:pPr>
      <w:r w:rsidRPr="00D1163A">
        <w:rPr>
          <w:rFonts w:ascii="Lato" w:hAnsi="Lato"/>
        </w:rPr>
        <w:tab/>
      </w:r>
      <w:r w:rsidR="00407115">
        <w:rPr>
          <w:rFonts w:ascii="Lato" w:hAnsi="Lato"/>
        </w:rPr>
        <w:t>Łączne</w:t>
      </w:r>
      <w:r w:rsidR="003043BB" w:rsidRPr="00D1163A">
        <w:rPr>
          <w:rFonts w:ascii="Lato" w:hAnsi="Lato"/>
        </w:rPr>
        <w:t xml:space="preserve"> możliwości przywozu gazu ziemnego z państw UE oraz terminalu LNG </w:t>
      </w:r>
      <w:r w:rsidR="00932D5F">
        <w:rPr>
          <w:rFonts w:ascii="Lato" w:hAnsi="Lato"/>
        </w:rPr>
        <w:t xml:space="preserve">- </w:t>
      </w:r>
      <w:r w:rsidR="003043BB" w:rsidRPr="00D1163A">
        <w:rPr>
          <w:rFonts w:ascii="Lato" w:hAnsi="Lato"/>
        </w:rPr>
        <w:t xml:space="preserve">przy zapotrzebowaniu odbiorców chronionych wynoszącym ok. </w:t>
      </w:r>
      <w:r w:rsidR="00D24820" w:rsidRPr="00D1163A">
        <w:rPr>
          <w:rFonts w:ascii="Lato" w:hAnsi="Lato"/>
        </w:rPr>
        <w:t>40,9</w:t>
      </w:r>
      <w:r w:rsidR="003043BB" w:rsidRPr="00D1163A">
        <w:rPr>
          <w:rFonts w:ascii="Lato" w:hAnsi="Lato"/>
        </w:rPr>
        <w:t xml:space="preserve"> mln m</w:t>
      </w:r>
      <w:r w:rsidR="003043BB" w:rsidRPr="00407115">
        <w:rPr>
          <w:rFonts w:ascii="Lato" w:hAnsi="Lato" w:cs="Times New Roman"/>
          <w:szCs w:val="24"/>
          <w:vertAlign w:val="superscript"/>
        </w:rPr>
        <w:t>3</w:t>
      </w:r>
      <w:r w:rsidR="003043BB" w:rsidRPr="00D1163A">
        <w:rPr>
          <w:rFonts w:ascii="Lato" w:hAnsi="Lato"/>
        </w:rPr>
        <w:t>/dobę (</w:t>
      </w:r>
      <w:r w:rsidR="00D24820" w:rsidRPr="00D1163A">
        <w:rPr>
          <w:rFonts w:ascii="Lato" w:hAnsi="Lato"/>
        </w:rPr>
        <w:t xml:space="preserve">450 </w:t>
      </w:r>
      <w:r w:rsidR="003043BB" w:rsidRPr="00D1163A">
        <w:rPr>
          <w:rFonts w:ascii="Lato" w:hAnsi="Lato"/>
        </w:rPr>
        <w:t>GWh/dobę)</w:t>
      </w:r>
      <w:r w:rsidR="00407115">
        <w:rPr>
          <w:rFonts w:ascii="Lato" w:hAnsi="Lato"/>
        </w:rPr>
        <w:t xml:space="preserve"> w </w:t>
      </w:r>
      <w:r w:rsidR="003043BB" w:rsidRPr="00D1163A">
        <w:rPr>
          <w:rFonts w:ascii="Lato" w:hAnsi="Lato"/>
        </w:rPr>
        <w:t>okresie nadzwyczajnie wysokiego zapotrzebowania na gaz ziemny</w:t>
      </w:r>
      <w:r w:rsidR="00646890">
        <w:rPr>
          <w:rFonts w:ascii="Lato" w:hAnsi="Lato"/>
        </w:rPr>
        <w:t xml:space="preserve"> - </w:t>
      </w:r>
      <w:r w:rsidR="00646890" w:rsidRPr="00D1163A">
        <w:rPr>
          <w:rFonts w:ascii="Lato" w:hAnsi="Lato"/>
        </w:rPr>
        <w:t>wynoszą ok. 99,7 mln m</w:t>
      </w:r>
      <w:r w:rsidR="00646890" w:rsidRPr="00407115">
        <w:rPr>
          <w:rFonts w:ascii="Lato" w:hAnsi="Lato" w:cs="Times New Roman"/>
          <w:szCs w:val="24"/>
          <w:vertAlign w:val="superscript"/>
        </w:rPr>
        <w:t>3</w:t>
      </w:r>
      <w:r w:rsidR="00646890" w:rsidRPr="00D1163A">
        <w:rPr>
          <w:rFonts w:ascii="Lato" w:hAnsi="Lato"/>
        </w:rPr>
        <w:t>/dobę (1 135,5 GWh/dobę)</w:t>
      </w:r>
      <w:r w:rsidR="00646890">
        <w:rPr>
          <w:rFonts w:ascii="Lato" w:hAnsi="Lato"/>
        </w:rPr>
        <w:t>.</w:t>
      </w:r>
    </w:p>
    <w:p w14:paraId="4DE4805E" w14:textId="78185D92" w:rsidR="003043BB" w:rsidRPr="00D1163A" w:rsidRDefault="00290A60" w:rsidP="00646890">
      <w:pPr>
        <w:spacing w:after="60" w:line="276" w:lineRule="auto"/>
        <w:rPr>
          <w:rFonts w:ascii="Lato" w:hAnsi="Lato"/>
        </w:rPr>
      </w:pPr>
      <w:r w:rsidRPr="00D1163A">
        <w:rPr>
          <w:rFonts w:ascii="Lato" w:hAnsi="Lato"/>
        </w:rPr>
        <w:lastRenderedPageBreak/>
        <w:tab/>
      </w:r>
      <w:r w:rsidR="003043BB" w:rsidRPr="00D1163A">
        <w:rPr>
          <w:rFonts w:ascii="Lato" w:hAnsi="Lato"/>
        </w:rPr>
        <w:t xml:space="preserve">Przepustowości </w:t>
      </w:r>
      <w:r w:rsidR="001079B8">
        <w:rPr>
          <w:rFonts w:ascii="Lato" w:hAnsi="Lato"/>
        </w:rPr>
        <w:t xml:space="preserve">na połączeniach międzysystemowych </w:t>
      </w:r>
      <w:r w:rsidR="003043BB" w:rsidRPr="00D1163A">
        <w:rPr>
          <w:rFonts w:ascii="Lato" w:hAnsi="Lato"/>
        </w:rPr>
        <w:t xml:space="preserve">są udostępniane </w:t>
      </w:r>
      <w:r w:rsidR="00646890">
        <w:rPr>
          <w:rFonts w:ascii="Lato" w:hAnsi="Lato"/>
        </w:rPr>
        <w:t>oraz</w:t>
      </w:r>
      <w:r w:rsidR="003043BB" w:rsidRPr="00D1163A">
        <w:rPr>
          <w:rFonts w:ascii="Lato" w:hAnsi="Lato"/>
        </w:rPr>
        <w:t xml:space="preserve"> rezerwowane na rynkowych i niedyskryminacyjnych zasadach, w</w:t>
      </w:r>
      <w:r w:rsidR="00407115">
        <w:rPr>
          <w:rFonts w:ascii="Lato" w:hAnsi="Lato"/>
        </w:rPr>
        <w:t xml:space="preserve"> </w:t>
      </w:r>
      <w:r w:rsidR="003043BB" w:rsidRPr="00D1163A">
        <w:rPr>
          <w:rFonts w:ascii="Lato" w:hAnsi="Lato"/>
        </w:rPr>
        <w:t>ramach procedury aukcji, zgodnie z rozporządzeniem Komisji (UE) 2017/459 z</w:t>
      </w:r>
      <w:r w:rsidR="00407115">
        <w:rPr>
          <w:rFonts w:ascii="Lato" w:hAnsi="Lato"/>
        </w:rPr>
        <w:t xml:space="preserve"> </w:t>
      </w:r>
      <w:r w:rsidR="003043BB" w:rsidRPr="00D1163A">
        <w:rPr>
          <w:rFonts w:ascii="Lato" w:hAnsi="Lato"/>
        </w:rPr>
        <w:t xml:space="preserve">dnia 16 marca 2017 r. </w:t>
      </w:r>
      <w:r w:rsidR="003043BB" w:rsidRPr="00646890">
        <w:rPr>
          <w:rFonts w:ascii="Lato" w:hAnsi="Lato"/>
          <w:i/>
          <w:iCs/>
        </w:rPr>
        <w:t>ustanawiającym kodeks sieci dotyczący mechanizmów alokacji zdolności w systemach przesyłowych gazu i uchylającym rozporządzenie (UE) nr 984/2013</w:t>
      </w:r>
      <w:r w:rsidR="003043BB" w:rsidRPr="00D1163A">
        <w:rPr>
          <w:rFonts w:ascii="Lato" w:hAnsi="Lato"/>
        </w:rPr>
        <w:t xml:space="preserve">. </w:t>
      </w:r>
    </w:p>
    <w:p w14:paraId="521D7635" w14:textId="455F2ACD" w:rsidR="003043BB" w:rsidRPr="00D1163A" w:rsidRDefault="00290A60" w:rsidP="00646890">
      <w:pPr>
        <w:spacing w:after="60" w:line="276" w:lineRule="auto"/>
        <w:rPr>
          <w:rFonts w:ascii="Lato" w:hAnsi="Lato"/>
        </w:rPr>
      </w:pPr>
      <w:r w:rsidRPr="00D1163A">
        <w:rPr>
          <w:rFonts w:ascii="Lato" w:hAnsi="Lato"/>
        </w:rPr>
        <w:tab/>
      </w:r>
      <w:r w:rsidR="00727892">
        <w:rPr>
          <w:rFonts w:ascii="Lato" w:hAnsi="Lato"/>
        </w:rPr>
        <w:t>Z</w:t>
      </w:r>
      <w:r w:rsidR="003043BB" w:rsidRPr="00D1163A">
        <w:rPr>
          <w:rFonts w:ascii="Lato" w:hAnsi="Lato"/>
        </w:rPr>
        <w:t>większenie elastyczności importu</w:t>
      </w:r>
      <w:r w:rsidR="00727892">
        <w:rPr>
          <w:rFonts w:ascii="Lato" w:hAnsi="Lato"/>
        </w:rPr>
        <w:t xml:space="preserve"> </w:t>
      </w:r>
      <w:r w:rsidR="003043BB" w:rsidRPr="00D1163A">
        <w:rPr>
          <w:rFonts w:ascii="Lato" w:hAnsi="Lato"/>
        </w:rPr>
        <w:t>pozwala zapobiec wystąpieniu sytuacji kryzysowej i nie wymaga wprowadzenia dodatkowych obowiązków, co ma pozytywny wpływ na gospodarkę.</w:t>
      </w:r>
      <w:r w:rsidR="00646890">
        <w:rPr>
          <w:rFonts w:ascii="Lato" w:hAnsi="Lato"/>
        </w:rPr>
        <w:t xml:space="preserve"> Działanie to,</w:t>
      </w:r>
      <w:r w:rsidR="003043BB" w:rsidRPr="00D1163A">
        <w:rPr>
          <w:rFonts w:ascii="Lato" w:hAnsi="Lato"/>
        </w:rPr>
        <w:t xml:space="preserve"> w przypadku nagłych zdarzeń, które mogłyby doprowadzić do sytuacji kryzysowej, poprzez ograniczenie ryzyka kryzysu, </w:t>
      </w:r>
      <w:r w:rsidR="00BD412A" w:rsidRPr="00D1163A">
        <w:rPr>
          <w:rFonts w:ascii="Lato" w:hAnsi="Lato"/>
        </w:rPr>
        <w:t xml:space="preserve">powstrzymywałoby </w:t>
      </w:r>
      <w:r w:rsidR="003043BB" w:rsidRPr="00D1163A">
        <w:rPr>
          <w:rFonts w:ascii="Lato" w:hAnsi="Lato"/>
        </w:rPr>
        <w:t xml:space="preserve">również zagrożenie nagłych skoków cen, </w:t>
      </w:r>
      <w:r w:rsidR="00646890">
        <w:rPr>
          <w:rFonts w:ascii="Lato" w:hAnsi="Lato"/>
        </w:rPr>
        <w:t xml:space="preserve">wpływając pozytywnie </w:t>
      </w:r>
      <w:r w:rsidR="003043BB" w:rsidRPr="00D1163A">
        <w:rPr>
          <w:rFonts w:ascii="Lato" w:hAnsi="Lato"/>
        </w:rPr>
        <w:t xml:space="preserve">na odbiorców. Środek </w:t>
      </w:r>
      <w:r w:rsidR="00727892">
        <w:rPr>
          <w:rFonts w:ascii="Lato" w:hAnsi="Lato"/>
        </w:rPr>
        <w:t xml:space="preserve">ten </w:t>
      </w:r>
      <w:r w:rsidR="003043BB" w:rsidRPr="00D1163A">
        <w:rPr>
          <w:rFonts w:ascii="Lato" w:hAnsi="Lato"/>
        </w:rPr>
        <w:t>nie wpływa na środowisko.</w:t>
      </w:r>
    </w:p>
    <w:p w14:paraId="4F4CA3D9" w14:textId="6EF9DA87" w:rsidR="003043BB" w:rsidRPr="00D1163A" w:rsidRDefault="00290A60" w:rsidP="00646890">
      <w:pPr>
        <w:spacing w:after="60" w:line="276" w:lineRule="auto"/>
        <w:rPr>
          <w:rFonts w:ascii="Lato" w:hAnsi="Lato"/>
        </w:rPr>
      </w:pPr>
      <w:r w:rsidRPr="00D1163A">
        <w:rPr>
          <w:rFonts w:ascii="Lato" w:hAnsi="Lato"/>
        </w:rPr>
        <w:tab/>
      </w:r>
      <w:r w:rsidR="003043BB" w:rsidRPr="00D1163A">
        <w:rPr>
          <w:rFonts w:ascii="Lato" w:hAnsi="Lato"/>
        </w:rPr>
        <w:t xml:space="preserve">Dodatkowo, wskazany standard dostaw może być </w:t>
      </w:r>
      <w:r w:rsidR="004D252B" w:rsidRPr="00D1163A">
        <w:rPr>
          <w:rFonts w:ascii="Lato" w:hAnsi="Lato"/>
        </w:rPr>
        <w:t>pokryty dzięki</w:t>
      </w:r>
      <w:r w:rsidR="003043BB" w:rsidRPr="00D1163A">
        <w:rPr>
          <w:rFonts w:ascii="Lato" w:hAnsi="Lato"/>
        </w:rPr>
        <w:t xml:space="preserve"> dostaw</w:t>
      </w:r>
      <w:r w:rsidR="004D252B" w:rsidRPr="00D1163A">
        <w:rPr>
          <w:rFonts w:ascii="Lato" w:hAnsi="Lato"/>
        </w:rPr>
        <w:t>o</w:t>
      </w:r>
      <w:r w:rsidR="003043BB" w:rsidRPr="00D1163A">
        <w:rPr>
          <w:rFonts w:ascii="Lato" w:hAnsi="Lato"/>
        </w:rPr>
        <w:t>m gazu ziemnego ze źródeł krajowych oraz z podziemnych magazynów gazu. Maksymalna zdolność produkcyjna wynosi 7 mln m</w:t>
      </w:r>
      <w:r w:rsidR="003043BB" w:rsidRPr="00727892">
        <w:rPr>
          <w:rFonts w:ascii="Lato" w:hAnsi="Lato" w:cs="Times New Roman"/>
          <w:szCs w:val="24"/>
          <w:vertAlign w:val="superscript"/>
        </w:rPr>
        <w:t>3</w:t>
      </w:r>
      <w:r w:rsidR="003043BB" w:rsidRPr="00D1163A">
        <w:rPr>
          <w:rFonts w:ascii="Lato" w:hAnsi="Lato"/>
        </w:rPr>
        <w:t>/dobę (77 GWh/dobę), a maksymalna zdolność odbioru gazu ziemnego z podziemnych magazynów</w:t>
      </w:r>
      <w:r w:rsidR="00646890">
        <w:rPr>
          <w:rFonts w:ascii="Lato" w:hAnsi="Lato"/>
        </w:rPr>
        <w:t xml:space="preserve"> </w:t>
      </w:r>
      <w:r w:rsidR="003043BB" w:rsidRPr="00D1163A">
        <w:rPr>
          <w:rFonts w:ascii="Lato" w:hAnsi="Lato"/>
        </w:rPr>
        <w:fldChar w:fldCharType="begin"/>
      </w:r>
      <w:r w:rsidR="003043BB" w:rsidRPr="00D1163A">
        <w:rPr>
          <w:rFonts w:ascii="Lato" w:hAnsi="Lato"/>
        </w:rPr>
        <w:instrText xml:space="preserve"> LISTNUM </w:instrText>
      </w:r>
      <w:r w:rsidR="003043BB" w:rsidRPr="00D1163A">
        <w:rPr>
          <w:rFonts w:ascii="Lato" w:hAnsi="Lato"/>
        </w:rPr>
        <w:fldChar w:fldCharType="end">
          <w:numberingChange w:id="268" w:author="Autor" w:original=""/>
        </w:fldChar>
      </w:r>
      <w:r w:rsidR="003043BB" w:rsidRPr="00D1163A">
        <w:rPr>
          <w:rFonts w:ascii="Lato" w:hAnsi="Lato"/>
        </w:rPr>
        <w:t xml:space="preserve"> </w:t>
      </w:r>
      <w:r w:rsidR="00051E57" w:rsidRPr="00D1163A">
        <w:rPr>
          <w:rFonts w:ascii="Lato" w:hAnsi="Lato"/>
        </w:rPr>
        <w:t>53,49</w:t>
      </w:r>
      <w:r w:rsidR="003043BB" w:rsidRPr="00D1163A">
        <w:rPr>
          <w:rFonts w:ascii="Lato" w:hAnsi="Lato"/>
        </w:rPr>
        <w:t>mln m</w:t>
      </w:r>
      <w:r w:rsidR="003043BB" w:rsidRPr="00D1163A">
        <w:rPr>
          <w:rFonts w:ascii="Lato" w:hAnsi="Lato"/>
          <w:vertAlign w:val="superscript"/>
        </w:rPr>
        <w:t>3</w:t>
      </w:r>
      <w:r w:rsidR="003043BB" w:rsidRPr="00D1163A">
        <w:rPr>
          <w:rFonts w:ascii="Lato" w:hAnsi="Lato"/>
        </w:rPr>
        <w:t xml:space="preserve">/dobę (do </w:t>
      </w:r>
      <w:r w:rsidR="009D6DA3" w:rsidRPr="00D1163A">
        <w:rPr>
          <w:rFonts w:ascii="Lato" w:hAnsi="Lato"/>
        </w:rPr>
        <w:t xml:space="preserve">594,9 </w:t>
      </w:r>
      <w:r w:rsidR="003043BB" w:rsidRPr="00D1163A">
        <w:rPr>
          <w:rFonts w:ascii="Lato" w:hAnsi="Lato"/>
        </w:rPr>
        <w:t>GWh/dobę przy pełnej pojemności czynnej).</w:t>
      </w:r>
    </w:p>
    <w:p w14:paraId="4A369871" w14:textId="277C1AA7" w:rsidR="003043BB" w:rsidRPr="00D1163A" w:rsidRDefault="00290A60" w:rsidP="00646890">
      <w:pPr>
        <w:spacing w:after="60" w:line="276" w:lineRule="auto"/>
        <w:rPr>
          <w:rFonts w:ascii="Lato" w:hAnsi="Lato"/>
        </w:rPr>
      </w:pPr>
      <w:r w:rsidRPr="00D1163A">
        <w:rPr>
          <w:rFonts w:ascii="Lato" w:hAnsi="Lato"/>
        </w:rPr>
        <w:tab/>
      </w:r>
      <w:r w:rsidR="003043BB" w:rsidRPr="00D1163A">
        <w:rPr>
          <w:rFonts w:ascii="Lato" w:hAnsi="Lato"/>
        </w:rPr>
        <w:t>Zwiększenie elastyczności produkcji, podobnie jak zwiększenie elastyczności importu, pozwala zapobiec wystąpieniu sytuacji kryzysowej i nie wymaga wprowadzenia dodatkowych obowiązków, co ma pozytywny wpływ na gospodarkę. Ponadto</w:t>
      </w:r>
      <w:r w:rsidR="00727892">
        <w:rPr>
          <w:rFonts w:ascii="Lato" w:hAnsi="Lato"/>
        </w:rPr>
        <w:t xml:space="preserve"> </w:t>
      </w:r>
      <w:r w:rsidR="003043BB" w:rsidRPr="00D1163A">
        <w:rPr>
          <w:rFonts w:ascii="Lato" w:hAnsi="Lato"/>
        </w:rPr>
        <w:t>środek ten stanowi sam w</w:t>
      </w:r>
      <w:r w:rsidR="00A141DA">
        <w:rPr>
          <w:rFonts w:ascii="Lato" w:hAnsi="Lato"/>
        </w:rPr>
        <w:t xml:space="preserve"> </w:t>
      </w:r>
      <w:r w:rsidR="003043BB" w:rsidRPr="00D1163A">
        <w:rPr>
          <w:rFonts w:ascii="Lato" w:hAnsi="Lato"/>
        </w:rPr>
        <w:t xml:space="preserve">sobie dodatkowy element aktywności gospodarczej wpływający pozytywnie na wzrost PKB. Zwiększenie elastyczności produkcji, w przypadku nagłych zdarzeń, które mogłyby doprowadzić do sytuacji kryzysowej, hamuje wzrost cen (poprzez ograniczenie ryzyka kryzysu), co </w:t>
      </w:r>
      <w:r w:rsidR="00646890">
        <w:rPr>
          <w:rFonts w:ascii="Lato" w:hAnsi="Lato"/>
        </w:rPr>
        <w:t xml:space="preserve">pozytywnie oddziałuje </w:t>
      </w:r>
      <w:r w:rsidR="003043BB" w:rsidRPr="00D1163A">
        <w:rPr>
          <w:rFonts w:ascii="Lato" w:hAnsi="Lato"/>
        </w:rPr>
        <w:t xml:space="preserve">na odbiorców. Środek </w:t>
      </w:r>
      <w:r w:rsidR="00727892">
        <w:rPr>
          <w:rFonts w:ascii="Lato" w:hAnsi="Lato"/>
        </w:rPr>
        <w:t xml:space="preserve">ten </w:t>
      </w:r>
      <w:r w:rsidR="003043BB" w:rsidRPr="00D1163A">
        <w:rPr>
          <w:rFonts w:ascii="Lato" w:hAnsi="Lato"/>
        </w:rPr>
        <w:t>nie wpływa na środowisko.</w:t>
      </w:r>
    </w:p>
    <w:p w14:paraId="708C97C8" w14:textId="518CE90F" w:rsidR="0005315C" w:rsidRDefault="00290A60" w:rsidP="00646890">
      <w:pPr>
        <w:spacing w:after="60" w:line="276" w:lineRule="auto"/>
        <w:rPr>
          <w:rFonts w:ascii="Lato" w:hAnsi="Lato"/>
        </w:rPr>
      </w:pPr>
      <w:r w:rsidRPr="00D1163A">
        <w:rPr>
          <w:rFonts w:ascii="Lato" w:hAnsi="Lato"/>
        </w:rPr>
        <w:tab/>
      </w:r>
      <w:r w:rsidR="003043BB" w:rsidRPr="00D1163A">
        <w:rPr>
          <w:rFonts w:ascii="Lato" w:hAnsi="Lato"/>
        </w:rPr>
        <w:t xml:space="preserve">Komercyjne magazynowanie gazu ziemnego wpływa pozytywnie na rozwój oraz funkcjonowanie rynku gazu ziemnego, stwarza uczestnikom rynku możliwość pokrywania zapotrzebowania odbiorców przy wykorzystaniu instalacji magazynowych oraz pozwala optymalizować zarządzanie portfelem dostaw gazu ziemnego. </w:t>
      </w:r>
      <w:r w:rsidR="00646890">
        <w:rPr>
          <w:rFonts w:ascii="Lato" w:hAnsi="Lato"/>
        </w:rPr>
        <w:t xml:space="preserve">W </w:t>
      </w:r>
      <w:r w:rsidR="003043BB" w:rsidRPr="00D1163A">
        <w:rPr>
          <w:rFonts w:ascii="Lato" w:hAnsi="Lato"/>
        </w:rPr>
        <w:t xml:space="preserve">przypadku nagłych zdarzeń, które mogłyby doprowadzić do sytuacji kryzysowej, </w:t>
      </w:r>
      <w:r w:rsidR="00646890">
        <w:rPr>
          <w:rFonts w:ascii="Lato" w:hAnsi="Lato"/>
        </w:rPr>
        <w:t>u</w:t>
      </w:r>
      <w:r w:rsidR="00646890" w:rsidRPr="00D1163A">
        <w:rPr>
          <w:rFonts w:ascii="Lato" w:hAnsi="Lato"/>
        </w:rPr>
        <w:t>wolnienie dodatkowych wolumenów gazu ziemnego z zapasów komercyjnych</w:t>
      </w:r>
      <w:r w:rsidR="00646890">
        <w:rPr>
          <w:rFonts w:ascii="Lato" w:hAnsi="Lato"/>
        </w:rPr>
        <w:t>,</w:t>
      </w:r>
      <w:r w:rsidR="00646890" w:rsidRPr="00D1163A">
        <w:rPr>
          <w:rFonts w:ascii="Lato" w:hAnsi="Lato"/>
        </w:rPr>
        <w:t xml:space="preserve"> </w:t>
      </w:r>
      <w:r w:rsidR="004D252B" w:rsidRPr="00D1163A">
        <w:rPr>
          <w:rFonts w:ascii="Lato" w:hAnsi="Lato"/>
        </w:rPr>
        <w:t xml:space="preserve">zwiększając podaż gazu ziemnego na rynku </w:t>
      </w:r>
      <w:r w:rsidR="00646890">
        <w:rPr>
          <w:rFonts w:ascii="Lato" w:hAnsi="Lato"/>
        </w:rPr>
        <w:t xml:space="preserve">gazu ziemnego </w:t>
      </w:r>
      <w:r w:rsidR="004D252B" w:rsidRPr="00D1163A">
        <w:rPr>
          <w:rFonts w:ascii="Lato" w:hAnsi="Lato"/>
        </w:rPr>
        <w:t xml:space="preserve">przyczynia się </w:t>
      </w:r>
      <w:r w:rsidR="00646890">
        <w:rPr>
          <w:rFonts w:ascii="Lato" w:hAnsi="Lato"/>
        </w:rPr>
        <w:t xml:space="preserve">do </w:t>
      </w:r>
      <w:r w:rsidR="004D252B" w:rsidRPr="00D1163A">
        <w:rPr>
          <w:rFonts w:ascii="Lato" w:hAnsi="Lato"/>
        </w:rPr>
        <w:t>utrzymywania stabilnych</w:t>
      </w:r>
      <w:r w:rsidR="003043BB" w:rsidRPr="00D1163A">
        <w:rPr>
          <w:rFonts w:ascii="Lato" w:hAnsi="Lato"/>
        </w:rPr>
        <w:t xml:space="preserve"> cen (poprzez ograniczenie ryzyka kryzysu), wpływ</w:t>
      </w:r>
      <w:r w:rsidR="00646890">
        <w:rPr>
          <w:rFonts w:ascii="Lato" w:hAnsi="Lato"/>
        </w:rPr>
        <w:t>ając pozytywnie</w:t>
      </w:r>
      <w:r w:rsidR="003043BB" w:rsidRPr="00D1163A">
        <w:rPr>
          <w:rFonts w:ascii="Lato" w:hAnsi="Lato"/>
        </w:rPr>
        <w:t xml:space="preserve"> na odbiorców. Środek </w:t>
      </w:r>
      <w:r w:rsidR="00727892">
        <w:rPr>
          <w:rFonts w:ascii="Lato" w:hAnsi="Lato"/>
        </w:rPr>
        <w:t xml:space="preserve">ten </w:t>
      </w:r>
      <w:r w:rsidR="003043BB" w:rsidRPr="00D1163A">
        <w:rPr>
          <w:rFonts w:ascii="Lato" w:hAnsi="Lato"/>
        </w:rPr>
        <w:t>nie wpływa na środowisko.</w:t>
      </w:r>
    </w:p>
    <w:p w14:paraId="51F0513A" w14:textId="2C9A8275" w:rsidR="00727892" w:rsidRPr="00727892" w:rsidRDefault="003043BB" w:rsidP="00727892">
      <w:pPr>
        <w:pStyle w:val="Tabela"/>
        <w:spacing w:before="120" w:after="120"/>
        <w:rPr>
          <w:rFonts w:ascii="Lato" w:hAnsi="Lato"/>
          <w:color w:val="000000" w:themeColor="text1"/>
          <w:sz w:val="20"/>
          <w:szCs w:val="20"/>
        </w:rPr>
      </w:pPr>
      <w:r w:rsidRPr="00727892">
        <w:rPr>
          <w:rFonts w:ascii="Lato" w:hAnsi="Lato"/>
          <w:sz w:val="22"/>
          <w:szCs w:val="22"/>
        </w:rPr>
        <w:t xml:space="preserve">Tabela </w:t>
      </w:r>
      <w:r w:rsidR="002C139B">
        <w:rPr>
          <w:rFonts w:ascii="Lato" w:hAnsi="Lato"/>
          <w:sz w:val="22"/>
          <w:szCs w:val="22"/>
        </w:rPr>
        <w:t>9</w:t>
      </w:r>
      <w:r w:rsidRPr="00727892">
        <w:rPr>
          <w:rFonts w:ascii="Lato" w:hAnsi="Lato"/>
          <w:sz w:val="22"/>
          <w:szCs w:val="22"/>
        </w:rPr>
        <w:t>. Wielkość środków rynkowych po stronie podażowej na tle standardów dostaw</w:t>
      </w:r>
    </w:p>
    <w:tbl>
      <w:tblPr>
        <w:tblStyle w:val="Zwykatabela1"/>
        <w:tblW w:w="4233" w:type="pct"/>
        <w:jc w:val="center"/>
        <w:tblLook w:val="04A0" w:firstRow="1" w:lastRow="0" w:firstColumn="1" w:lastColumn="0" w:noHBand="0" w:noVBand="1"/>
      </w:tblPr>
      <w:tblGrid>
        <w:gridCol w:w="3977"/>
        <w:gridCol w:w="3694"/>
      </w:tblGrid>
      <w:tr w:rsidR="003043BB" w:rsidRPr="00C758B1" w14:paraId="057E80C8" w14:textId="77777777" w:rsidTr="00AD51DD">
        <w:trPr>
          <w:cnfStyle w:val="100000000000" w:firstRow="1" w:lastRow="0" w:firstColumn="0" w:lastColumn="0" w:oddVBand="0" w:evenVBand="0" w:oddHBand="0"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2592" w:type="pct"/>
            <w:vMerge w:val="restart"/>
            <w:noWrap/>
            <w:hideMark/>
          </w:tcPr>
          <w:p w14:paraId="54F81F76" w14:textId="2B7EF94F" w:rsidR="003043BB" w:rsidRPr="00C758B1" w:rsidRDefault="003043BB" w:rsidP="00727892">
            <w:pPr>
              <w:spacing w:before="20" w:after="20" w:line="276" w:lineRule="auto"/>
              <w:jc w:val="center"/>
              <w:rPr>
                <w:rFonts w:ascii="Lato" w:eastAsia="Times New Roman" w:hAnsi="Lato" w:cs="Times New Roman"/>
                <w:color w:val="000000" w:themeColor="text1"/>
                <w:szCs w:val="24"/>
                <w:lang w:eastAsia="pl-PL"/>
              </w:rPr>
            </w:pPr>
          </w:p>
        </w:tc>
        <w:tc>
          <w:tcPr>
            <w:tcW w:w="2408" w:type="pct"/>
            <w:vMerge w:val="restart"/>
            <w:hideMark/>
          </w:tcPr>
          <w:p w14:paraId="4DDBD4C6" w14:textId="77777777" w:rsidR="003043BB" w:rsidRPr="00C758B1" w:rsidRDefault="003043BB" w:rsidP="00727892">
            <w:pPr>
              <w:spacing w:before="20" w:after="20" w:line="276" w:lineRule="auto"/>
              <w:jc w:val="center"/>
              <w:cnfStyle w:val="100000000000" w:firstRow="1" w:lastRow="0" w:firstColumn="0" w:lastColumn="0" w:oddVBand="0" w:evenVBand="0" w:oddHBand="0" w:evenHBand="0" w:firstRowFirstColumn="0" w:firstRowLastColumn="0" w:lastRowFirstColumn="0" w:lastRowLastColumn="0"/>
              <w:rPr>
                <w:rFonts w:ascii="Lato" w:eastAsia="Times New Roman" w:hAnsi="Lato" w:cs="Times New Roman"/>
                <w:b w:val="0"/>
                <w:bCs w:val="0"/>
                <w:color w:val="000000" w:themeColor="text1"/>
                <w:sz w:val="20"/>
                <w:szCs w:val="20"/>
                <w:lang w:eastAsia="pl-PL"/>
              </w:rPr>
            </w:pPr>
            <w:r w:rsidRPr="00C758B1">
              <w:rPr>
                <w:rFonts w:ascii="Lato" w:eastAsia="Times New Roman" w:hAnsi="Lato" w:cs="Times New Roman"/>
                <w:color w:val="000000" w:themeColor="text1"/>
                <w:sz w:val="20"/>
                <w:szCs w:val="20"/>
                <w:lang w:eastAsia="pl-PL"/>
              </w:rPr>
              <w:t>Dostępne środki rynkowe po stronie podażowej</w:t>
            </w:r>
          </w:p>
        </w:tc>
      </w:tr>
      <w:tr w:rsidR="003043BB" w:rsidRPr="00C758B1" w14:paraId="0AE13C1F" w14:textId="77777777" w:rsidTr="00CE63C5">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2592" w:type="pct"/>
            <w:vMerge/>
            <w:hideMark/>
          </w:tcPr>
          <w:p w14:paraId="611F2BC1" w14:textId="77777777" w:rsidR="003043BB" w:rsidRPr="00C758B1" w:rsidRDefault="003043BB" w:rsidP="00727892">
            <w:pPr>
              <w:spacing w:before="20" w:after="20" w:line="276" w:lineRule="auto"/>
              <w:jc w:val="center"/>
              <w:rPr>
                <w:rFonts w:ascii="Lato" w:eastAsia="Times New Roman" w:hAnsi="Lato" w:cs="Times New Roman"/>
                <w:color w:val="000000" w:themeColor="text1"/>
                <w:szCs w:val="24"/>
                <w:lang w:eastAsia="pl-PL"/>
              </w:rPr>
            </w:pPr>
          </w:p>
        </w:tc>
        <w:tc>
          <w:tcPr>
            <w:tcW w:w="2408" w:type="pct"/>
            <w:vMerge/>
            <w:hideMark/>
          </w:tcPr>
          <w:p w14:paraId="03DE86AD" w14:textId="77777777" w:rsidR="003043BB" w:rsidRPr="00C758B1" w:rsidRDefault="003043BB" w:rsidP="00727892">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b/>
                <w:bCs/>
                <w:color w:val="000000" w:themeColor="text1"/>
                <w:sz w:val="20"/>
                <w:szCs w:val="20"/>
                <w:lang w:eastAsia="pl-PL"/>
              </w:rPr>
            </w:pPr>
          </w:p>
        </w:tc>
      </w:tr>
      <w:tr w:rsidR="003043BB" w:rsidRPr="00C758B1" w14:paraId="62BD7A19" w14:textId="77777777" w:rsidTr="00CE63C5">
        <w:trPr>
          <w:trHeight w:val="64"/>
          <w:jc w:val="center"/>
        </w:trPr>
        <w:tc>
          <w:tcPr>
            <w:cnfStyle w:val="001000000000" w:firstRow="0" w:lastRow="0" w:firstColumn="1" w:lastColumn="0" w:oddVBand="0" w:evenVBand="0" w:oddHBand="0" w:evenHBand="0" w:firstRowFirstColumn="0" w:firstRowLastColumn="0" w:lastRowFirstColumn="0" w:lastRowLastColumn="0"/>
            <w:tcW w:w="2592" w:type="pct"/>
            <w:vMerge/>
            <w:hideMark/>
          </w:tcPr>
          <w:p w14:paraId="7DCC173F" w14:textId="77777777" w:rsidR="003043BB" w:rsidRPr="00C758B1" w:rsidRDefault="003043BB" w:rsidP="00727892">
            <w:pPr>
              <w:spacing w:before="20" w:after="20" w:line="276" w:lineRule="auto"/>
              <w:jc w:val="center"/>
              <w:rPr>
                <w:rFonts w:ascii="Lato" w:eastAsia="Times New Roman" w:hAnsi="Lato" w:cs="Times New Roman"/>
                <w:color w:val="000000" w:themeColor="text1"/>
                <w:szCs w:val="24"/>
                <w:lang w:eastAsia="pl-PL"/>
              </w:rPr>
            </w:pPr>
          </w:p>
        </w:tc>
        <w:tc>
          <w:tcPr>
            <w:tcW w:w="2408" w:type="pct"/>
            <w:hideMark/>
          </w:tcPr>
          <w:p w14:paraId="19A4CF9D" w14:textId="77777777" w:rsidR="003043BB" w:rsidRPr="00270AE5" w:rsidRDefault="003043BB" w:rsidP="00727892">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b/>
                <w:color w:val="000000" w:themeColor="text1"/>
                <w:sz w:val="20"/>
                <w:szCs w:val="20"/>
                <w:lang w:eastAsia="pl-PL"/>
              </w:rPr>
            </w:pPr>
            <w:r w:rsidRPr="00270AE5">
              <w:rPr>
                <w:rFonts w:ascii="Lato" w:eastAsia="Times New Roman" w:hAnsi="Lato" w:cs="Times New Roman"/>
                <w:b/>
                <w:color w:val="000000" w:themeColor="text1"/>
                <w:sz w:val="20"/>
                <w:szCs w:val="20"/>
                <w:lang w:eastAsia="pl-PL"/>
              </w:rPr>
              <w:t>mln m</w:t>
            </w:r>
            <w:r w:rsidRPr="00270AE5">
              <w:rPr>
                <w:rFonts w:ascii="Lato" w:eastAsia="Times New Roman" w:hAnsi="Lato" w:cs="Times New Roman"/>
                <w:b/>
                <w:color w:val="000000" w:themeColor="text1"/>
                <w:sz w:val="20"/>
                <w:szCs w:val="20"/>
                <w:vertAlign w:val="superscript"/>
                <w:lang w:eastAsia="pl-PL"/>
              </w:rPr>
              <w:t>3</w:t>
            </w:r>
            <w:r w:rsidRPr="00270AE5">
              <w:rPr>
                <w:rFonts w:ascii="Lato" w:eastAsia="Times New Roman" w:hAnsi="Lato" w:cs="Times New Roman"/>
                <w:b/>
                <w:color w:val="000000" w:themeColor="text1"/>
                <w:sz w:val="20"/>
                <w:szCs w:val="20"/>
                <w:lang w:eastAsia="pl-PL"/>
              </w:rPr>
              <w:t>/dobę (GWh/dobę)</w:t>
            </w:r>
          </w:p>
        </w:tc>
      </w:tr>
      <w:tr w:rsidR="003043BB" w:rsidRPr="00C758B1" w14:paraId="527C5939"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1A01F68A" w14:textId="477BC830" w:rsidR="003043BB" w:rsidRPr="00270AE5" w:rsidRDefault="003043BB" w:rsidP="00983C18">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Źródła krajowe</w:t>
            </w:r>
          </w:p>
        </w:tc>
        <w:tc>
          <w:tcPr>
            <w:tcW w:w="2408" w:type="pct"/>
            <w:hideMark/>
          </w:tcPr>
          <w:p w14:paraId="585BBD5C" w14:textId="77777777" w:rsidR="003043BB" w:rsidRPr="00C758B1" w:rsidRDefault="003043BB"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b/>
                <w:bCs/>
                <w:iCs/>
                <w:color w:val="000000" w:themeColor="text1"/>
                <w:sz w:val="20"/>
                <w:szCs w:val="20"/>
                <w:lang w:eastAsia="pl-PL"/>
              </w:rPr>
            </w:pPr>
            <w:r w:rsidRPr="00C758B1">
              <w:rPr>
                <w:rFonts w:ascii="Lato" w:eastAsia="Times New Roman" w:hAnsi="Lato" w:cs="Times New Roman"/>
                <w:b/>
                <w:bCs/>
                <w:iCs/>
                <w:color w:val="000000" w:themeColor="text1"/>
                <w:sz w:val="20"/>
                <w:szCs w:val="20"/>
                <w:lang w:eastAsia="pl-PL"/>
              </w:rPr>
              <w:t>7 (77,1)</w:t>
            </w:r>
          </w:p>
        </w:tc>
      </w:tr>
      <w:tr w:rsidR="003043BB" w:rsidRPr="00C758B1" w14:paraId="47FA43FD" w14:textId="77777777" w:rsidTr="00AD51DD">
        <w:trPr>
          <w:trHeight w:val="20"/>
          <w:jc w:val="center"/>
        </w:trPr>
        <w:tc>
          <w:tcPr>
            <w:tcW w:w="2592" w:type="pct"/>
            <w:hideMark/>
          </w:tcPr>
          <w:p w14:paraId="0777C1A4" w14:textId="5EA6BF0B" w:rsidR="003043BB" w:rsidRPr="00270AE5" w:rsidRDefault="003043BB" w:rsidP="00727892">
            <w:pPr>
              <w:spacing w:before="20" w:after="20" w:line="276" w:lineRule="auto"/>
              <w:jc w:val="left"/>
              <w:cnfStyle w:val="001000000000" w:firstRow="0" w:lastRow="0" w:firstColumn="1" w:lastColumn="0" w:oddVBand="0" w:evenVBand="0" w:oddHBand="0" w:evenHBand="0" w:firstRowFirstColumn="0" w:firstRowLastColumn="0" w:lastRowFirstColumn="0" w:lastRowLastColumn="0"/>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lastRenderedPageBreak/>
              <w:t>Odbiór PMG:</w:t>
            </w:r>
          </w:p>
        </w:tc>
        <w:tc>
          <w:tcPr>
            <w:tcW w:w="2408" w:type="pct"/>
            <w:hideMark/>
          </w:tcPr>
          <w:p w14:paraId="184C7391" w14:textId="000E80BA" w:rsidR="003043BB" w:rsidRPr="00C758B1" w:rsidRDefault="009C6BEB" w:rsidP="00983C18">
            <w:pPr>
              <w:spacing w:before="20" w:after="20" w:line="276" w:lineRule="auto"/>
              <w:jc w:val="center"/>
              <w:rPr>
                <w:rFonts w:ascii="Lato" w:eastAsia="Times New Roman" w:hAnsi="Lato" w:cs="Times New Roman"/>
                <w:b/>
                <w:bCs/>
                <w:iCs/>
                <w:color w:val="000000" w:themeColor="text1"/>
                <w:sz w:val="20"/>
                <w:szCs w:val="20"/>
                <w:lang w:eastAsia="pl-PL"/>
              </w:rPr>
            </w:pPr>
            <w:r w:rsidRPr="00C758B1">
              <w:rPr>
                <w:rFonts w:ascii="Lato" w:eastAsia="Times New Roman" w:hAnsi="Lato" w:cs="Times New Roman"/>
                <w:b/>
                <w:bCs/>
                <w:iCs/>
                <w:color w:val="000000" w:themeColor="text1"/>
                <w:sz w:val="20"/>
                <w:szCs w:val="20"/>
                <w:lang w:eastAsia="pl-PL"/>
              </w:rPr>
              <w:t>53,49</w:t>
            </w:r>
            <w:r w:rsidR="003043BB" w:rsidRPr="00C758B1">
              <w:rPr>
                <w:rFonts w:ascii="Lato" w:eastAsia="Times New Roman" w:hAnsi="Lato" w:cs="Times New Roman"/>
                <w:b/>
                <w:bCs/>
                <w:iCs/>
                <w:color w:val="000000" w:themeColor="text1"/>
                <w:sz w:val="20"/>
                <w:szCs w:val="20"/>
                <w:lang w:eastAsia="pl-PL"/>
              </w:rPr>
              <w:t xml:space="preserve"> (</w:t>
            </w:r>
            <w:r w:rsidRPr="00C758B1">
              <w:rPr>
                <w:rFonts w:ascii="Lato" w:eastAsia="Times New Roman" w:hAnsi="Lato" w:cs="Times New Roman"/>
                <w:b/>
                <w:bCs/>
                <w:iCs/>
                <w:color w:val="000000" w:themeColor="text1"/>
                <w:sz w:val="20"/>
                <w:szCs w:val="20"/>
                <w:lang w:eastAsia="pl-PL"/>
              </w:rPr>
              <w:t>594,9</w:t>
            </w:r>
            <w:r w:rsidR="003043BB" w:rsidRPr="00C758B1">
              <w:rPr>
                <w:rFonts w:ascii="Lato" w:eastAsia="Times New Roman" w:hAnsi="Lato" w:cs="Times New Roman"/>
                <w:b/>
                <w:bCs/>
                <w:iCs/>
                <w:color w:val="000000" w:themeColor="text1"/>
                <w:sz w:val="20"/>
                <w:szCs w:val="20"/>
                <w:lang w:eastAsia="pl-PL"/>
              </w:rPr>
              <w:t>)/</w:t>
            </w:r>
            <w:r w:rsidR="00B54D1B" w:rsidRPr="00C758B1">
              <w:rPr>
                <w:rFonts w:ascii="Lato" w:eastAsia="Times New Roman" w:hAnsi="Lato" w:cs="Times New Roman"/>
                <w:b/>
                <w:bCs/>
                <w:iCs/>
                <w:color w:val="000000" w:themeColor="text1"/>
                <w:sz w:val="20"/>
                <w:szCs w:val="20"/>
                <w:lang w:eastAsia="pl-PL"/>
              </w:rPr>
              <w:t>48,0</w:t>
            </w:r>
            <w:r w:rsidR="003043BB" w:rsidRPr="00C758B1">
              <w:rPr>
                <w:rFonts w:ascii="Lato" w:eastAsia="Times New Roman" w:hAnsi="Lato" w:cs="Times New Roman"/>
                <w:b/>
                <w:bCs/>
                <w:iCs/>
                <w:color w:val="000000" w:themeColor="text1"/>
                <w:sz w:val="20"/>
                <w:szCs w:val="20"/>
                <w:lang w:eastAsia="pl-PL"/>
              </w:rPr>
              <w:t xml:space="preserve"> (</w:t>
            </w:r>
            <w:r w:rsidR="00D0655F" w:rsidRPr="00C758B1">
              <w:rPr>
                <w:rFonts w:ascii="Lato" w:eastAsia="Times New Roman" w:hAnsi="Lato" w:cs="Times New Roman"/>
                <w:b/>
                <w:bCs/>
                <w:iCs/>
                <w:color w:val="000000" w:themeColor="text1"/>
                <w:sz w:val="20"/>
                <w:szCs w:val="20"/>
                <w:lang w:eastAsia="pl-PL"/>
              </w:rPr>
              <w:t>533,4</w:t>
            </w:r>
            <w:r w:rsidR="003043BB" w:rsidRPr="00C758B1">
              <w:rPr>
                <w:rFonts w:ascii="Lato" w:eastAsia="Times New Roman" w:hAnsi="Lato" w:cs="Times New Roman"/>
                <w:b/>
                <w:bCs/>
                <w:iCs/>
                <w:color w:val="000000" w:themeColor="text1"/>
                <w:sz w:val="20"/>
                <w:szCs w:val="20"/>
                <w:lang w:eastAsia="pl-PL"/>
              </w:rPr>
              <w:t>)</w:t>
            </w:r>
            <w:r w:rsidR="003043BB" w:rsidRPr="00C758B1">
              <w:rPr>
                <w:rStyle w:val="Odwoanieprzypisudolnego"/>
                <w:rFonts w:ascii="Lato" w:hAnsi="Lato"/>
                <w:b/>
                <w:bCs/>
                <w:color w:val="000000" w:themeColor="text1"/>
                <w:sz w:val="20"/>
                <w:szCs w:val="20"/>
                <w:lang w:eastAsia="pl-PL"/>
              </w:rPr>
              <w:footnoteReference w:id="3"/>
            </w:r>
          </w:p>
        </w:tc>
      </w:tr>
      <w:tr w:rsidR="003043BB" w:rsidRPr="00C758B1" w14:paraId="67C1C582"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670F113B"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GIM Sanok</w:t>
            </w:r>
          </w:p>
        </w:tc>
        <w:tc>
          <w:tcPr>
            <w:tcW w:w="2408" w:type="pct"/>
            <w:hideMark/>
          </w:tcPr>
          <w:p w14:paraId="4814F9D9" w14:textId="476D00C3" w:rsidR="003043BB" w:rsidRPr="00C758B1" w:rsidRDefault="003043BB"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11,49 (129)/</w:t>
            </w:r>
            <w:r w:rsidR="00A13CB0" w:rsidRPr="00C758B1">
              <w:rPr>
                <w:rFonts w:ascii="Lato" w:eastAsia="Times New Roman" w:hAnsi="Lato" w:cs="Times New Roman"/>
                <w:color w:val="000000" w:themeColor="text1"/>
                <w:sz w:val="20"/>
                <w:szCs w:val="20"/>
                <w:lang w:eastAsia="pl-PL"/>
              </w:rPr>
              <w:t>7,5</w:t>
            </w:r>
            <w:r w:rsidRPr="00C758B1">
              <w:rPr>
                <w:rFonts w:ascii="Lato" w:eastAsia="Times New Roman" w:hAnsi="Lato" w:cs="Times New Roman"/>
                <w:color w:val="000000" w:themeColor="text1"/>
                <w:sz w:val="20"/>
                <w:szCs w:val="20"/>
                <w:lang w:eastAsia="pl-PL"/>
              </w:rPr>
              <w:t xml:space="preserve"> (</w:t>
            </w:r>
            <w:r w:rsidR="006B499A" w:rsidRPr="00C758B1">
              <w:rPr>
                <w:rFonts w:ascii="Lato" w:eastAsia="Times New Roman" w:hAnsi="Lato" w:cs="Times New Roman"/>
                <w:color w:val="000000" w:themeColor="text1"/>
                <w:sz w:val="20"/>
                <w:szCs w:val="20"/>
                <w:lang w:eastAsia="pl-PL"/>
              </w:rPr>
              <w:t>84,2</w:t>
            </w:r>
            <w:r w:rsidRPr="00C758B1">
              <w:rPr>
                <w:rFonts w:ascii="Lato" w:eastAsia="Times New Roman" w:hAnsi="Lato" w:cs="Times New Roman"/>
                <w:color w:val="000000" w:themeColor="text1"/>
                <w:sz w:val="20"/>
                <w:szCs w:val="20"/>
                <w:lang w:eastAsia="pl-PL"/>
              </w:rPr>
              <w:t>)</w:t>
            </w:r>
          </w:p>
        </w:tc>
      </w:tr>
      <w:tr w:rsidR="003043BB" w:rsidRPr="00C758B1" w14:paraId="61C187A3"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0FC2F79A"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IM Wierzchowice</w:t>
            </w:r>
          </w:p>
        </w:tc>
        <w:tc>
          <w:tcPr>
            <w:tcW w:w="2408" w:type="pct"/>
            <w:hideMark/>
          </w:tcPr>
          <w:p w14:paraId="45A18D96" w14:textId="485F7D9C" w:rsidR="003043BB" w:rsidRPr="00C758B1" w:rsidRDefault="00B75E8B"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14,4</w:t>
            </w:r>
            <w:r w:rsidR="003043BB" w:rsidRPr="00C758B1">
              <w:rPr>
                <w:rFonts w:ascii="Lato" w:eastAsia="Times New Roman" w:hAnsi="Lato" w:cs="Times New Roman"/>
                <w:color w:val="000000" w:themeColor="text1"/>
                <w:sz w:val="20"/>
                <w:szCs w:val="20"/>
                <w:lang w:eastAsia="pl-PL"/>
              </w:rPr>
              <w:t xml:space="preserve"> (</w:t>
            </w:r>
            <w:r w:rsidRPr="00C758B1">
              <w:rPr>
                <w:rFonts w:ascii="Lato" w:eastAsia="Times New Roman" w:hAnsi="Lato" w:cs="Times New Roman"/>
                <w:color w:val="000000" w:themeColor="text1"/>
                <w:sz w:val="20"/>
                <w:szCs w:val="20"/>
                <w:lang w:eastAsia="pl-PL"/>
              </w:rPr>
              <w:t>158,4</w:t>
            </w:r>
            <w:r w:rsidR="003043BB" w:rsidRPr="00C758B1">
              <w:rPr>
                <w:rFonts w:ascii="Lato" w:eastAsia="Times New Roman" w:hAnsi="Lato" w:cs="Times New Roman"/>
                <w:color w:val="000000" w:themeColor="text1"/>
                <w:sz w:val="20"/>
                <w:szCs w:val="20"/>
                <w:lang w:eastAsia="pl-PL"/>
              </w:rPr>
              <w:t>)/</w:t>
            </w:r>
            <w:r w:rsidR="006B499A" w:rsidRPr="00C758B1">
              <w:rPr>
                <w:rFonts w:ascii="Lato" w:eastAsia="Times New Roman" w:hAnsi="Lato" w:cs="Times New Roman"/>
                <w:color w:val="000000" w:themeColor="text1"/>
                <w:sz w:val="20"/>
                <w:szCs w:val="20"/>
                <w:lang w:eastAsia="pl-PL"/>
              </w:rPr>
              <w:t>12,9</w:t>
            </w:r>
            <w:r w:rsidR="003043BB" w:rsidRPr="00C758B1">
              <w:rPr>
                <w:rFonts w:ascii="Lato" w:eastAsia="Times New Roman" w:hAnsi="Lato" w:cs="Times New Roman"/>
                <w:color w:val="000000" w:themeColor="text1"/>
                <w:sz w:val="20"/>
                <w:szCs w:val="20"/>
                <w:lang w:eastAsia="pl-PL"/>
              </w:rPr>
              <w:t xml:space="preserve"> (</w:t>
            </w:r>
            <w:r w:rsidR="00C478D1" w:rsidRPr="00C758B1">
              <w:rPr>
                <w:rFonts w:ascii="Lato" w:eastAsia="Times New Roman" w:hAnsi="Lato" w:cs="Times New Roman"/>
                <w:color w:val="000000" w:themeColor="text1"/>
                <w:sz w:val="20"/>
                <w:szCs w:val="20"/>
                <w:lang w:eastAsia="pl-PL"/>
              </w:rPr>
              <w:t>141,9</w:t>
            </w:r>
            <w:r w:rsidR="003043BB" w:rsidRPr="00C758B1">
              <w:rPr>
                <w:rFonts w:ascii="Lato" w:eastAsia="Times New Roman" w:hAnsi="Lato" w:cs="Times New Roman"/>
                <w:color w:val="000000" w:themeColor="text1"/>
                <w:sz w:val="20"/>
                <w:szCs w:val="20"/>
                <w:lang w:eastAsia="pl-PL"/>
              </w:rPr>
              <w:t>)</w:t>
            </w:r>
          </w:p>
        </w:tc>
      </w:tr>
      <w:tr w:rsidR="003043BB" w:rsidRPr="00C758B1" w14:paraId="73C696D9"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587D5161"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GIM Kawerna</w:t>
            </w:r>
          </w:p>
        </w:tc>
        <w:tc>
          <w:tcPr>
            <w:tcW w:w="2408" w:type="pct"/>
            <w:hideMark/>
          </w:tcPr>
          <w:p w14:paraId="5AA7D5EC" w14:textId="1262B1D3" w:rsidR="003043BB" w:rsidRPr="00C758B1" w:rsidRDefault="003043BB"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27,6 (307,</w:t>
            </w:r>
            <w:r w:rsidR="00B70705" w:rsidRPr="00C758B1">
              <w:rPr>
                <w:rFonts w:ascii="Lato" w:eastAsia="Times New Roman" w:hAnsi="Lato" w:cs="Times New Roman"/>
                <w:color w:val="000000" w:themeColor="text1"/>
                <w:sz w:val="20"/>
                <w:szCs w:val="20"/>
                <w:lang w:eastAsia="pl-PL"/>
              </w:rPr>
              <w:t>5</w:t>
            </w:r>
            <w:r w:rsidRPr="00C758B1">
              <w:rPr>
                <w:rFonts w:ascii="Lato" w:eastAsia="Times New Roman" w:hAnsi="Lato" w:cs="Times New Roman"/>
                <w:color w:val="000000" w:themeColor="text1"/>
                <w:sz w:val="20"/>
                <w:szCs w:val="20"/>
                <w:lang w:eastAsia="pl-PL"/>
              </w:rPr>
              <w:t>)/</w:t>
            </w:r>
            <w:r w:rsidR="00C478D1" w:rsidRPr="00C758B1">
              <w:rPr>
                <w:rFonts w:ascii="Lato" w:eastAsia="Times New Roman" w:hAnsi="Lato" w:cs="Times New Roman"/>
                <w:color w:val="000000" w:themeColor="text1"/>
                <w:sz w:val="20"/>
                <w:szCs w:val="20"/>
                <w:lang w:eastAsia="pl-PL"/>
              </w:rPr>
              <w:t>27,6</w:t>
            </w:r>
            <w:r w:rsidRPr="00C758B1">
              <w:rPr>
                <w:rFonts w:ascii="Lato" w:eastAsia="Times New Roman" w:hAnsi="Lato" w:cs="Times New Roman"/>
                <w:color w:val="000000" w:themeColor="text1"/>
                <w:sz w:val="20"/>
                <w:szCs w:val="20"/>
                <w:lang w:eastAsia="pl-PL"/>
              </w:rPr>
              <w:t xml:space="preserve"> (</w:t>
            </w:r>
            <w:r w:rsidR="00314C88" w:rsidRPr="00C758B1">
              <w:rPr>
                <w:rFonts w:ascii="Lato" w:eastAsia="Times New Roman" w:hAnsi="Lato" w:cs="Times New Roman"/>
                <w:color w:val="000000" w:themeColor="text1"/>
                <w:sz w:val="20"/>
                <w:szCs w:val="20"/>
                <w:lang w:eastAsia="pl-PL"/>
              </w:rPr>
              <w:t>307,5</w:t>
            </w:r>
            <w:r w:rsidRPr="00C758B1">
              <w:rPr>
                <w:rFonts w:ascii="Lato" w:eastAsia="Times New Roman" w:hAnsi="Lato" w:cs="Times New Roman"/>
                <w:color w:val="000000" w:themeColor="text1"/>
                <w:sz w:val="20"/>
                <w:szCs w:val="20"/>
                <w:lang w:eastAsia="pl-PL"/>
              </w:rPr>
              <w:t>)</w:t>
            </w:r>
          </w:p>
        </w:tc>
      </w:tr>
      <w:tr w:rsidR="003043BB" w:rsidRPr="00C758B1" w14:paraId="1991B9AE"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2495F40D" w14:textId="77441AD8" w:rsidR="003043BB" w:rsidRPr="00270AE5" w:rsidRDefault="003043BB"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Przywóz:</w:t>
            </w:r>
          </w:p>
        </w:tc>
        <w:tc>
          <w:tcPr>
            <w:tcW w:w="2408" w:type="pct"/>
            <w:hideMark/>
          </w:tcPr>
          <w:p w14:paraId="27C05BE2" w14:textId="6F4CB18F" w:rsidR="003043BB" w:rsidRPr="00C758B1" w:rsidRDefault="002D0957"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b/>
                <w:bCs/>
                <w:iCs/>
                <w:color w:val="000000" w:themeColor="text1"/>
                <w:sz w:val="20"/>
                <w:szCs w:val="20"/>
                <w:lang w:eastAsia="pl-PL"/>
              </w:rPr>
            </w:pPr>
            <w:r w:rsidRPr="00C758B1">
              <w:rPr>
                <w:rFonts w:ascii="Lato" w:eastAsia="Times New Roman" w:hAnsi="Lato" w:cs="Times New Roman"/>
                <w:b/>
                <w:bCs/>
                <w:iCs/>
                <w:color w:val="000000" w:themeColor="text1"/>
                <w:sz w:val="20"/>
                <w:szCs w:val="20"/>
                <w:lang w:eastAsia="pl-PL"/>
              </w:rPr>
              <w:t xml:space="preserve"> 111,7 </w:t>
            </w:r>
            <w:r w:rsidR="003043BB" w:rsidRPr="00C758B1">
              <w:rPr>
                <w:rFonts w:ascii="Lato" w:eastAsia="Times New Roman" w:hAnsi="Lato" w:cs="Times New Roman"/>
                <w:b/>
                <w:bCs/>
                <w:iCs/>
                <w:color w:val="000000" w:themeColor="text1"/>
                <w:sz w:val="20"/>
                <w:szCs w:val="20"/>
                <w:lang w:eastAsia="pl-PL"/>
              </w:rPr>
              <w:t>(</w:t>
            </w:r>
            <w:r w:rsidRPr="00C758B1">
              <w:rPr>
                <w:rFonts w:ascii="Lato" w:eastAsia="Times New Roman" w:hAnsi="Lato" w:cs="Times New Roman"/>
                <w:b/>
                <w:bCs/>
                <w:iCs/>
                <w:color w:val="000000" w:themeColor="text1"/>
                <w:sz w:val="20"/>
                <w:szCs w:val="20"/>
                <w:lang w:eastAsia="pl-PL"/>
              </w:rPr>
              <w:t>1 271,1</w:t>
            </w:r>
            <w:r w:rsidR="003043BB" w:rsidRPr="00C758B1">
              <w:rPr>
                <w:rFonts w:ascii="Lato" w:eastAsia="Times New Roman" w:hAnsi="Lato" w:cs="Times New Roman"/>
                <w:b/>
                <w:bCs/>
                <w:iCs/>
                <w:color w:val="000000" w:themeColor="text1"/>
                <w:sz w:val="20"/>
                <w:szCs w:val="20"/>
                <w:lang w:eastAsia="pl-PL"/>
              </w:rPr>
              <w:t>)</w:t>
            </w:r>
          </w:p>
        </w:tc>
      </w:tr>
      <w:tr w:rsidR="003043BB" w:rsidRPr="00C758B1" w14:paraId="3651F26B"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068D141E" w14:textId="1D15B68C" w:rsidR="003043BB" w:rsidRPr="00270AE5" w:rsidRDefault="003043BB" w:rsidP="00727892">
            <w:pPr>
              <w:spacing w:before="20" w:after="20" w:line="276" w:lineRule="auto"/>
              <w:jc w:val="left"/>
              <w:rPr>
                <w:rFonts w:ascii="Lato" w:eastAsia="Times New Roman" w:hAnsi="Lato" w:cs="Times New Roman"/>
                <w:b w:val="0"/>
                <w:bCs w:val="0"/>
                <w:i/>
                <w:color w:val="000000" w:themeColor="text1"/>
                <w:sz w:val="20"/>
                <w:szCs w:val="20"/>
                <w:lang w:eastAsia="pl-PL"/>
              </w:rPr>
            </w:pPr>
            <w:r w:rsidRPr="00270AE5">
              <w:rPr>
                <w:rFonts w:ascii="Lato" w:eastAsia="Times New Roman" w:hAnsi="Lato" w:cs="Times New Roman"/>
                <w:b w:val="0"/>
                <w:bCs w:val="0"/>
                <w:i/>
                <w:color w:val="000000" w:themeColor="text1"/>
                <w:sz w:val="20"/>
                <w:szCs w:val="20"/>
                <w:lang w:eastAsia="pl-PL"/>
              </w:rPr>
              <w:t>w tym przywóz z UE:</w:t>
            </w:r>
          </w:p>
        </w:tc>
        <w:tc>
          <w:tcPr>
            <w:tcW w:w="2408" w:type="pct"/>
          </w:tcPr>
          <w:p w14:paraId="6D497672" w14:textId="6C44A6D8" w:rsidR="003043BB" w:rsidRPr="00C758B1" w:rsidRDefault="002E516A"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b/>
                <w:bCs/>
                <w:iCs/>
                <w:color w:val="000000" w:themeColor="text1"/>
                <w:sz w:val="20"/>
                <w:szCs w:val="20"/>
                <w:lang w:eastAsia="pl-PL"/>
              </w:rPr>
            </w:pPr>
            <w:r w:rsidRPr="00C758B1">
              <w:rPr>
                <w:rFonts w:ascii="Lato" w:eastAsia="Times New Roman" w:hAnsi="Lato" w:cs="Times New Roman"/>
                <w:b/>
                <w:bCs/>
                <w:iCs/>
                <w:color w:val="000000" w:themeColor="text1"/>
                <w:sz w:val="20"/>
                <w:szCs w:val="20"/>
                <w:lang w:eastAsia="pl-PL"/>
              </w:rPr>
              <w:t xml:space="preserve">80,0 </w:t>
            </w:r>
            <w:r w:rsidR="003043BB" w:rsidRPr="00C758B1">
              <w:rPr>
                <w:rFonts w:ascii="Lato" w:eastAsia="Times New Roman" w:hAnsi="Lato" w:cs="Times New Roman"/>
                <w:b/>
                <w:bCs/>
                <w:iCs/>
                <w:color w:val="000000" w:themeColor="text1"/>
                <w:sz w:val="20"/>
                <w:szCs w:val="20"/>
                <w:lang w:eastAsia="pl-PL"/>
              </w:rPr>
              <w:t>(</w:t>
            </w:r>
            <w:r w:rsidR="00644C34" w:rsidRPr="00C758B1">
              <w:rPr>
                <w:rFonts w:ascii="Lato" w:eastAsia="Times New Roman" w:hAnsi="Lato" w:cs="Times New Roman"/>
                <w:b/>
                <w:bCs/>
                <w:iCs/>
                <w:color w:val="000000" w:themeColor="text1"/>
                <w:sz w:val="20"/>
                <w:szCs w:val="20"/>
                <w:lang w:eastAsia="pl-PL"/>
              </w:rPr>
              <w:t>908,2</w:t>
            </w:r>
            <w:r w:rsidR="003043BB" w:rsidRPr="00C758B1">
              <w:rPr>
                <w:rFonts w:ascii="Lato" w:eastAsia="Times New Roman" w:hAnsi="Lato" w:cs="Times New Roman"/>
                <w:b/>
                <w:bCs/>
                <w:iCs/>
                <w:color w:val="000000" w:themeColor="text1"/>
                <w:sz w:val="20"/>
                <w:szCs w:val="20"/>
                <w:lang w:eastAsia="pl-PL"/>
              </w:rPr>
              <w:t>)</w:t>
            </w:r>
          </w:p>
        </w:tc>
      </w:tr>
      <w:tr w:rsidR="003043BB" w:rsidRPr="00C758B1" w14:paraId="58D5D455"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00CDC838"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GCP GAZ-SYSTEM/ONTRAS</w:t>
            </w:r>
          </w:p>
        </w:tc>
        <w:tc>
          <w:tcPr>
            <w:tcW w:w="2408" w:type="pct"/>
            <w:hideMark/>
          </w:tcPr>
          <w:p w14:paraId="7186BB8C" w14:textId="77777777" w:rsidR="003043BB" w:rsidRPr="00C758B1" w:rsidRDefault="003043BB"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4,4 (48,7)</w:t>
            </w:r>
          </w:p>
        </w:tc>
      </w:tr>
      <w:tr w:rsidR="003043BB" w:rsidRPr="00C758B1" w14:paraId="64969029"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1E3FAA9B"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Cieszyn</w:t>
            </w:r>
          </w:p>
        </w:tc>
        <w:tc>
          <w:tcPr>
            <w:tcW w:w="2408" w:type="pct"/>
            <w:hideMark/>
          </w:tcPr>
          <w:p w14:paraId="0B80BB1A" w14:textId="77777777" w:rsidR="003043BB" w:rsidRPr="00C758B1" w:rsidRDefault="003043BB"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2,5 (28,0)</w:t>
            </w:r>
          </w:p>
        </w:tc>
      </w:tr>
      <w:tr w:rsidR="003043BB" w:rsidRPr="00C758B1" w14:paraId="699CB996"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7F256C2D"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PWP z Mallnow Rewers</w:t>
            </w:r>
          </w:p>
        </w:tc>
        <w:tc>
          <w:tcPr>
            <w:tcW w:w="2408" w:type="pct"/>
            <w:hideMark/>
          </w:tcPr>
          <w:p w14:paraId="59B40124" w14:textId="20C19BE4" w:rsidR="003043BB" w:rsidRPr="00C758B1" w:rsidRDefault="00DD453F"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25,1</w:t>
            </w:r>
            <w:r w:rsidR="003043BB" w:rsidRPr="00C758B1">
              <w:rPr>
                <w:rFonts w:ascii="Lato" w:eastAsia="Times New Roman" w:hAnsi="Lato" w:cs="Times New Roman"/>
                <w:color w:val="000000" w:themeColor="text1"/>
                <w:sz w:val="20"/>
                <w:szCs w:val="20"/>
                <w:lang w:eastAsia="pl-PL"/>
              </w:rPr>
              <w:t xml:space="preserve"> (</w:t>
            </w:r>
            <w:r w:rsidRPr="00C758B1">
              <w:rPr>
                <w:rFonts w:ascii="Lato" w:eastAsia="Times New Roman" w:hAnsi="Lato" w:cs="Times New Roman"/>
                <w:color w:val="000000" w:themeColor="text1"/>
                <w:sz w:val="20"/>
                <w:szCs w:val="20"/>
                <w:lang w:eastAsia="pl-PL"/>
              </w:rPr>
              <w:t>277,6</w:t>
            </w:r>
            <w:r w:rsidR="003043BB" w:rsidRPr="00C758B1">
              <w:rPr>
                <w:rFonts w:ascii="Lato" w:eastAsia="Times New Roman" w:hAnsi="Lato" w:cs="Times New Roman"/>
                <w:color w:val="000000" w:themeColor="text1"/>
                <w:sz w:val="20"/>
                <w:szCs w:val="20"/>
                <w:lang w:eastAsia="pl-PL"/>
              </w:rPr>
              <w:t>)</w:t>
            </w:r>
          </w:p>
        </w:tc>
      </w:tr>
      <w:tr w:rsidR="009B65B8" w:rsidRPr="00C758B1" w14:paraId="17F9F400"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2713350D" w14:textId="26D2DD0A" w:rsidR="00DD453F" w:rsidRPr="00270AE5" w:rsidRDefault="009B3D1F"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FAXE (Baltic Pipe)</w:t>
            </w:r>
          </w:p>
        </w:tc>
        <w:tc>
          <w:tcPr>
            <w:tcW w:w="2408" w:type="pct"/>
          </w:tcPr>
          <w:p w14:paraId="26E70519" w14:textId="1F1CBB57" w:rsidR="00DD453F" w:rsidRPr="00C758B1" w:rsidDel="00DD453F" w:rsidRDefault="009B3D1F"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27,4 (321,9)</w:t>
            </w:r>
          </w:p>
        </w:tc>
      </w:tr>
      <w:tr w:rsidR="009B65B8" w:rsidRPr="00C758B1" w14:paraId="0ACC55A8"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379CC54B" w14:textId="6AFB59B2" w:rsidR="00DD453F" w:rsidRPr="00270AE5" w:rsidRDefault="009B3D1F"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Santaka</w:t>
            </w:r>
          </w:p>
        </w:tc>
        <w:tc>
          <w:tcPr>
            <w:tcW w:w="2408" w:type="pct"/>
          </w:tcPr>
          <w:p w14:paraId="14499881" w14:textId="5919B4D2" w:rsidR="00DD453F" w:rsidRPr="00C758B1" w:rsidDel="00DD453F" w:rsidRDefault="009B3D1F"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5,2 (58,1)</w:t>
            </w:r>
          </w:p>
        </w:tc>
      </w:tr>
      <w:tr w:rsidR="009B65B8" w:rsidRPr="00C758B1" w14:paraId="52159FC4"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61F5BAE3" w14:textId="5BEDF3A8" w:rsidR="00DD453F" w:rsidRPr="00270AE5" w:rsidRDefault="009B3D1F"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Vyrava</w:t>
            </w:r>
          </w:p>
        </w:tc>
        <w:tc>
          <w:tcPr>
            <w:tcW w:w="2408" w:type="pct"/>
          </w:tcPr>
          <w:p w14:paraId="2B0F89DB" w14:textId="15B7C1FD" w:rsidR="00DD453F" w:rsidRPr="00C758B1" w:rsidDel="00DD453F" w:rsidRDefault="008F3AE5"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15,4 (173,9)</w:t>
            </w:r>
          </w:p>
        </w:tc>
      </w:tr>
      <w:tr w:rsidR="003043BB" w:rsidRPr="00C758B1" w14:paraId="60C8EF7C"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3C88A4D5" w14:textId="3E863133" w:rsidR="003043BB" w:rsidRPr="00270AE5" w:rsidRDefault="003043BB" w:rsidP="00983C18">
            <w:pPr>
              <w:spacing w:before="20" w:after="20" w:line="276" w:lineRule="auto"/>
              <w:jc w:val="left"/>
              <w:rPr>
                <w:rFonts w:ascii="Lato" w:eastAsia="Times New Roman" w:hAnsi="Lato" w:cs="Times New Roman"/>
                <w:b w:val="0"/>
                <w:bCs w:val="0"/>
                <w:i/>
                <w:color w:val="000000" w:themeColor="text1"/>
                <w:sz w:val="20"/>
                <w:szCs w:val="20"/>
                <w:lang w:eastAsia="pl-PL"/>
              </w:rPr>
            </w:pPr>
            <w:r w:rsidRPr="00270AE5">
              <w:rPr>
                <w:rFonts w:ascii="Lato" w:eastAsia="Times New Roman" w:hAnsi="Lato" w:cs="Times New Roman"/>
                <w:b w:val="0"/>
                <w:bCs w:val="0"/>
                <w:i/>
                <w:color w:val="000000" w:themeColor="text1"/>
                <w:sz w:val="20"/>
                <w:szCs w:val="20"/>
                <w:lang w:eastAsia="pl-PL"/>
              </w:rPr>
              <w:t xml:space="preserve">w tym przywóz </w:t>
            </w:r>
            <w:r w:rsidR="00C65681" w:rsidRPr="00270AE5">
              <w:rPr>
                <w:rFonts w:ascii="Lato" w:eastAsia="Times New Roman" w:hAnsi="Lato" w:cs="Times New Roman"/>
                <w:b w:val="0"/>
                <w:bCs w:val="0"/>
                <w:i/>
                <w:color w:val="000000" w:themeColor="text1"/>
                <w:sz w:val="20"/>
                <w:szCs w:val="20"/>
                <w:lang w:eastAsia="pl-PL"/>
              </w:rPr>
              <w:t>s</w:t>
            </w:r>
            <w:r w:rsidRPr="00270AE5">
              <w:rPr>
                <w:rFonts w:ascii="Lato" w:eastAsia="Times New Roman" w:hAnsi="Lato" w:cs="Times New Roman"/>
                <w:b w:val="0"/>
                <w:bCs w:val="0"/>
                <w:i/>
                <w:color w:val="000000" w:themeColor="text1"/>
                <w:sz w:val="20"/>
                <w:szCs w:val="20"/>
                <w:lang w:eastAsia="pl-PL"/>
              </w:rPr>
              <w:t>poza UE:</w:t>
            </w:r>
          </w:p>
        </w:tc>
        <w:tc>
          <w:tcPr>
            <w:tcW w:w="2408" w:type="pct"/>
          </w:tcPr>
          <w:p w14:paraId="61284416" w14:textId="3D1A5449" w:rsidR="003043BB" w:rsidRPr="00C758B1" w:rsidRDefault="00644C34"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b/>
                <w:bCs/>
                <w:iCs/>
                <w:color w:val="000000" w:themeColor="text1"/>
                <w:sz w:val="20"/>
                <w:szCs w:val="20"/>
                <w:lang w:eastAsia="pl-PL"/>
              </w:rPr>
            </w:pPr>
            <w:r w:rsidRPr="00C758B1">
              <w:rPr>
                <w:rFonts w:ascii="Lato" w:eastAsia="Times New Roman" w:hAnsi="Lato" w:cs="Times New Roman"/>
                <w:b/>
                <w:bCs/>
                <w:iCs/>
                <w:color w:val="000000" w:themeColor="text1"/>
                <w:sz w:val="20"/>
                <w:szCs w:val="20"/>
                <w:lang w:eastAsia="pl-PL"/>
              </w:rPr>
              <w:t>31,7</w:t>
            </w:r>
            <w:r w:rsidR="003043BB" w:rsidRPr="00C758B1">
              <w:rPr>
                <w:rFonts w:ascii="Lato" w:eastAsia="Times New Roman" w:hAnsi="Lato" w:cs="Times New Roman"/>
                <w:b/>
                <w:bCs/>
                <w:iCs/>
                <w:color w:val="000000" w:themeColor="text1"/>
                <w:sz w:val="20"/>
                <w:szCs w:val="20"/>
                <w:lang w:eastAsia="pl-PL"/>
              </w:rPr>
              <w:t xml:space="preserve"> (</w:t>
            </w:r>
            <w:r w:rsidRPr="00C758B1">
              <w:rPr>
                <w:rFonts w:ascii="Lato" w:eastAsia="Times New Roman" w:hAnsi="Lato" w:cs="Times New Roman"/>
                <w:b/>
                <w:bCs/>
                <w:iCs/>
                <w:color w:val="000000" w:themeColor="text1"/>
                <w:sz w:val="20"/>
                <w:szCs w:val="20"/>
                <w:lang w:eastAsia="pl-PL"/>
              </w:rPr>
              <w:t>362,9</w:t>
            </w:r>
            <w:r w:rsidR="003043BB" w:rsidRPr="00C758B1">
              <w:rPr>
                <w:rFonts w:ascii="Lato" w:eastAsia="Times New Roman" w:hAnsi="Lato" w:cs="Times New Roman"/>
                <w:b/>
                <w:bCs/>
                <w:iCs/>
                <w:color w:val="000000" w:themeColor="text1"/>
                <w:sz w:val="20"/>
                <w:szCs w:val="20"/>
                <w:lang w:eastAsia="pl-PL"/>
              </w:rPr>
              <w:t>)</w:t>
            </w:r>
          </w:p>
        </w:tc>
      </w:tr>
      <w:tr w:rsidR="003043BB" w:rsidRPr="00C758B1" w14:paraId="63FD6F5C"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17984CAE"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PWP z Kondratki</w:t>
            </w:r>
          </w:p>
        </w:tc>
        <w:tc>
          <w:tcPr>
            <w:tcW w:w="2408" w:type="pct"/>
          </w:tcPr>
          <w:p w14:paraId="48C26083" w14:textId="3620376E" w:rsidR="003043BB" w:rsidRPr="00C758B1" w:rsidRDefault="000C6378"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w:t>
            </w:r>
          </w:p>
        </w:tc>
      </w:tr>
      <w:tr w:rsidR="003043BB" w:rsidRPr="00C758B1" w14:paraId="2A834AB0"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0CA5FA3C"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Wysokoje</w:t>
            </w:r>
          </w:p>
        </w:tc>
        <w:tc>
          <w:tcPr>
            <w:tcW w:w="2408" w:type="pct"/>
            <w:hideMark/>
          </w:tcPr>
          <w:p w14:paraId="567D9328" w14:textId="0CFB58AC" w:rsidR="003043BB" w:rsidRPr="00C758B1" w:rsidRDefault="000C6378"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w:t>
            </w:r>
          </w:p>
        </w:tc>
      </w:tr>
      <w:tr w:rsidR="003043BB" w:rsidRPr="00C758B1" w14:paraId="558FFF13"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09D4FDA9"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Tietierowka</w:t>
            </w:r>
          </w:p>
        </w:tc>
        <w:tc>
          <w:tcPr>
            <w:tcW w:w="2408" w:type="pct"/>
            <w:hideMark/>
          </w:tcPr>
          <w:p w14:paraId="4B13E6F4" w14:textId="21856C91" w:rsidR="003043BB" w:rsidRPr="00C758B1" w:rsidRDefault="000C6378"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w:t>
            </w:r>
          </w:p>
        </w:tc>
      </w:tr>
      <w:tr w:rsidR="003043BB" w:rsidRPr="00C758B1" w14:paraId="2FB9BFD9"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10394CFA" w14:textId="5B055D8C" w:rsidR="003043BB" w:rsidRPr="00270AE5" w:rsidRDefault="000C6378"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GCP GAZ-SYSTEM/UA TSO (</w:t>
            </w:r>
            <w:r w:rsidR="003043BB" w:rsidRPr="00270AE5">
              <w:rPr>
                <w:rFonts w:ascii="Lato" w:eastAsia="Times New Roman" w:hAnsi="Lato" w:cs="Times New Roman"/>
                <w:b w:val="0"/>
                <w:bCs w:val="0"/>
                <w:color w:val="000000" w:themeColor="text1"/>
                <w:sz w:val="20"/>
                <w:szCs w:val="20"/>
                <w:lang w:eastAsia="pl-PL"/>
              </w:rPr>
              <w:t>Drozdowicze</w:t>
            </w:r>
            <w:r w:rsidRPr="00270AE5">
              <w:rPr>
                <w:rFonts w:ascii="Lato" w:eastAsia="Times New Roman" w:hAnsi="Lato" w:cs="Times New Roman"/>
                <w:b w:val="0"/>
                <w:bCs w:val="0"/>
                <w:color w:val="000000" w:themeColor="text1"/>
                <w:sz w:val="20"/>
                <w:szCs w:val="20"/>
                <w:lang w:eastAsia="pl-PL"/>
              </w:rPr>
              <w:t>)</w:t>
            </w:r>
          </w:p>
        </w:tc>
        <w:tc>
          <w:tcPr>
            <w:tcW w:w="2408" w:type="pct"/>
            <w:hideMark/>
          </w:tcPr>
          <w:p w14:paraId="014ADAD5" w14:textId="77777777" w:rsidR="003043BB" w:rsidRPr="00C758B1" w:rsidRDefault="003043BB"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color w:val="000000" w:themeColor="text1"/>
                <w:sz w:val="20"/>
                <w:szCs w:val="20"/>
                <w:lang w:eastAsia="pl-PL"/>
              </w:rPr>
            </w:pPr>
            <w:r w:rsidRPr="00C758B1">
              <w:rPr>
                <w:rFonts w:ascii="Lato" w:eastAsia="Times New Roman" w:hAnsi="Lato" w:cs="Times New Roman"/>
                <w:color w:val="000000" w:themeColor="text1"/>
                <w:sz w:val="20"/>
                <w:szCs w:val="20"/>
                <w:lang w:eastAsia="pl-PL"/>
              </w:rPr>
              <w:t>12 (135,6)</w:t>
            </w:r>
          </w:p>
        </w:tc>
      </w:tr>
      <w:tr w:rsidR="003043BB" w:rsidRPr="00C758B1" w14:paraId="6D8885FF"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0401B098" w14:textId="77777777" w:rsidR="003043BB" w:rsidRPr="00270AE5" w:rsidRDefault="003043BB" w:rsidP="00727892">
            <w:pPr>
              <w:spacing w:before="20" w:after="20" w:line="276" w:lineRule="auto"/>
              <w:jc w:val="left"/>
              <w:rPr>
                <w:rFonts w:ascii="Lato" w:eastAsia="Times New Roman" w:hAnsi="Lato" w:cs="Times New Roman"/>
                <w:b w:val="0"/>
                <w:bCs w:val="0"/>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Terminal LNG</w:t>
            </w:r>
          </w:p>
        </w:tc>
        <w:tc>
          <w:tcPr>
            <w:tcW w:w="2408" w:type="pct"/>
            <w:hideMark/>
          </w:tcPr>
          <w:p w14:paraId="4FE05E25" w14:textId="7D79DCE4" w:rsidR="003043BB" w:rsidRPr="00C758B1" w:rsidRDefault="000C6378"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b/>
                <w:bCs/>
                <w:color w:val="000000" w:themeColor="text1"/>
                <w:sz w:val="20"/>
                <w:szCs w:val="20"/>
                <w:lang w:eastAsia="pl-PL"/>
              </w:rPr>
            </w:pPr>
            <w:r w:rsidRPr="00C758B1">
              <w:rPr>
                <w:rFonts w:ascii="Lato" w:eastAsia="Times New Roman" w:hAnsi="Lato" w:cs="Times New Roman"/>
                <w:b/>
                <w:bCs/>
                <w:color w:val="000000" w:themeColor="text1"/>
                <w:sz w:val="20"/>
                <w:szCs w:val="20"/>
                <w:lang w:eastAsia="pl-PL"/>
              </w:rPr>
              <w:t>19</w:t>
            </w:r>
            <w:r w:rsidR="003043BB" w:rsidRPr="00C758B1">
              <w:rPr>
                <w:rFonts w:ascii="Lato" w:eastAsia="Times New Roman" w:hAnsi="Lato" w:cs="Times New Roman"/>
                <w:b/>
                <w:bCs/>
                <w:color w:val="000000" w:themeColor="text1"/>
                <w:sz w:val="20"/>
                <w:szCs w:val="20"/>
                <w:lang w:eastAsia="pl-PL"/>
              </w:rPr>
              <w:t>,7 (</w:t>
            </w:r>
            <w:r w:rsidRPr="00C758B1">
              <w:rPr>
                <w:rFonts w:ascii="Lato" w:eastAsia="Times New Roman" w:hAnsi="Lato" w:cs="Times New Roman"/>
                <w:b/>
                <w:bCs/>
                <w:color w:val="000000" w:themeColor="text1"/>
                <w:sz w:val="20"/>
                <w:szCs w:val="20"/>
                <w:lang w:eastAsia="pl-PL"/>
              </w:rPr>
              <w:t>227,3</w:t>
            </w:r>
            <w:r w:rsidR="003043BB" w:rsidRPr="00C758B1">
              <w:rPr>
                <w:rFonts w:ascii="Lato" w:eastAsia="Times New Roman" w:hAnsi="Lato" w:cs="Times New Roman"/>
                <w:b/>
                <w:bCs/>
                <w:color w:val="000000" w:themeColor="text1"/>
                <w:sz w:val="20"/>
                <w:szCs w:val="20"/>
                <w:lang w:eastAsia="pl-PL"/>
              </w:rPr>
              <w:t>)</w:t>
            </w:r>
          </w:p>
        </w:tc>
      </w:tr>
      <w:tr w:rsidR="003043BB" w:rsidRPr="00C758B1" w14:paraId="61A51265"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hideMark/>
          </w:tcPr>
          <w:p w14:paraId="298973FC" w14:textId="77777777" w:rsidR="003043BB" w:rsidRPr="00270AE5" w:rsidRDefault="003043BB"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Suma środków rynkowych po stronie podaży</w:t>
            </w:r>
          </w:p>
        </w:tc>
        <w:tc>
          <w:tcPr>
            <w:tcW w:w="2408" w:type="pct"/>
            <w:hideMark/>
          </w:tcPr>
          <w:p w14:paraId="19335734" w14:textId="74084C7B" w:rsidR="003043BB" w:rsidRPr="00C758B1" w:rsidRDefault="006351E7"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b/>
                <w:bCs/>
                <w:iCs/>
                <w:color w:val="000000" w:themeColor="text1"/>
                <w:sz w:val="20"/>
                <w:szCs w:val="20"/>
                <w:lang w:eastAsia="pl-PL"/>
              </w:rPr>
            </w:pPr>
            <w:r w:rsidRPr="00C758B1">
              <w:rPr>
                <w:rFonts w:ascii="Lato" w:eastAsia="Times New Roman" w:hAnsi="Lato" w:cs="Times New Roman"/>
                <w:b/>
                <w:bCs/>
                <w:iCs/>
                <w:color w:val="000000" w:themeColor="text1"/>
                <w:sz w:val="20"/>
                <w:szCs w:val="20"/>
                <w:lang w:eastAsia="pl-PL"/>
              </w:rPr>
              <w:t>172,2</w:t>
            </w:r>
            <w:r w:rsidR="003043BB" w:rsidRPr="00C758B1">
              <w:rPr>
                <w:rFonts w:ascii="Lato" w:eastAsia="Times New Roman" w:hAnsi="Lato" w:cs="Times New Roman"/>
                <w:b/>
                <w:bCs/>
                <w:iCs/>
                <w:color w:val="000000" w:themeColor="text1"/>
                <w:sz w:val="20"/>
                <w:szCs w:val="20"/>
                <w:lang w:eastAsia="pl-PL"/>
              </w:rPr>
              <w:t xml:space="preserve"> (1 </w:t>
            </w:r>
            <w:r w:rsidR="00515F01" w:rsidRPr="00C758B1">
              <w:rPr>
                <w:rFonts w:ascii="Lato" w:eastAsia="Times New Roman" w:hAnsi="Lato" w:cs="Times New Roman"/>
                <w:b/>
                <w:bCs/>
                <w:iCs/>
                <w:color w:val="000000" w:themeColor="text1"/>
                <w:sz w:val="20"/>
                <w:szCs w:val="20"/>
                <w:lang w:eastAsia="pl-PL"/>
              </w:rPr>
              <w:t>943,1</w:t>
            </w:r>
            <w:r w:rsidR="003043BB" w:rsidRPr="00C758B1">
              <w:rPr>
                <w:rFonts w:ascii="Lato" w:eastAsia="Times New Roman" w:hAnsi="Lato" w:cs="Times New Roman"/>
                <w:b/>
                <w:bCs/>
                <w:iCs/>
                <w:color w:val="000000" w:themeColor="text1"/>
                <w:sz w:val="20"/>
                <w:szCs w:val="20"/>
                <w:lang w:eastAsia="pl-PL"/>
              </w:rPr>
              <w:t>)/</w:t>
            </w:r>
            <w:r w:rsidR="00515F01" w:rsidRPr="00C758B1">
              <w:rPr>
                <w:rFonts w:ascii="Lato" w:eastAsia="Times New Roman" w:hAnsi="Lato" w:cs="Times New Roman"/>
                <w:b/>
                <w:bCs/>
                <w:iCs/>
                <w:color w:val="000000" w:themeColor="text1"/>
                <w:sz w:val="20"/>
                <w:szCs w:val="20"/>
                <w:lang w:eastAsia="pl-PL"/>
              </w:rPr>
              <w:t>166,7</w:t>
            </w:r>
            <w:r w:rsidR="003043BB" w:rsidRPr="00C758B1">
              <w:rPr>
                <w:rFonts w:ascii="Lato" w:eastAsia="Times New Roman" w:hAnsi="Lato" w:cs="Times New Roman"/>
                <w:b/>
                <w:bCs/>
                <w:iCs/>
                <w:color w:val="000000" w:themeColor="text1"/>
                <w:sz w:val="20"/>
                <w:szCs w:val="20"/>
                <w:lang w:eastAsia="pl-PL"/>
              </w:rPr>
              <w:t xml:space="preserve"> (</w:t>
            </w:r>
            <w:r w:rsidR="0087048C" w:rsidRPr="00C758B1">
              <w:rPr>
                <w:rFonts w:ascii="Lato" w:eastAsia="Times New Roman" w:hAnsi="Lato" w:cs="Times New Roman"/>
                <w:b/>
                <w:bCs/>
                <w:iCs/>
                <w:color w:val="000000" w:themeColor="text1"/>
                <w:sz w:val="20"/>
                <w:szCs w:val="20"/>
                <w:lang w:eastAsia="pl-PL"/>
              </w:rPr>
              <w:t>1 881,6</w:t>
            </w:r>
            <w:r w:rsidR="003043BB" w:rsidRPr="00C758B1">
              <w:rPr>
                <w:rFonts w:ascii="Lato" w:eastAsia="Times New Roman" w:hAnsi="Lato" w:cs="Times New Roman"/>
                <w:b/>
                <w:bCs/>
                <w:iCs/>
                <w:color w:val="000000" w:themeColor="text1"/>
                <w:sz w:val="20"/>
                <w:szCs w:val="20"/>
                <w:lang w:eastAsia="pl-PL"/>
              </w:rPr>
              <w:t>)</w:t>
            </w:r>
          </w:p>
        </w:tc>
      </w:tr>
      <w:tr w:rsidR="00AD51DD" w:rsidRPr="00C758B1" w14:paraId="57F90794"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2"/>
          </w:tcPr>
          <w:p w14:paraId="17BD65DA" w14:textId="7F4E40B2" w:rsidR="00AD51DD" w:rsidRPr="00C758B1" w:rsidRDefault="00AD51DD" w:rsidP="00983C18">
            <w:pPr>
              <w:spacing w:before="20" w:after="20" w:line="276" w:lineRule="auto"/>
              <w:jc w:val="center"/>
              <w:rPr>
                <w:rFonts w:ascii="Lato" w:eastAsia="Times New Roman" w:hAnsi="Lato" w:cs="Times New Roman"/>
                <w:b w:val="0"/>
                <w:bCs w:val="0"/>
                <w:iCs/>
                <w:color w:val="000000" w:themeColor="text1"/>
                <w:sz w:val="20"/>
                <w:szCs w:val="20"/>
                <w:lang w:eastAsia="pl-PL"/>
              </w:rPr>
            </w:pPr>
            <w:r w:rsidRPr="00C758B1">
              <w:rPr>
                <w:rFonts w:ascii="Lato" w:eastAsia="Times New Roman" w:hAnsi="Lato" w:cs="Times New Roman"/>
                <w:color w:val="000000" w:themeColor="text1"/>
                <w:sz w:val="20"/>
                <w:szCs w:val="20"/>
                <w:lang w:eastAsia="pl-PL"/>
              </w:rPr>
              <w:t>Standard w zakresie dostaw:</w:t>
            </w:r>
          </w:p>
        </w:tc>
      </w:tr>
      <w:tr w:rsidR="003043BB" w:rsidRPr="00C758B1" w14:paraId="38DB1410" w14:textId="77777777" w:rsidTr="00AD51DD">
        <w:trPr>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07A49921" w14:textId="77777777" w:rsidR="003043BB" w:rsidRPr="00270AE5" w:rsidRDefault="003043BB"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7-dni szczytowego zapotrzebowania</w:t>
            </w:r>
          </w:p>
        </w:tc>
        <w:tc>
          <w:tcPr>
            <w:tcW w:w="2408" w:type="pct"/>
          </w:tcPr>
          <w:p w14:paraId="50932ABA" w14:textId="7D6AFE25" w:rsidR="003043BB" w:rsidRPr="00270AE5" w:rsidRDefault="00FB3302"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iCs/>
                <w:color w:val="000000" w:themeColor="text1"/>
                <w:sz w:val="20"/>
                <w:szCs w:val="20"/>
                <w:lang w:eastAsia="pl-PL"/>
              </w:rPr>
            </w:pPr>
            <w:r w:rsidRPr="00270AE5">
              <w:rPr>
                <w:rFonts w:ascii="Lato" w:eastAsia="Times New Roman" w:hAnsi="Lato" w:cs="Times New Roman"/>
                <w:iCs/>
                <w:color w:val="000000" w:themeColor="text1"/>
                <w:sz w:val="20"/>
                <w:szCs w:val="20"/>
                <w:lang w:eastAsia="pl-PL"/>
              </w:rPr>
              <w:t>51,05</w:t>
            </w:r>
            <w:r w:rsidR="003043BB" w:rsidRPr="00270AE5">
              <w:rPr>
                <w:rFonts w:ascii="Lato" w:eastAsia="Times New Roman" w:hAnsi="Lato" w:cs="Times New Roman"/>
                <w:iCs/>
                <w:color w:val="000000" w:themeColor="text1"/>
                <w:sz w:val="20"/>
                <w:szCs w:val="20"/>
                <w:lang w:eastAsia="pl-PL"/>
              </w:rPr>
              <w:t xml:space="preserve"> (</w:t>
            </w:r>
            <w:r w:rsidR="00650CD8" w:rsidRPr="00270AE5">
              <w:rPr>
                <w:rFonts w:ascii="Lato" w:eastAsia="Times New Roman" w:hAnsi="Lato" w:cs="Times New Roman"/>
                <w:iCs/>
                <w:color w:val="000000" w:themeColor="text1"/>
                <w:sz w:val="20"/>
                <w:szCs w:val="20"/>
                <w:lang w:eastAsia="pl-PL"/>
              </w:rPr>
              <w:t>556,36</w:t>
            </w:r>
            <w:r w:rsidR="003043BB" w:rsidRPr="00270AE5">
              <w:rPr>
                <w:rFonts w:ascii="Lato" w:eastAsia="Times New Roman" w:hAnsi="Lato" w:cs="Times New Roman"/>
                <w:iCs/>
                <w:color w:val="000000" w:themeColor="text1"/>
                <w:sz w:val="20"/>
                <w:szCs w:val="20"/>
                <w:lang w:eastAsia="pl-PL"/>
              </w:rPr>
              <w:t>)</w:t>
            </w:r>
          </w:p>
        </w:tc>
      </w:tr>
      <w:tr w:rsidR="003043BB" w:rsidRPr="00C758B1" w14:paraId="677C3F5C" w14:textId="77777777" w:rsidTr="00AD51D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592" w:type="pct"/>
          </w:tcPr>
          <w:p w14:paraId="479D7245" w14:textId="77777777" w:rsidR="003043BB" w:rsidRPr="00270AE5" w:rsidRDefault="003043BB"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color w:val="000000" w:themeColor="text1"/>
                <w:sz w:val="20"/>
                <w:szCs w:val="20"/>
                <w:lang w:eastAsia="pl-PL"/>
              </w:rPr>
              <w:t>30-dni nadzwyczajnie wysokiego zapotrzebowania</w:t>
            </w:r>
          </w:p>
        </w:tc>
        <w:tc>
          <w:tcPr>
            <w:tcW w:w="2408" w:type="pct"/>
          </w:tcPr>
          <w:p w14:paraId="7E358D57" w14:textId="0CA4CE33" w:rsidR="003043BB" w:rsidRPr="00270AE5" w:rsidRDefault="003043BB" w:rsidP="00983C18">
            <w:pPr>
              <w:spacing w:before="20" w:after="20" w:line="276" w:lineRule="auto"/>
              <w:jc w:val="center"/>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iCs/>
                <w:color w:val="000000" w:themeColor="text1"/>
                <w:sz w:val="20"/>
                <w:szCs w:val="20"/>
                <w:lang w:eastAsia="pl-PL"/>
              </w:rPr>
            </w:pPr>
            <w:r w:rsidRPr="00270AE5">
              <w:rPr>
                <w:rFonts w:ascii="Lato" w:eastAsia="Times New Roman" w:hAnsi="Lato" w:cs="Times New Roman"/>
                <w:iCs/>
                <w:color w:val="000000" w:themeColor="text1"/>
                <w:sz w:val="20"/>
                <w:szCs w:val="20"/>
                <w:lang w:eastAsia="pl-PL"/>
              </w:rPr>
              <w:t>40,</w:t>
            </w:r>
            <w:r w:rsidR="006975A4" w:rsidRPr="00270AE5">
              <w:rPr>
                <w:rFonts w:ascii="Lato" w:eastAsia="Times New Roman" w:hAnsi="Lato" w:cs="Times New Roman"/>
                <w:iCs/>
                <w:color w:val="000000" w:themeColor="text1"/>
                <w:sz w:val="20"/>
                <w:szCs w:val="20"/>
                <w:lang w:eastAsia="pl-PL"/>
              </w:rPr>
              <w:t xml:space="preserve">89 </w:t>
            </w:r>
            <w:r w:rsidRPr="00270AE5">
              <w:rPr>
                <w:rFonts w:ascii="Lato" w:eastAsia="Times New Roman" w:hAnsi="Lato" w:cs="Times New Roman"/>
                <w:iCs/>
                <w:color w:val="000000" w:themeColor="text1"/>
                <w:sz w:val="20"/>
                <w:szCs w:val="20"/>
                <w:lang w:eastAsia="pl-PL"/>
              </w:rPr>
              <w:t>(</w:t>
            </w:r>
            <w:r w:rsidR="00B76612" w:rsidRPr="00270AE5">
              <w:rPr>
                <w:rFonts w:ascii="Lato" w:eastAsia="Times New Roman" w:hAnsi="Lato" w:cs="Times New Roman"/>
                <w:iCs/>
                <w:color w:val="000000" w:themeColor="text1"/>
                <w:sz w:val="20"/>
                <w:szCs w:val="20"/>
                <w:lang w:eastAsia="pl-PL"/>
              </w:rPr>
              <w:t>446,25</w:t>
            </w:r>
            <w:r w:rsidRPr="00270AE5">
              <w:rPr>
                <w:rFonts w:ascii="Lato" w:eastAsia="Times New Roman" w:hAnsi="Lato" w:cs="Times New Roman"/>
                <w:iCs/>
                <w:color w:val="000000" w:themeColor="text1"/>
                <w:sz w:val="20"/>
                <w:szCs w:val="20"/>
                <w:lang w:eastAsia="pl-PL"/>
              </w:rPr>
              <w:t>)</w:t>
            </w:r>
          </w:p>
        </w:tc>
      </w:tr>
      <w:tr w:rsidR="003043BB" w:rsidRPr="00C758B1" w14:paraId="0AF94236" w14:textId="77777777" w:rsidTr="00CE63C5">
        <w:trPr>
          <w:trHeight w:val="158"/>
          <w:jc w:val="center"/>
        </w:trPr>
        <w:tc>
          <w:tcPr>
            <w:cnfStyle w:val="001000000000" w:firstRow="0" w:lastRow="0" w:firstColumn="1" w:lastColumn="0" w:oddVBand="0" w:evenVBand="0" w:oddHBand="0" w:evenHBand="0" w:firstRowFirstColumn="0" w:firstRowLastColumn="0" w:lastRowFirstColumn="0" w:lastRowLastColumn="0"/>
            <w:tcW w:w="2592" w:type="pct"/>
          </w:tcPr>
          <w:p w14:paraId="249796E6" w14:textId="77777777" w:rsidR="003043BB" w:rsidRPr="00270AE5" w:rsidRDefault="003043BB" w:rsidP="00727892">
            <w:pPr>
              <w:spacing w:before="20" w:after="20" w:line="276" w:lineRule="auto"/>
              <w:jc w:val="left"/>
              <w:rPr>
                <w:rFonts w:ascii="Lato" w:eastAsia="Times New Roman" w:hAnsi="Lato" w:cs="Times New Roman"/>
                <w:b w:val="0"/>
                <w:bCs w:val="0"/>
                <w:iCs/>
                <w:color w:val="000000" w:themeColor="text1"/>
                <w:sz w:val="20"/>
                <w:szCs w:val="20"/>
                <w:lang w:eastAsia="pl-PL"/>
              </w:rPr>
            </w:pPr>
            <w:r w:rsidRPr="00270AE5">
              <w:rPr>
                <w:rFonts w:ascii="Lato" w:eastAsia="Times New Roman" w:hAnsi="Lato" w:cs="Times New Roman"/>
                <w:b w:val="0"/>
                <w:bCs w:val="0"/>
                <w:iCs/>
                <w:color w:val="000000" w:themeColor="text1"/>
                <w:sz w:val="20"/>
                <w:szCs w:val="20"/>
                <w:lang w:eastAsia="pl-PL"/>
              </w:rPr>
              <w:t>30-dni zakłóceń w największej pojedynczej infrastrukturze gazowej</w:t>
            </w:r>
          </w:p>
        </w:tc>
        <w:tc>
          <w:tcPr>
            <w:tcW w:w="2408" w:type="pct"/>
          </w:tcPr>
          <w:p w14:paraId="6684AD4D" w14:textId="29873EA4" w:rsidR="003043BB" w:rsidRPr="00270AE5" w:rsidRDefault="00790950" w:rsidP="00983C18">
            <w:pPr>
              <w:spacing w:before="20" w:after="20" w:line="276" w:lineRule="auto"/>
              <w:jc w:val="center"/>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iCs/>
                <w:color w:val="000000" w:themeColor="text1"/>
                <w:sz w:val="20"/>
                <w:szCs w:val="20"/>
                <w:lang w:eastAsia="pl-PL"/>
              </w:rPr>
            </w:pPr>
            <w:r w:rsidRPr="00270AE5">
              <w:rPr>
                <w:rFonts w:ascii="Lato" w:eastAsia="Times New Roman" w:hAnsi="Lato" w:cs="Times New Roman"/>
                <w:iCs/>
                <w:color w:val="000000" w:themeColor="text1"/>
                <w:sz w:val="20"/>
                <w:szCs w:val="20"/>
                <w:lang w:eastAsia="pl-PL"/>
              </w:rPr>
              <w:t>32,11</w:t>
            </w:r>
            <w:r w:rsidR="003043BB" w:rsidRPr="00270AE5">
              <w:rPr>
                <w:rFonts w:ascii="Lato" w:eastAsia="Times New Roman" w:hAnsi="Lato" w:cs="Times New Roman"/>
                <w:iCs/>
                <w:color w:val="000000" w:themeColor="text1"/>
                <w:sz w:val="20"/>
                <w:szCs w:val="20"/>
                <w:lang w:eastAsia="pl-PL"/>
              </w:rPr>
              <w:t xml:space="preserve"> (</w:t>
            </w:r>
            <w:r w:rsidR="005A2A0A" w:rsidRPr="00270AE5">
              <w:rPr>
                <w:rFonts w:ascii="Lato" w:eastAsia="Times New Roman" w:hAnsi="Lato" w:cs="Times New Roman"/>
                <w:iCs/>
                <w:color w:val="000000" w:themeColor="text1"/>
                <w:sz w:val="20"/>
                <w:szCs w:val="20"/>
                <w:lang w:eastAsia="pl-PL"/>
              </w:rPr>
              <w:t>350,5</w:t>
            </w:r>
            <w:r w:rsidR="003043BB" w:rsidRPr="00270AE5">
              <w:rPr>
                <w:rFonts w:ascii="Lato" w:eastAsia="Times New Roman" w:hAnsi="Lato" w:cs="Times New Roman"/>
                <w:iCs/>
                <w:color w:val="000000" w:themeColor="text1"/>
                <w:sz w:val="20"/>
                <w:szCs w:val="20"/>
                <w:lang w:eastAsia="pl-PL"/>
              </w:rPr>
              <w:t>)</w:t>
            </w:r>
          </w:p>
        </w:tc>
      </w:tr>
    </w:tbl>
    <w:p w14:paraId="74ECDECF" w14:textId="77777777" w:rsidR="00381EF8" w:rsidRDefault="00381EF8" w:rsidP="00CE63C5">
      <w:pPr>
        <w:spacing w:line="276" w:lineRule="auto"/>
        <w:ind w:firstLine="708"/>
        <w:rPr>
          <w:rFonts w:ascii="Lato" w:hAnsi="Lato"/>
        </w:rPr>
      </w:pPr>
    </w:p>
    <w:p w14:paraId="438111F7" w14:textId="32102F21" w:rsidR="001B0B6F" w:rsidRDefault="003043BB" w:rsidP="00650562">
      <w:pPr>
        <w:spacing w:after="60" w:line="276" w:lineRule="auto"/>
        <w:ind w:firstLine="708"/>
        <w:rPr>
          <w:rFonts w:ascii="Lato" w:hAnsi="Lato"/>
        </w:rPr>
      </w:pPr>
      <w:r w:rsidRPr="00FA13F0">
        <w:rPr>
          <w:rFonts w:ascii="Lato" w:hAnsi="Lato"/>
        </w:rPr>
        <w:t xml:space="preserve">W przypadku stanu nadzwyczajnego, w sytuacji uruchomienia środków nierynkowych, wolumen zużycia </w:t>
      </w:r>
      <w:r w:rsidR="001B0B6F">
        <w:rPr>
          <w:rFonts w:ascii="Lato" w:hAnsi="Lato"/>
        </w:rPr>
        <w:t xml:space="preserve">gazu ziemnego </w:t>
      </w:r>
      <w:r w:rsidRPr="00FA13F0">
        <w:rPr>
          <w:rFonts w:ascii="Lato" w:hAnsi="Lato"/>
        </w:rPr>
        <w:t xml:space="preserve">określony dla standardu dostaw może być </w:t>
      </w:r>
      <w:r w:rsidR="004D252B" w:rsidRPr="00FA13F0">
        <w:rPr>
          <w:rFonts w:ascii="Lato" w:hAnsi="Lato"/>
        </w:rPr>
        <w:t>dodatkowo uzupełniany z</w:t>
      </w:r>
      <w:r w:rsidRPr="00FA13F0">
        <w:rPr>
          <w:rFonts w:ascii="Lato" w:hAnsi="Lato"/>
        </w:rPr>
        <w:t xml:space="preserve"> zapas</w:t>
      </w:r>
      <w:r w:rsidR="004D252B" w:rsidRPr="00FA13F0">
        <w:rPr>
          <w:rFonts w:ascii="Lato" w:hAnsi="Lato"/>
        </w:rPr>
        <w:t>ów</w:t>
      </w:r>
      <w:r w:rsidRPr="00FA13F0">
        <w:rPr>
          <w:rFonts w:ascii="Lato" w:hAnsi="Lato"/>
        </w:rPr>
        <w:t xml:space="preserve"> obowiązkowy</w:t>
      </w:r>
      <w:r w:rsidR="004D252B" w:rsidRPr="00FA13F0">
        <w:rPr>
          <w:rFonts w:ascii="Lato" w:hAnsi="Lato"/>
        </w:rPr>
        <w:t>ch</w:t>
      </w:r>
      <w:r w:rsidR="00727892">
        <w:rPr>
          <w:rFonts w:ascii="Lato" w:hAnsi="Lato"/>
        </w:rPr>
        <w:t xml:space="preserve"> gazu ziemnego</w:t>
      </w:r>
      <w:r w:rsidRPr="00FA13F0">
        <w:rPr>
          <w:rFonts w:ascii="Lato" w:hAnsi="Lato"/>
        </w:rPr>
        <w:t xml:space="preserve">. Warunkiem </w:t>
      </w:r>
      <w:r w:rsidR="00786A20" w:rsidRPr="00FA13F0">
        <w:rPr>
          <w:rFonts w:ascii="Lato" w:hAnsi="Lato"/>
        </w:rPr>
        <w:t>koniecznym</w:t>
      </w:r>
      <w:r w:rsidR="00727892">
        <w:rPr>
          <w:rFonts w:ascii="Lato" w:hAnsi="Lato"/>
        </w:rPr>
        <w:t xml:space="preserve"> dla</w:t>
      </w:r>
      <w:r w:rsidR="00786A20" w:rsidRPr="00FA13F0">
        <w:rPr>
          <w:rFonts w:ascii="Lato" w:hAnsi="Lato"/>
        </w:rPr>
        <w:t xml:space="preserve"> </w:t>
      </w:r>
      <w:r w:rsidRPr="00FA13F0">
        <w:rPr>
          <w:rFonts w:ascii="Lato" w:hAnsi="Lato"/>
        </w:rPr>
        <w:t>uruchomieni</w:t>
      </w:r>
      <w:r w:rsidR="00786A20" w:rsidRPr="00FA13F0">
        <w:rPr>
          <w:rFonts w:ascii="Lato" w:hAnsi="Lato"/>
        </w:rPr>
        <w:t>e</w:t>
      </w:r>
      <w:r w:rsidRPr="00FA13F0">
        <w:rPr>
          <w:rFonts w:ascii="Lato" w:hAnsi="Lato"/>
        </w:rPr>
        <w:t xml:space="preserve"> zapasów obowiązkowych jest wykorzystanie wszystkich dostępnych środków rynkowych. Uruchomienie zapasów obowiązkowych gazu ziemnego znacząco </w:t>
      </w:r>
      <w:r w:rsidR="001B0B6F">
        <w:rPr>
          <w:rFonts w:ascii="Lato" w:hAnsi="Lato"/>
        </w:rPr>
        <w:t xml:space="preserve">niweluje </w:t>
      </w:r>
      <w:r w:rsidRPr="00FA13F0">
        <w:rPr>
          <w:rFonts w:ascii="Lato" w:hAnsi="Lato"/>
        </w:rPr>
        <w:t xml:space="preserve">skutki </w:t>
      </w:r>
      <w:r w:rsidR="00786A20" w:rsidRPr="00FA13F0">
        <w:rPr>
          <w:rFonts w:ascii="Lato" w:hAnsi="Lato"/>
        </w:rPr>
        <w:t>ewentualnych</w:t>
      </w:r>
      <w:r w:rsidRPr="00FA13F0">
        <w:rPr>
          <w:rFonts w:ascii="Lato" w:hAnsi="Lato"/>
        </w:rPr>
        <w:t xml:space="preserve"> zakłóceń w dostawach gazu ziemnego. </w:t>
      </w:r>
      <w:r w:rsidR="001B0B6F">
        <w:rPr>
          <w:rFonts w:ascii="Lato" w:hAnsi="Lato"/>
        </w:rPr>
        <w:t xml:space="preserve">W </w:t>
      </w:r>
      <w:r w:rsidRPr="00FA13F0">
        <w:rPr>
          <w:rFonts w:ascii="Lato" w:hAnsi="Lato"/>
        </w:rPr>
        <w:t>sytuacji gdy dostępne środki rynkowe okażą się niewystarczające do zabezpieczenie dostaw gazu ziemnego do odbiorców, w szczególności odbiorców chronionych</w:t>
      </w:r>
      <w:r w:rsidR="001B0B6F">
        <w:rPr>
          <w:rFonts w:ascii="Lato" w:hAnsi="Lato"/>
        </w:rPr>
        <w:t>, zapasy obowiązkowe gazu ziemnego</w:t>
      </w:r>
      <w:r w:rsidR="001B0B6F" w:rsidRPr="00FA13F0">
        <w:rPr>
          <w:rFonts w:ascii="Lato" w:hAnsi="Lato"/>
        </w:rPr>
        <w:t>, jako środek nierynkowy, stanowi</w:t>
      </w:r>
      <w:r w:rsidR="001B0B6F">
        <w:rPr>
          <w:rFonts w:ascii="Lato" w:hAnsi="Lato"/>
        </w:rPr>
        <w:t>ą</w:t>
      </w:r>
      <w:r w:rsidR="001B0B6F" w:rsidRPr="00FA13F0">
        <w:rPr>
          <w:rFonts w:ascii="Lato" w:hAnsi="Lato"/>
        </w:rPr>
        <w:t xml:space="preserve"> </w:t>
      </w:r>
      <w:r w:rsidR="001B0B6F">
        <w:rPr>
          <w:rFonts w:ascii="Lato" w:hAnsi="Lato"/>
        </w:rPr>
        <w:t xml:space="preserve">gwarancję zapewnienia </w:t>
      </w:r>
      <w:r w:rsidR="001B0B6F" w:rsidRPr="00FA13F0">
        <w:rPr>
          <w:rFonts w:ascii="Lato" w:hAnsi="Lato"/>
        </w:rPr>
        <w:t xml:space="preserve">bezpieczeństwa </w:t>
      </w:r>
      <w:r w:rsidR="001B0B6F">
        <w:rPr>
          <w:rFonts w:ascii="Lato" w:hAnsi="Lato"/>
        </w:rPr>
        <w:t xml:space="preserve">funkcjonowania </w:t>
      </w:r>
      <w:r w:rsidR="001B0B6F" w:rsidRPr="00FA13F0">
        <w:rPr>
          <w:rFonts w:ascii="Lato" w:hAnsi="Lato"/>
        </w:rPr>
        <w:t>systemu gazowego</w:t>
      </w:r>
      <w:r w:rsidR="001B0B6F">
        <w:rPr>
          <w:rFonts w:ascii="Lato" w:hAnsi="Lato"/>
        </w:rPr>
        <w:t xml:space="preserve">. </w:t>
      </w:r>
    </w:p>
    <w:p w14:paraId="43CA9F3A" w14:textId="56CC28CC" w:rsidR="00BB22EE" w:rsidRDefault="00CB2DC6" w:rsidP="00650562">
      <w:pPr>
        <w:spacing w:after="60" w:line="276" w:lineRule="auto"/>
        <w:rPr>
          <w:rFonts w:ascii="Lato" w:hAnsi="Lato"/>
        </w:rPr>
      </w:pPr>
      <w:r w:rsidRPr="00FA13F0">
        <w:rPr>
          <w:rFonts w:ascii="Lato" w:hAnsi="Lato"/>
        </w:rPr>
        <w:tab/>
      </w:r>
      <w:r w:rsidR="003043BB" w:rsidRPr="00FA13F0">
        <w:rPr>
          <w:rFonts w:ascii="Lato" w:hAnsi="Lato"/>
        </w:rPr>
        <w:t>Wolumen zapasów obowiązkowych</w:t>
      </w:r>
      <w:r w:rsidR="00BB22EE">
        <w:rPr>
          <w:rFonts w:ascii="Lato" w:hAnsi="Lato"/>
        </w:rPr>
        <w:t xml:space="preserve"> gazu ziemnego </w:t>
      </w:r>
      <w:r w:rsidR="003043BB" w:rsidRPr="00FA13F0">
        <w:rPr>
          <w:rFonts w:ascii="Lato" w:hAnsi="Lato"/>
        </w:rPr>
        <w:t xml:space="preserve">nieznacznie przewyższa ilość gazu ziemnego potrzebnego na spełnienie standardu w zakresie dostaw, określonego </w:t>
      </w:r>
      <w:r w:rsidR="003043BB" w:rsidRPr="00FA13F0">
        <w:rPr>
          <w:rFonts w:ascii="Lato" w:hAnsi="Lato"/>
        </w:rPr>
        <w:lastRenderedPageBreak/>
        <w:t>zgodnie z art. 6 ust 1 rozporządzenia 2017/1938. Oznacza to, że beneficjentem systemu zapasów obowiązkowych</w:t>
      </w:r>
      <w:r w:rsidR="00BB22EE">
        <w:rPr>
          <w:rFonts w:ascii="Lato" w:hAnsi="Lato"/>
        </w:rPr>
        <w:t xml:space="preserve"> gazu ziemnego</w:t>
      </w:r>
      <w:r w:rsidR="00192491">
        <w:rPr>
          <w:rFonts w:ascii="Lato" w:hAnsi="Lato"/>
        </w:rPr>
        <w:t>,</w:t>
      </w:r>
      <w:r w:rsidR="003043BB" w:rsidRPr="00FA13F0">
        <w:rPr>
          <w:rFonts w:ascii="Lato" w:hAnsi="Lato"/>
        </w:rPr>
        <w:t xml:space="preserve"> jako środka służącego do wypełnienia standardu w zakresie dostaw</w:t>
      </w:r>
      <w:r w:rsidR="00BB22EE">
        <w:rPr>
          <w:rFonts w:ascii="Lato" w:hAnsi="Lato"/>
        </w:rPr>
        <w:t>,</w:t>
      </w:r>
      <w:r w:rsidR="003043BB" w:rsidRPr="00FA13F0">
        <w:rPr>
          <w:rFonts w:ascii="Lato" w:hAnsi="Lato"/>
        </w:rPr>
        <w:t xml:space="preserve"> </w:t>
      </w:r>
      <w:r w:rsidR="00786A20" w:rsidRPr="00FA13F0">
        <w:rPr>
          <w:rFonts w:ascii="Lato" w:hAnsi="Lato"/>
        </w:rPr>
        <w:t>oprócz</w:t>
      </w:r>
      <w:r w:rsidR="003043BB" w:rsidRPr="00FA13F0">
        <w:rPr>
          <w:rFonts w:ascii="Lato" w:hAnsi="Lato"/>
        </w:rPr>
        <w:t xml:space="preserve"> odbiorc</w:t>
      </w:r>
      <w:r w:rsidR="00786A20" w:rsidRPr="00FA13F0">
        <w:rPr>
          <w:rFonts w:ascii="Lato" w:hAnsi="Lato"/>
        </w:rPr>
        <w:t>ów</w:t>
      </w:r>
      <w:r w:rsidR="003043BB" w:rsidRPr="00FA13F0">
        <w:rPr>
          <w:rFonts w:ascii="Lato" w:hAnsi="Lato"/>
        </w:rPr>
        <w:t xml:space="preserve"> chroni</w:t>
      </w:r>
      <w:r w:rsidR="00786A20" w:rsidRPr="00FA13F0">
        <w:rPr>
          <w:rFonts w:ascii="Lato" w:hAnsi="Lato"/>
        </w:rPr>
        <w:t>onych</w:t>
      </w:r>
      <w:r w:rsidR="00BB22EE">
        <w:rPr>
          <w:rFonts w:ascii="Lato" w:hAnsi="Lato"/>
        </w:rPr>
        <w:t xml:space="preserve"> mogą być</w:t>
      </w:r>
      <w:r w:rsidR="003043BB" w:rsidRPr="00FA13F0">
        <w:rPr>
          <w:rFonts w:ascii="Lato" w:hAnsi="Lato"/>
        </w:rPr>
        <w:t xml:space="preserve"> również</w:t>
      </w:r>
      <w:r w:rsidR="00BB22EE">
        <w:rPr>
          <w:rFonts w:ascii="Lato" w:hAnsi="Lato"/>
        </w:rPr>
        <w:t xml:space="preserve"> - </w:t>
      </w:r>
      <w:r w:rsidR="00786A20" w:rsidRPr="00FA13F0">
        <w:rPr>
          <w:rFonts w:ascii="Lato" w:hAnsi="Lato"/>
        </w:rPr>
        <w:t>w pewnym zakresie</w:t>
      </w:r>
      <w:r w:rsidR="00BB22EE">
        <w:rPr>
          <w:rFonts w:ascii="Lato" w:hAnsi="Lato"/>
        </w:rPr>
        <w:t xml:space="preserve"> -</w:t>
      </w:r>
      <w:r w:rsidR="00786A20" w:rsidRPr="00FA13F0">
        <w:rPr>
          <w:rFonts w:ascii="Lato" w:hAnsi="Lato"/>
        </w:rPr>
        <w:t xml:space="preserve"> </w:t>
      </w:r>
      <w:r w:rsidR="003043BB" w:rsidRPr="00FA13F0">
        <w:rPr>
          <w:rFonts w:ascii="Lato" w:hAnsi="Lato"/>
        </w:rPr>
        <w:t>inn</w:t>
      </w:r>
      <w:r w:rsidR="00786A20" w:rsidRPr="00FA13F0">
        <w:rPr>
          <w:rFonts w:ascii="Lato" w:hAnsi="Lato"/>
        </w:rPr>
        <w:t>i</w:t>
      </w:r>
      <w:r w:rsidR="003043BB" w:rsidRPr="00FA13F0">
        <w:rPr>
          <w:rFonts w:ascii="Lato" w:hAnsi="Lato"/>
        </w:rPr>
        <w:t xml:space="preserve"> odbiorc</w:t>
      </w:r>
      <w:r w:rsidR="00786A20" w:rsidRPr="00FA13F0">
        <w:rPr>
          <w:rFonts w:ascii="Lato" w:hAnsi="Lato"/>
        </w:rPr>
        <w:t>y, co ma związek z hydrauliką systemu gazowego, tj. koniecznością kontynuowania w pewnych przypadkach dostaw do odbiorców niechronionych, aby możliwe było utrzymanie odpowiedniego ciśnienia w sieci i dostarczenie gazu ziemnego do odbiorców chronionych</w:t>
      </w:r>
      <w:r w:rsidR="1601FBEF" w:rsidRPr="00FA13F0">
        <w:rPr>
          <w:rFonts w:ascii="Lato" w:hAnsi="Lato"/>
        </w:rPr>
        <w:t>,</w:t>
      </w:r>
      <w:r w:rsidR="00786A20" w:rsidRPr="00FA13F0">
        <w:rPr>
          <w:rFonts w:ascii="Lato" w:hAnsi="Lato"/>
        </w:rPr>
        <w:t xml:space="preserve"> przyłączonych do końcowych odcinków systemu gazowego</w:t>
      </w:r>
      <w:r w:rsidR="003043BB" w:rsidRPr="00FA13F0">
        <w:rPr>
          <w:rFonts w:ascii="Lato" w:hAnsi="Lato"/>
        </w:rPr>
        <w:t xml:space="preserve">. </w:t>
      </w:r>
    </w:p>
    <w:p w14:paraId="11747A44" w14:textId="53DF33FD" w:rsidR="003043BB" w:rsidRPr="00FA13F0" w:rsidRDefault="00BB22EE" w:rsidP="00650562">
      <w:pPr>
        <w:spacing w:after="60" w:line="276" w:lineRule="auto"/>
        <w:ind w:firstLine="708"/>
        <w:rPr>
          <w:rFonts w:ascii="Lato" w:hAnsi="Lato"/>
        </w:rPr>
      </w:pPr>
      <w:r>
        <w:rPr>
          <w:rFonts w:ascii="Lato" w:hAnsi="Lato"/>
        </w:rPr>
        <w:t xml:space="preserve">Wybór </w:t>
      </w:r>
      <w:r w:rsidR="003043BB" w:rsidRPr="00FA13F0">
        <w:rPr>
          <w:rFonts w:ascii="Lato" w:hAnsi="Lato"/>
        </w:rPr>
        <w:t>środk</w:t>
      </w:r>
      <w:r>
        <w:rPr>
          <w:rFonts w:ascii="Lato" w:hAnsi="Lato"/>
        </w:rPr>
        <w:t>ów</w:t>
      </w:r>
      <w:r w:rsidR="003043BB" w:rsidRPr="00FA13F0">
        <w:rPr>
          <w:rFonts w:ascii="Lato" w:hAnsi="Lato"/>
        </w:rPr>
        <w:t xml:space="preserve"> mając</w:t>
      </w:r>
      <w:r>
        <w:rPr>
          <w:rFonts w:ascii="Lato" w:hAnsi="Lato"/>
        </w:rPr>
        <w:t>ych</w:t>
      </w:r>
      <w:r w:rsidR="003043BB" w:rsidRPr="00FA13F0">
        <w:rPr>
          <w:rFonts w:ascii="Lato" w:hAnsi="Lato"/>
        </w:rPr>
        <w:t xml:space="preserve"> na celu zapewnienie bezpieczeństwa dostaw</w:t>
      </w:r>
      <w:r>
        <w:rPr>
          <w:rFonts w:ascii="Lato" w:hAnsi="Lato"/>
        </w:rPr>
        <w:t xml:space="preserve">, jak również określenie podmiotów </w:t>
      </w:r>
      <w:r w:rsidR="003043BB" w:rsidRPr="00FA13F0">
        <w:rPr>
          <w:rFonts w:ascii="Lato" w:hAnsi="Lato"/>
        </w:rPr>
        <w:t>zobowiązan</w:t>
      </w:r>
      <w:r>
        <w:rPr>
          <w:rFonts w:ascii="Lato" w:hAnsi="Lato"/>
        </w:rPr>
        <w:t>ych</w:t>
      </w:r>
      <w:r w:rsidR="003043BB" w:rsidRPr="00FA13F0">
        <w:rPr>
          <w:rFonts w:ascii="Lato" w:hAnsi="Lato"/>
        </w:rPr>
        <w:t xml:space="preserve"> do podjęcia takich środków</w:t>
      </w:r>
      <w:r>
        <w:rPr>
          <w:rFonts w:ascii="Lato" w:hAnsi="Lato"/>
        </w:rPr>
        <w:t xml:space="preserve">, </w:t>
      </w:r>
      <w:r w:rsidR="003043BB" w:rsidRPr="00FA13F0">
        <w:rPr>
          <w:rFonts w:ascii="Lato" w:hAnsi="Lato"/>
        </w:rPr>
        <w:t>należy</w:t>
      </w:r>
      <w:r w:rsidR="00727892">
        <w:rPr>
          <w:rFonts w:ascii="Lato" w:hAnsi="Lato"/>
        </w:rPr>
        <w:t xml:space="preserve"> -</w:t>
      </w:r>
      <w:r w:rsidR="003043BB" w:rsidRPr="00FA13F0">
        <w:rPr>
          <w:rFonts w:ascii="Lato" w:hAnsi="Lato"/>
        </w:rPr>
        <w:t xml:space="preserve"> </w:t>
      </w:r>
      <w:r w:rsidR="003043BB" w:rsidRPr="00FA13F0">
        <w:rPr>
          <w:rFonts w:ascii="Lato" w:hAnsi="Lato" w:cs="TimesNewRomanPSMT"/>
        </w:rPr>
        <w:t>zgodnie z rozporządzeniem 2017/1938 (w szczególności art. 5 ust. 1 i art. 6 ust. 1)</w:t>
      </w:r>
      <w:r w:rsidR="00727892">
        <w:rPr>
          <w:rFonts w:ascii="Lato" w:hAnsi="Lato" w:cs="TimesNewRomanPSMT"/>
        </w:rPr>
        <w:t xml:space="preserve"> -</w:t>
      </w:r>
      <w:r w:rsidR="003043BB" w:rsidRPr="00FA13F0">
        <w:rPr>
          <w:rFonts w:ascii="Lato" w:hAnsi="Lato"/>
        </w:rPr>
        <w:t xml:space="preserve"> do właściwych organów poszczególnych państw członkowskich.</w:t>
      </w:r>
    </w:p>
    <w:p w14:paraId="10E4D2D6" w14:textId="78325901" w:rsidR="003043BB" w:rsidRPr="00FA13F0" w:rsidRDefault="00CB2DC6" w:rsidP="00650562">
      <w:pPr>
        <w:spacing w:after="60" w:line="276" w:lineRule="auto"/>
        <w:rPr>
          <w:rFonts w:ascii="Lato" w:hAnsi="Lato"/>
        </w:rPr>
      </w:pPr>
      <w:r w:rsidRPr="00FA13F0">
        <w:rPr>
          <w:rFonts w:ascii="Lato" w:hAnsi="Lato"/>
        </w:rPr>
        <w:tab/>
      </w:r>
      <w:r w:rsidR="00727892">
        <w:rPr>
          <w:rFonts w:ascii="Lato" w:hAnsi="Lato"/>
        </w:rPr>
        <w:t>Z uwagi na doświadczenia</w:t>
      </w:r>
      <w:r w:rsidR="00727892" w:rsidRPr="00FA13F0">
        <w:rPr>
          <w:rFonts w:ascii="Lato" w:hAnsi="Lato"/>
        </w:rPr>
        <w:t xml:space="preserve"> historyczne Polski</w:t>
      </w:r>
      <w:r w:rsidR="00727892">
        <w:rPr>
          <w:rFonts w:ascii="Lato" w:hAnsi="Lato"/>
        </w:rPr>
        <w:t xml:space="preserve">, </w:t>
      </w:r>
      <w:r w:rsidR="00BB22EE">
        <w:rPr>
          <w:rFonts w:ascii="Lato" w:hAnsi="Lato"/>
        </w:rPr>
        <w:t>utrzymywanie</w:t>
      </w:r>
      <w:r w:rsidR="00727892">
        <w:rPr>
          <w:rFonts w:ascii="Lato" w:hAnsi="Lato"/>
        </w:rPr>
        <w:t xml:space="preserve"> zapasów obowiązkowych gazu ziemnego </w:t>
      </w:r>
      <w:r w:rsidR="003043BB" w:rsidRPr="00FA13F0">
        <w:rPr>
          <w:rFonts w:ascii="Lato" w:hAnsi="Lato"/>
        </w:rPr>
        <w:t>jest kluczowe</w:t>
      </w:r>
      <w:r w:rsidR="00BB22EE">
        <w:rPr>
          <w:rFonts w:ascii="Lato" w:hAnsi="Lato"/>
        </w:rPr>
        <w:t xml:space="preserve"> dla </w:t>
      </w:r>
      <w:r w:rsidR="003043BB" w:rsidRPr="00BB22EE">
        <w:rPr>
          <w:rFonts w:ascii="Lato" w:hAnsi="Lato"/>
          <w:szCs w:val="24"/>
        </w:rPr>
        <w:t>zapewni</w:t>
      </w:r>
      <w:r w:rsidR="00BB22EE" w:rsidRPr="00BB22EE">
        <w:rPr>
          <w:rFonts w:ascii="Lato" w:hAnsi="Lato"/>
          <w:szCs w:val="24"/>
        </w:rPr>
        <w:t>enia</w:t>
      </w:r>
      <w:r w:rsidR="003043BB" w:rsidRPr="00BB22EE">
        <w:rPr>
          <w:rFonts w:ascii="Lato" w:hAnsi="Lato"/>
          <w:szCs w:val="24"/>
        </w:rPr>
        <w:t xml:space="preserve"> stabilnoś</w:t>
      </w:r>
      <w:r w:rsidR="00BB22EE" w:rsidRPr="00BB22EE">
        <w:rPr>
          <w:rFonts w:ascii="Lato" w:hAnsi="Lato"/>
          <w:szCs w:val="24"/>
        </w:rPr>
        <w:t>ci</w:t>
      </w:r>
      <w:r w:rsidR="003043BB" w:rsidRPr="00BB22EE">
        <w:rPr>
          <w:rFonts w:ascii="Lato" w:hAnsi="Lato"/>
          <w:szCs w:val="24"/>
        </w:rPr>
        <w:t xml:space="preserve"> i</w:t>
      </w:r>
      <w:r w:rsidR="00505522" w:rsidRPr="00BB22EE">
        <w:rPr>
          <w:rFonts w:ascii="Lato" w:hAnsi="Lato"/>
          <w:szCs w:val="24"/>
        </w:rPr>
        <w:t xml:space="preserve"> </w:t>
      </w:r>
      <w:r w:rsidR="003043BB" w:rsidRPr="00BB22EE">
        <w:rPr>
          <w:rFonts w:ascii="Lato" w:hAnsi="Lato"/>
          <w:szCs w:val="24"/>
        </w:rPr>
        <w:t>odpornoś</w:t>
      </w:r>
      <w:r w:rsidR="00BB22EE" w:rsidRPr="00BB22EE">
        <w:rPr>
          <w:rFonts w:ascii="Lato" w:hAnsi="Lato"/>
          <w:szCs w:val="24"/>
        </w:rPr>
        <w:t>ci</w:t>
      </w:r>
      <w:r w:rsidR="003043BB" w:rsidRPr="00BB22EE">
        <w:rPr>
          <w:rFonts w:ascii="Lato" w:hAnsi="Lato"/>
          <w:szCs w:val="24"/>
        </w:rPr>
        <w:t xml:space="preserve"> polskiego systemu gazowego</w:t>
      </w:r>
      <w:r w:rsidR="00727892" w:rsidRPr="00BB22EE">
        <w:rPr>
          <w:rFonts w:ascii="Lato" w:hAnsi="Lato"/>
          <w:szCs w:val="24"/>
        </w:rPr>
        <w:t xml:space="preserve">. </w:t>
      </w:r>
      <w:r w:rsidR="00BB22EE" w:rsidRPr="00BB22EE">
        <w:rPr>
          <w:rFonts w:ascii="Lato" w:hAnsi="Lato"/>
          <w:szCs w:val="24"/>
        </w:rPr>
        <w:t xml:space="preserve">Polska w dużym stopniu jest uzależniona od importu gazu ziemnego, dlatego </w:t>
      </w:r>
      <w:r w:rsidR="00650562" w:rsidRPr="00BB22EE">
        <w:rPr>
          <w:rFonts w:ascii="Lato" w:hAnsi="Lato"/>
          <w:szCs w:val="24"/>
        </w:rPr>
        <w:t>głównym</w:t>
      </w:r>
      <w:r w:rsidR="00BB22EE" w:rsidRPr="00BB22EE">
        <w:rPr>
          <w:rFonts w:ascii="Lato" w:hAnsi="Lato"/>
          <w:szCs w:val="24"/>
        </w:rPr>
        <w:t xml:space="preserve"> czynnikiem wpływającym na poziom bezpieczeństwa energetycznego kraju uznaje się stabilność importu gazu ziemnego z zagranicy.</w:t>
      </w:r>
      <w:r w:rsidR="00727892" w:rsidRPr="00BB22EE">
        <w:rPr>
          <w:rFonts w:ascii="Lato" w:hAnsi="Lato"/>
          <w:szCs w:val="24"/>
        </w:rPr>
        <w:t xml:space="preserve"> </w:t>
      </w:r>
      <w:r w:rsidR="00786A20" w:rsidRPr="00BB22EE">
        <w:rPr>
          <w:rFonts w:ascii="Lato" w:hAnsi="Lato"/>
          <w:szCs w:val="24"/>
        </w:rPr>
        <w:t>Z</w:t>
      </w:r>
      <w:r w:rsidR="003043BB" w:rsidRPr="00BB22EE">
        <w:rPr>
          <w:rFonts w:ascii="Lato" w:hAnsi="Lato"/>
          <w:szCs w:val="24"/>
        </w:rPr>
        <w:t>apasy</w:t>
      </w:r>
      <w:r w:rsidR="003043BB" w:rsidRPr="00FA13F0">
        <w:rPr>
          <w:rFonts w:ascii="Lato" w:hAnsi="Lato"/>
        </w:rPr>
        <w:t xml:space="preserve"> obowiązkowe gazu ziemnego wzmacnia</w:t>
      </w:r>
      <w:r w:rsidR="00786A20" w:rsidRPr="00FA13F0">
        <w:rPr>
          <w:rFonts w:ascii="Lato" w:hAnsi="Lato"/>
        </w:rPr>
        <w:t>ją</w:t>
      </w:r>
      <w:r w:rsidR="003043BB" w:rsidRPr="00FA13F0">
        <w:rPr>
          <w:rFonts w:ascii="Lato" w:hAnsi="Lato"/>
        </w:rPr>
        <w:t xml:space="preserve"> odporność R</w:t>
      </w:r>
      <w:r w:rsidR="00192491">
        <w:rPr>
          <w:rFonts w:ascii="Lato" w:hAnsi="Lato"/>
        </w:rPr>
        <w:t>P</w:t>
      </w:r>
      <w:r w:rsidR="003043BB" w:rsidRPr="00FA13F0">
        <w:rPr>
          <w:rFonts w:ascii="Lato" w:hAnsi="Lato"/>
        </w:rPr>
        <w:t xml:space="preserve"> w przypadku wystąpienia sytuacji nadzwyczajnej oraz gwarantuj</w:t>
      </w:r>
      <w:r w:rsidR="00786A20" w:rsidRPr="00FA13F0">
        <w:rPr>
          <w:rFonts w:ascii="Lato" w:hAnsi="Lato"/>
        </w:rPr>
        <w:t>ą</w:t>
      </w:r>
      <w:r w:rsidR="003043BB" w:rsidRPr="00FA13F0">
        <w:rPr>
          <w:rFonts w:ascii="Lato" w:hAnsi="Lato"/>
        </w:rPr>
        <w:t xml:space="preserve"> stabilne warunki </w:t>
      </w:r>
      <w:r w:rsidR="00786A20" w:rsidRPr="00FA13F0">
        <w:rPr>
          <w:rFonts w:ascii="Lato" w:hAnsi="Lato"/>
        </w:rPr>
        <w:t>dostaw dla najbardziej wrażliwych odbiorców</w:t>
      </w:r>
      <w:r w:rsidR="003043BB" w:rsidRPr="00FA13F0">
        <w:rPr>
          <w:rFonts w:ascii="Lato" w:hAnsi="Lato"/>
        </w:rPr>
        <w:t>.</w:t>
      </w:r>
      <w:r w:rsidR="001502F5">
        <w:rPr>
          <w:rFonts w:ascii="Lato" w:hAnsi="Lato"/>
        </w:rPr>
        <w:t xml:space="preserve"> </w:t>
      </w:r>
      <w:r w:rsidR="001502F5" w:rsidRPr="001502F5">
        <w:rPr>
          <w:rFonts w:ascii="Lato" w:hAnsi="Lato"/>
        </w:rPr>
        <w:t>Środek jakim są zapasy obowiązkowe gazu ziemnego jest proporcjonalny, przejrzysty i niedyskryminacyjny, a także niezbędny do osiągnięcia celu, którym jest zagwarantowanie bezpieczeństwa i ciągłości dostaw gazu ziemnego.</w:t>
      </w:r>
    </w:p>
    <w:p w14:paraId="0038F4FF" w14:textId="7FBCB438" w:rsidR="00CB2DC6" w:rsidRPr="00A819AD" w:rsidRDefault="00CB2DC6" w:rsidP="00650562">
      <w:pPr>
        <w:spacing w:after="60" w:line="276" w:lineRule="auto"/>
        <w:rPr>
          <w:rFonts w:ascii="Lato" w:hAnsi="Lato"/>
        </w:rPr>
      </w:pPr>
      <w:r w:rsidRPr="00FA13F0">
        <w:rPr>
          <w:rFonts w:ascii="Lato" w:hAnsi="Lato"/>
        </w:rPr>
        <w:tab/>
      </w:r>
      <w:r w:rsidR="00BB22EE">
        <w:rPr>
          <w:rFonts w:ascii="Lato" w:hAnsi="Lato"/>
        </w:rPr>
        <w:t xml:space="preserve">Należy podkreślić, że </w:t>
      </w:r>
      <w:r w:rsidR="00A819AD">
        <w:rPr>
          <w:rFonts w:ascii="Lato" w:hAnsi="Lato"/>
        </w:rPr>
        <w:t>p</w:t>
      </w:r>
      <w:r w:rsidR="003043BB" w:rsidRPr="00FA13F0">
        <w:rPr>
          <w:rFonts w:ascii="Lato" w:hAnsi="Lato"/>
        </w:rPr>
        <w:t xml:space="preserve">ewność dostaw gazu ziemnego pozytywnie wpływa na wzrost liczby odbiorców przyłączających się do sieci gazowej, którzy </w:t>
      </w:r>
      <w:r w:rsidR="00786A20" w:rsidRPr="00FA13F0">
        <w:rPr>
          <w:rFonts w:ascii="Lato" w:hAnsi="Lato"/>
        </w:rPr>
        <w:t xml:space="preserve">planują </w:t>
      </w:r>
      <w:r w:rsidR="003043BB" w:rsidRPr="00FA13F0">
        <w:rPr>
          <w:rFonts w:ascii="Lato" w:hAnsi="Lato"/>
        </w:rPr>
        <w:t>wykorzyst</w:t>
      </w:r>
      <w:r w:rsidR="00786A20" w:rsidRPr="00FA13F0">
        <w:rPr>
          <w:rFonts w:ascii="Lato" w:hAnsi="Lato"/>
        </w:rPr>
        <w:t>ywać</w:t>
      </w:r>
      <w:r w:rsidR="003043BB" w:rsidRPr="00FA13F0">
        <w:rPr>
          <w:rFonts w:ascii="Lato" w:hAnsi="Lato"/>
        </w:rPr>
        <w:t xml:space="preserve"> gaz ziemny do celów ogrzewania budynków. W związku z</w:t>
      </w:r>
      <w:r w:rsidR="00505522">
        <w:rPr>
          <w:rFonts w:ascii="Lato" w:hAnsi="Lato"/>
        </w:rPr>
        <w:t xml:space="preserve"> </w:t>
      </w:r>
      <w:r w:rsidR="00BB22EE">
        <w:rPr>
          <w:rFonts w:ascii="Lato" w:hAnsi="Lato"/>
        </w:rPr>
        <w:t>tym</w:t>
      </w:r>
      <w:r w:rsidR="003043BB" w:rsidRPr="00FA13F0">
        <w:rPr>
          <w:rFonts w:ascii="Lato" w:hAnsi="Lato"/>
        </w:rPr>
        <w:t xml:space="preserve">, </w:t>
      </w:r>
      <w:r w:rsidR="00BB22EE">
        <w:rPr>
          <w:rFonts w:ascii="Lato" w:hAnsi="Lato"/>
        </w:rPr>
        <w:t xml:space="preserve">prawidłowe </w:t>
      </w:r>
      <w:r w:rsidR="003043BB" w:rsidRPr="00FA13F0">
        <w:rPr>
          <w:rFonts w:ascii="Lato" w:hAnsi="Lato"/>
        </w:rPr>
        <w:t>funkcjonowanie systemu zapasów obowiązkowych</w:t>
      </w:r>
      <w:r w:rsidR="00BB22EE">
        <w:rPr>
          <w:rFonts w:ascii="Lato" w:hAnsi="Lato"/>
        </w:rPr>
        <w:t xml:space="preserve"> gazu ziemnego,</w:t>
      </w:r>
      <w:r w:rsidR="003043BB" w:rsidRPr="00FA13F0">
        <w:rPr>
          <w:rFonts w:ascii="Lato" w:hAnsi="Lato"/>
        </w:rPr>
        <w:t xml:space="preserve"> jako środka gwarantującego bezpieczeństwo dostaw, </w:t>
      </w:r>
      <w:r w:rsidR="00B545CD">
        <w:rPr>
          <w:rFonts w:ascii="Lato" w:hAnsi="Lato"/>
        </w:rPr>
        <w:t xml:space="preserve">sprzyja wykorzystywaniu </w:t>
      </w:r>
      <w:r w:rsidR="003043BB" w:rsidRPr="00FA13F0">
        <w:rPr>
          <w:rFonts w:ascii="Lato" w:hAnsi="Lato"/>
        </w:rPr>
        <w:t>niskoemisyjne</w:t>
      </w:r>
      <w:r w:rsidR="00B545CD">
        <w:rPr>
          <w:rFonts w:ascii="Lato" w:hAnsi="Lato"/>
        </w:rPr>
        <w:t>go</w:t>
      </w:r>
      <w:r w:rsidR="00BB22EE">
        <w:rPr>
          <w:rFonts w:ascii="Lato" w:hAnsi="Lato"/>
        </w:rPr>
        <w:t xml:space="preserve"> </w:t>
      </w:r>
      <w:r w:rsidR="003043BB" w:rsidRPr="00FA13F0">
        <w:rPr>
          <w:rFonts w:ascii="Lato" w:hAnsi="Lato"/>
        </w:rPr>
        <w:t xml:space="preserve">źródła energii, jakim jest gaz ziemny, </w:t>
      </w:r>
      <w:r w:rsidR="00B545CD">
        <w:rPr>
          <w:rFonts w:ascii="Lato" w:hAnsi="Lato"/>
        </w:rPr>
        <w:t xml:space="preserve">do ograniczenia </w:t>
      </w:r>
      <w:r w:rsidR="003043BB" w:rsidRPr="00FA13F0">
        <w:rPr>
          <w:rFonts w:ascii="Lato" w:hAnsi="Lato"/>
        </w:rPr>
        <w:t>pozysk</w:t>
      </w:r>
      <w:r w:rsidR="00B545CD">
        <w:rPr>
          <w:rFonts w:ascii="Lato" w:hAnsi="Lato"/>
        </w:rPr>
        <w:t>iw</w:t>
      </w:r>
      <w:r w:rsidR="003043BB" w:rsidRPr="00FA13F0">
        <w:rPr>
          <w:rFonts w:ascii="Lato" w:hAnsi="Lato"/>
        </w:rPr>
        <w:t>ania energii pierwotnej z innych surowców o wyższym wskaźniku emisyjności</w:t>
      </w:r>
      <w:r w:rsidR="001502F5">
        <w:rPr>
          <w:rFonts w:ascii="Lato" w:hAnsi="Lato"/>
        </w:rPr>
        <w:t xml:space="preserve">. </w:t>
      </w:r>
      <w:r w:rsidR="00D554EC">
        <w:rPr>
          <w:rFonts w:ascii="Lato" w:hAnsi="Lato"/>
        </w:rPr>
        <w:br w:type="page"/>
      </w:r>
    </w:p>
    <w:p w14:paraId="63AB2190" w14:textId="3F4885C3" w:rsidR="00B03DBA" w:rsidRPr="00C758B1" w:rsidRDefault="00C7771E" w:rsidP="00A819AD">
      <w:pPr>
        <w:pStyle w:val="Rozdzia1"/>
        <w:rPr>
          <w:rFonts w:ascii="Lato" w:hAnsi="Lato"/>
        </w:rPr>
      </w:pPr>
      <w:bookmarkStart w:id="269" w:name="_Toc19782952"/>
      <w:bookmarkStart w:id="270" w:name="_Toc142469575"/>
      <w:r w:rsidRPr="00C758B1">
        <w:rPr>
          <w:rFonts w:ascii="Lato" w:hAnsi="Lato"/>
        </w:rPr>
        <w:lastRenderedPageBreak/>
        <w:t>Środki zapobiegawcze</w:t>
      </w:r>
      <w:bookmarkEnd w:id="269"/>
      <w:bookmarkEnd w:id="270"/>
    </w:p>
    <w:p w14:paraId="373379EA" w14:textId="77777777" w:rsidR="00B03DBA" w:rsidRPr="00C758B1" w:rsidRDefault="00C7771E" w:rsidP="00086AFF">
      <w:pPr>
        <w:pStyle w:val="Rozdzia2"/>
        <w:spacing w:after="120"/>
        <w:rPr>
          <w:rFonts w:ascii="Lato" w:hAnsi="Lato"/>
        </w:rPr>
      </w:pPr>
      <w:bookmarkStart w:id="271" w:name="_Toc19782953"/>
      <w:bookmarkStart w:id="272" w:name="_Toc142469576"/>
      <w:r w:rsidRPr="00C758B1">
        <w:rPr>
          <w:rFonts w:ascii="Lato" w:hAnsi="Lato"/>
        </w:rPr>
        <w:t>Środki rynkowe</w:t>
      </w:r>
      <w:bookmarkEnd w:id="271"/>
      <w:bookmarkEnd w:id="272"/>
      <w:r w:rsidRPr="00C758B1">
        <w:rPr>
          <w:rFonts w:ascii="Lato" w:hAnsi="Lato"/>
        </w:rPr>
        <w:t xml:space="preserve"> </w:t>
      </w:r>
    </w:p>
    <w:p w14:paraId="4CD8CF5D" w14:textId="77777777" w:rsidR="00B03DBA" w:rsidRPr="00A819AD" w:rsidRDefault="00C7771E" w:rsidP="001502F5">
      <w:pPr>
        <w:spacing w:after="60" w:line="276" w:lineRule="auto"/>
        <w:rPr>
          <w:rFonts w:ascii="Lato" w:hAnsi="Lato"/>
        </w:rPr>
      </w:pPr>
      <w:r w:rsidRPr="00A819AD">
        <w:tab/>
      </w:r>
      <w:r w:rsidRPr="00A819AD">
        <w:rPr>
          <w:rFonts w:ascii="Lato" w:hAnsi="Lato"/>
        </w:rPr>
        <w:t xml:space="preserve">Środki zapewniające bezpieczeństwo dostaw gazu ziemnego dotyczące strony podażowej: </w:t>
      </w:r>
    </w:p>
    <w:p w14:paraId="3497F5F5" w14:textId="399A42F3" w:rsidR="00B03DBA" w:rsidRPr="00A819AD" w:rsidRDefault="00192491" w:rsidP="0EC3A2CD">
      <w:pPr>
        <w:pStyle w:val="Akapitzlist"/>
        <w:numPr>
          <w:ilvl w:val="0"/>
          <w:numId w:val="14"/>
        </w:numPr>
        <w:spacing w:after="60" w:line="276" w:lineRule="auto"/>
        <w:rPr>
          <w:rFonts w:ascii="Lato" w:hAnsi="Lato"/>
        </w:rPr>
      </w:pPr>
      <w:r w:rsidRPr="0EC3A2CD">
        <w:rPr>
          <w:rFonts w:ascii="Lato" w:hAnsi="Lato"/>
          <w:i/>
          <w:iCs/>
        </w:rPr>
        <w:t>z</w:t>
      </w:r>
      <w:r w:rsidR="00C7771E" w:rsidRPr="0EC3A2CD">
        <w:rPr>
          <w:rFonts w:ascii="Lato" w:hAnsi="Lato"/>
          <w:i/>
          <w:iCs/>
        </w:rPr>
        <w:t xml:space="preserve">większenie elastyczności produkcji </w:t>
      </w:r>
      <w:r w:rsidR="00C7771E" w:rsidRPr="0EC3A2CD">
        <w:rPr>
          <w:rFonts w:ascii="Lato" w:hAnsi="Lato"/>
        </w:rPr>
        <w:t xml:space="preserve">– ze względu na konieczność zapewnienia racjonalnego gospodarowania złożami gazu ziemnego nie ma możliwości znacznego zwiększenia wydobycia gazu ziemnego w przypadku wystąpienia sytuacji kryzysowej. </w:t>
      </w:r>
      <w:r w:rsidR="00C7771E" w:rsidRPr="0EC3A2CD">
        <w:rPr>
          <w:rFonts w:ascii="Lato" w:eastAsia="Malgun Gothic" w:hAnsi="Lato"/>
        </w:rPr>
        <w:t>Maksymalna zdolno</w:t>
      </w:r>
      <w:r w:rsidR="00C7771E" w:rsidRPr="0EC3A2CD">
        <w:rPr>
          <w:rFonts w:ascii="Lato" w:eastAsia="Malgun Gothic" w:hAnsi="Lato" w:cs="Calibri"/>
        </w:rPr>
        <w:t>ść</w:t>
      </w:r>
      <w:r w:rsidR="00C7771E" w:rsidRPr="0EC3A2CD">
        <w:rPr>
          <w:rFonts w:ascii="Lato" w:eastAsia="Malgun Gothic" w:hAnsi="Lato"/>
        </w:rPr>
        <w:t xml:space="preserve"> produkcyjna w </w:t>
      </w:r>
      <w:r w:rsidR="00505522" w:rsidRPr="0EC3A2CD">
        <w:rPr>
          <w:rFonts w:ascii="Lato" w:eastAsia="Malgun Gothic" w:hAnsi="Lato"/>
        </w:rPr>
        <w:t xml:space="preserve">2022 </w:t>
      </w:r>
      <w:r w:rsidR="00C7771E" w:rsidRPr="0EC3A2CD">
        <w:rPr>
          <w:rFonts w:ascii="Lato" w:eastAsia="Malgun Gothic" w:hAnsi="Lato"/>
        </w:rPr>
        <w:t xml:space="preserve">r. wyniosła </w:t>
      </w:r>
      <w:r w:rsidR="00BD5B7F" w:rsidRPr="0EC3A2CD">
        <w:rPr>
          <w:rFonts w:ascii="Lato" w:eastAsia="Malgun Gothic" w:hAnsi="Lato"/>
        </w:rPr>
        <w:t xml:space="preserve">13,894 </w:t>
      </w:r>
      <w:r w:rsidR="00C7771E" w:rsidRPr="0EC3A2CD">
        <w:rPr>
          <w:rFonts w:ascii="Lato" w:eastAsia="Malgun Gothic" w:hAnsi="Lato"/>
        </w:rPr>
        <w:t>mln m</w:t>
      </w:r>
      <w:r w:rsidR="00C7771E" w:rsidRPr="0EC3A2CD">
        <w:rPr>
          <w:rFonts w:ascii="Lato" w:eastAsia="Malgun Gothic" w:hAnsi="Lato"/>
          <w:vertAlign w:val="superscript"/>
        </w:rPr>
        <w:t>3</w:t>
      </w:r>
      <w:r w:rsidR="00C7771E" w:rsidRPr="0EC3A2CD">
        <w:rPr>
          <w:rFonts w:ascii="Lato" w:eastAsia="Malgun Gothic" w:hAnsi="Lato"/>
        </w:rPr>
        <w:t>/dob</w:t>
      </w:r>
      <w:r w:rsidR="00C7771E" w:rsidRPr="0EC3A2CD">
        <w:rPr>
          <w:rFonts w:ascii="Lato" w:eastAsia="Malgun Gothic" w:hAnsi="Lato" w:cs="Calibri"/>
        </w:rPr>
        <w:t>ę</w:t>
      </w:r>
      <w:r w:rsidR="00C7771E" w:rsidRPr="0EC3A2CD">
        <w:rPr>
          <w:rFonts w:ascii="Lato" w:eastAsia="Malgun Gothic" w:hAnsi="Lato"/>
        </w:rPr>
        <w:t xml:space="preserve"> (</w:t>
      </w:r>
      <w:r w:rsidR="00BD5B7F" w:rsidRPr="0EC3A2CD">
        <w:rPr>
          <w:rFonts w:ascii="Lato" w:eastAsia="Malgun Gothic" w:hAnsi="Lato"/>
        </w:rPr>
        <w:t>116,01</w:t>
      </w:r>
      <w:r w:rsidR="00C7771E" w:rsidRPr="0EC3A2CD">
        <w:rPr>
          <w:rFonts w:ascii="Lato" w:eastAsia="Malgun Gothic" w:hAnsi="Lato"/>
        </w:rPr>
        <w:t> GWh/dob</w:t>
      </w:r>
      <w:r w:rsidR="00C7771E" w:rsidRPr="0EC3A2CD">
        <w:rPr>
          <w:rFonts w:ascii="Lato" w:eastAsia="Malgun Gothic" w:hAnsi="Lato" w:cs="Calibri"/>
        </w:rPr>
        <w:t>ę</w:t>
      </w:r>
      <w:r w:rsidR="00C7771E" w:rsidRPr="0EC3A2CD">
        <w:rPr>
          <w:rFonts w:ascii="Lato" w:eastAsia="Malgun Gothic" w:hAnsi="Lato"/>
        </w:rPr>
        <w:t>)</w:t>
      </w:r>
      <w:r w:rsidR="00CB2DC6" w:rsidRPr="0EC3A2CD">
        <w:rPr>
          <w:rFonts w:ascii="Lato" w:eastAsia="Malgun Gothic" w:hAnsi="Lato"/>
        </w:rPr>
        <w:t>;</w:t>
      </w:r>
    </w:p>
    <w:p w14:paraId="44C3834F" w14:textId="0D3E0A28" w:rsidR="00B03DBA" w:rsidRPr="00A819AD" w:rsidRDefault="00192491">
      <w:pPr>
        <w:pStyle w:val="Akapitzlist"/>
        <w:numPr>
          <w:ilvl w:val="0"/>
          <w:numId w:val="14"/>
        </w:numPr>
        <w:spacing w:after="60" w:line="276" w:lineRule="auto"/>
        <w:contextualSpacing w:val="0"/>
        <w:rPr>
          <w:rFonts w:ascii="Lato" w:hAnsi="Lato"/>
        </w:rPr>
      </w:pPr>
      <w:r>
        <w:rPr>
          <w:rFonts w:ascii="Lato" w:hAnsi="Lato"/>
          <w:i/>
        </w:rPr>
        <w:t>z</w:t>
      </w:r>
      <w:r w:rsidR="00C7771E" w:rsidRPr="00A819AD">
        <w:rPr>
          <w:rFonts w:ascii="Lato" w:hAnsi="Lato"/>
          <w:i/>
        </w:rPr>
        <w:t>większenie elastyczności importu</w:t>
      </w:r>
      <w:r w:rsidR="00C7771E" w:rsidRPr="00A819AD">
        <w:rPr>
          <w:rFonts w:ascii="Lato" w:hAnsi="Lato"/>
        </w:rPr>
        <w:t xml:space="preserve"> – możliwość dostaw gazu do krajowego systemu przesyłowego </w:t>
      </w:r>
      <w:r w:rsidR="006139EC" w:rsidRPr="00A819AD">
        <w:rPr>
          <w:rFonts w:ascii="Lato" w:hAnsi="Lato"/>
        </w:rPr>
        <w:t xml:space="preserve">przy wykorzystaniu </w:t>
      </w:r>
      <w:r w:rsidR="005604EA" w:rsidRPr="00FA13F0">
        <w:rPr>
          <w:rFonts w:ascii="Lato" w:hAnsi="Lato"/>
        </w:rPr>
        <w:t xml:space="preserve">wszystkich połączeń międzysystemowych. </w:t>
      </w:r>
      <w:r w:rsidR="00BD0AEB" w:rsidRPr="00FA13F0">
        <w:rPr>
          <w:rFonts w:ascii="Lato" w:hAnsi="Lato"/>
        </w:rPr>
        <w:t>Zdolność techniczna</w:t>
      </w:r>
      <w:r w:rsidR="00BD0AEB" w:rsidRPr="00A819AD">
        <w:rPr>
          <w:rFonts w:ascii="Lato" w:hAnsi="Lato"/>
        </w:rPr>
        <w:t xml:space="preserve"> na </w:t>
      </w:r>
      <w:r w:rsidR="00BD0AEB" w:rsidRPr="00FA13F0">
        <w:rPr>
          <w:rFonts w:ascii="Lato" w:hAnsi="Lato"/>
        </w:rPr>
        <w:t xml:space="preserve">zasadach ciągłych </w:t>
      </w:r>
      <w:r w:rsidR="00181C06" w:rsidRPr="00FA13F0">
        <w:rPr>
          <w:rFonts w:ascii="Lato" w:hAnsi="Lato"/>
        </w:rPr>
        <w:t xml:space="preserve">wynosi </w:t>
      </w:r>
      <w:r w:rsidR="007C7F6C" w:rsidRPr="00FA13F0">
        <w:rPr>
          <w:rFonts w:ascii="Lato" w:hAnsi="Lato"/>
        </w:rPr>
        <w:t>111,7</w:t>
      </w:r>
      <w:r w:rsidR="00181C06" w:rsidRPr="00FA13F0">
        <w:rPr>
          <w:rFonts w:ascii="Lato" w:hAnsi="Lato"/>
        </w:rPr>
        <w:t xml:space="preserve"> mln m</w:t>
      </w:r>
      <w:r w:rsidR="00181C06" w:rsidRPr="00FA13F0">
        <w:rPr>
          <w:rFonts w:ascii="Lato" w:hAnsi="Lato"/>
          <w:vertAlign w:val="superscript"/>
        </w:rPr>
        <w:t>3</w:t>
      </w:r>
      <w:r w:rsidR="00181C06" w:rsidRPr="00FA13F0">
        <w:rPr>
          <w:rFonts w:ascii="Lato" w:hAnsi="Lato"/>
        </w:rPr>
        <w:t>/d (</w:t>
      </w:r>
      <w:r w:rsidR="00DB4A7C" w:rsidRPr="00FA13F0">
        <w:rPr>
          <w:rFonts w:ascii="Lato" w:hAnsi="Lato"/>
        </w:rPr>
        <w:t>1 271,1</w:t>
      </w:r>
      <w:r w:rsidR="00181C06" w:rsidRPr="00FA13F0">
        <w:rPr>
          <w:rFonts w:ascii="Lato" w:hAnsi="Lato"/>
        </w:rPr>
        <w:t xml:space="preserve"> GWh/d)</w:t>
      </w:r>
      <w:r w:rsidR="00EC57AF" w:rsidRPr="00FA13F0">
        <w:rPr>
          <w:rFonts w:ascii="Lato" w:hAnsi="Lato"/>
        </w:rPr>
        <w:t>;</w:t>
      </w:r>
    </w:p>
    <w:p w14:paraId="1B91363B" w14:textId="6A7FAE42" w:rsidR="00B03DBA" w:rsidRPr="00A819AD" w:rsidRDefault="00192491">
      <w:pPr>
        <w:pStyle w:val="Akapitzlist"/>
        <w:numPr>
          <w:ilvl w:val="0"/>
          <w:numId w:val="14"/>
        </w:numPr>
        <w:spacing w:after="60" w:line="276" w:lineRule="auto"/>
        <w:contextualSpacing w:val="0"/>
        <w:rPr>
          <w:rFonts w:ascii="Lato" w:hAnsi="Lato"/>
          <w:i/>
        </w:rPr>
      </w:pPr>
      <w:r>
        <w:rPr>
          <w:rFonts w:ascii="Lato" w:hAnsi="Lato"/>
          <w:i/>
        </w:rPr>
        <w:t>k</w:t>
      </w:r>
      <w:r w:rsidR="00C7771E" w:rsidRPr="00A819AD">
        <w:rPr>
          <w:rFonts w:ascii="Lato" w:hAnsi="Lato"/>
          <w:i/>
        </w:rPr>
        <w:t xml:space="preserve">omercyjne magazynowanie gazu ziemnego - zdolność odbioru i ilość zmagazynowanego gazu ziemnego – </w:t>
      </w:r>
      <w:r w:rsidR="00C7771E" w:rsidRPr="00FA13F0">
        <w:rPr>
          <w:rFonts w:ascii="Lato" w:hAnsi="Lato"/>
        </w:rPr>
        <w:t xml:space="preserve">w Polsce funkcjonuje siedem podziemnych magazynów gazu ziemnego wysokometanowego, których całkowita dostępna pojemność czynna wynosi ponad </w:t>
      </w:r>
      <w:r w:rsidR="00881BEA" w:rsidRPr="00FA13F0">
        <w:rPr>
          <w:rFonts w:ascii="Lato" w:hAnsi="Lato"/>
        </w:rPr>
        <w:t>3,</w:t>
      </w:r>
      <w:r w:rsidR="000343BE" w:rsidRPr="00FA13F0">
        <w:rPr>
          <w:rFonts w:ascii="Lato" w:hAnsi="Lato"/>
        </w:rPr>
        <w:t>23</w:t>
      </w:r>
      <w:r w:rsidR="00C7771E" w:rsidRPr="00FA13F0">
        <w:rPr>
          <w:rFonts w:ascii="Lato" w:hAnsi="Lato"/>
        </w:rPr>
        <w:t> mld m</w:t>
      </w:r>
      <w:r w:rsidR="00C7771E" w:rsidRPr="00FA13F0">
        <w:rPr>
          <w:rFonts w:ascii="Lato" w:hAnsi="Lato"/>
          <w:vertAlign w:val="superscript"/>
        </w:rPr>
        <w:t>3</w:t>
      </w:r>
      <w:r w:rsidR="00C7771E" w:rsidRPr="00FA13F0">
        <w:rPr>
          <w:rFonts w:ascii="Lato" w:hAnsi="Lato"/>
        </w:rPr>
        <w:t xml:space="preserve"> (3</w:t>
      </w:r>
      <w:r w:rsidR="000343BE" w:rsidRPr="00FA13F0">
        <w:rPr>
          <w:rFonts w:ascii="Lato" w:hAnsi="Lato"/>
        </w:rPr>
        <w:t>6</w:t>
      </w:r>
      <w:r w:rsidR="00C7771E" w:rsidRPr="00FA13F0">
        <w:rPr>
          <w:rFonts w:ascii="Lato" w:hAnsi="Lato"/>
        </w:rPr>
        <w:t>,</w:t>
      </w:r>
      <w:r w:rsidR="000343BE" w:rsidRPr="00FA13F0">
        <w:rPr>
          <w:rFonts w:ascii="Lato" w:hAnsi="Lato"/>
        </w:rPr>
        <w:t>41</w:t>
      </w:r>
      <w:r w:rsidR="00C7771E" w:rsidRPr="00FA13F0">
        <w:rPr>
          <w:rFonts w:ascii="Lato" w:hAnsi="Lato"/>
        </w:rPr>
        <w:t xml:space="preserve"> TWh)</w:t>
      </w:r>
      <w:r>
        <w:rPr>
          <w:rFonts w:ascii="Lato" w:hAnsi="Lato"/>
        </w:rPr>
        <w:t>.</w:t>
      </w:r>
      <w:r w:rsidR="00C7771E" w:rsidRPr="00FA13F0">
        <w:rPr>
          <w:rFonts w:ascii="Lato" w:hAnsi="Lato"/>
        </w:rPr>
        <w:t xml:space="preserve"> </w:t>
      </w:r>
      <w:r>
        <w:rPr>
          <w:rFonts w:ascii="Lato" w:hAnsi="Lato"/>
        </w:rPr>
        <w:t>P</w:t>
      </w:r>
      <w:r w:rsidR="000343BE" w:rsidRPr="00FA13F0">
        <w:rPr>
          <w:rFonts w:ascii="Lato" w:hAnsi="Lato"/>
        </w:rPr>
        <w:t>lanowana</w:t>
      </w:r>
      <w:r w:rsidR="00C7771E" w:rsidRPr="00FA13F0">
        <w:rPr>
          <w:rFonts w:ascii="Lato" w:hAnsi="Lato"/>
        </w:rPr>
        <w:t xml:space="preserve"> rozbudowa PMG </w:t>
      </w:r>
      <w:r w:rsidR="000343BE" w:rsidRPr="00FA13F0">
        <w:rPr>
          <w:rFonts w:ascii="Lato" w:hAnsi="Lato"/>
        </w:rPr>
        <w:t xml:space="preserve">Wierzchowice </w:t>
      </w:r>
      <w:r w:rsidR="00C7771E" w:rsidRPr="00FA13F0">
        <w:rPr>
          <w:rFonts w:ascii="Lato" w:hAnsi="Lato"/>
        </w:rPr>
        <w:t xml:space="preserve">umożliwi zwiększenie pojemności czynnej tego magazynu do </w:t>
      </w:r>
      <w:r w:rsidR="000343BE" w:rsidRPr="00FA13F0">
        <w:rPr>
          <w:rFonts w:ascii="Lato" w:hAnsi="Lato"/>
        </w:rPr>
        <w:t xml:space="preserve">2,1 mld </w:t>
      </w:r>
      <w:r w:rsidR="00C7771E" w:rsidRPr="00FA13F0">
        <w:rPr>
          <w:rFonts w:ascii="Lato" w:hAnsi="Lato"/>
        </w:rPr>
        <w:t>m</w:t>
      </w:r>
      <w:r w:rsidR="00C7771E" w:rsidRPr="00FA13F0">
        <w:rPr>
          <w:rFonts w:ascii="Lato" w:hAnsi="Lato"/>
          <w:vertAlign w:val="superscript"/>
        </w:rPr>
        <w:t>3</w:t>
      </w:r>
      <w:r w:rsidR="00C7771E" w:rsidRPr="00FA13F0">
        <w:rPr>
          <w:rFonts w:ascii="Lato" w:hAnsi="Lato"/>
        </w:rPr>
        <w:t xml:space="preserve"> (</w:t>
      </w:r>
      <w:r w:rsidR="000343BE" w:rsidRPr="00FA13F0">
        <w:rPr>
          <w:rFonts w:ascii="Lato" w:hAnsi="Lato"/>
        </w:rPr>
        <w:t>23,8</w:t>
      </w:r>
      <w:r w:rsidR="00C7771E" w:rsidRPr="00FA13F0">
        <w:rPr>
          <w:rFonts w:ascii="Lato" w:hAnsi="Lato"/>
        </w:rPr>
        <w:t xml:space="preserve"> TWh), co przyczyni się do wzrostu całkowitej pojemności czynnej do poziomu ok. </w:t>
      </w:r>
      <w:r w:rsidR="000343BE" w:rsidRPr="00FA13F0">
        <w:rPr>
          <w:rFonts w:ascii="Lato" w:hAnsi="Lato"/>
        </w:rPr>
        <w:t>4,03</w:t>
      </w:r>
      <w:r w:rsidR="00C7771E" w:rsidRPr="00FA13F0">
        <w:rPr>
          <w:rFonts w:ascii="Lato" w:hAnsi="Lato"/>
        </w:rPr>
        <w:t xml:space="preserve"> mld m</w:t>
      </w:r>
      <w:r w:rsidR="00C7771E" w:rsidRPr="00FA13F0">
        <w:rPr>
          <w:rFonts w:ascii="Lato" w:hAnsi="Lato"/>
          <w:vertAlign w:val="superscript"/>
        </w:rPr>
        <w:t>3</w:t>
      </w:r>
      <w:r w:rsidR="00C7771E" w:rsidRPr="00FA13F0">
        <w:rPr>
          <w:rFonts w:ascii="Lato" w:hAnsi="Lato"/>
        </w:rPr>
        <w:t xml:space="preserve"> (</w:t>
      </w:r>
      <w:r w:rsidR="000343BE" w:rsidRPr="00FA13F0">
        <w:rPr>
          <w:rFonts w:ascii="Lato" w:hAnsi="Lato"/>
        </w:rPr>
        <w:t>45,4</w:t>
      </w:r>
      <w:r w:rsidR="00C7771E" w:rsidRPr="00FA13F0">
        <w:rPr>
          <w:rFonts w:ascii="Lato" w:hAnsi="Lato"/>
        </w:rPr>
        <w:t xml:space="preserve"> TWh)</w:t>
      </w:r>
      <w:r>
        <w:rPr>
          <w:rFonts w:ascii="Lato" w:hAnsi="Lato"/>
        </w:rPr>
        <w:t>;</w:t>
      </w:r>
      <w:r w:rsidR="00C7771E" w:rsidRPr="00FA13F0">
        <w:rPr>
          <w:rFonts w:ascii="Lato" w:hAnsi="Lato"/>
        </w:rPr>
        <w:t xml:space="preserve"> </w:t>
      </w:r>
    </w:p>
    <w:p w14:paraId="2CDA48AE" w14:textId="597329B1" w:rsidR="00B03DBA" w:rsidRPr="00A819AD" w:rsidRDefault="00192491">
      <w:pPr>
        <w:pStyle w:val="Akapitzlist"/>
        <w:numPr>
          <w:ilvl w:val="0"/>
          <w:numId w:val="14"/>
        </w:numPr>
        <w:spacing w:after="60" w:line="276" w:lineRule="auto"/>
        <w:contextualSpacing w:val="0"/>
        <w:rPr>
          <w:rFonts w:ascii="Lato" w:hAnsi="Lato"/>
          <w:i/>
        </w:rPr>
      </w:pPr>
      <w:r>
        <w:rPr>
          <w:rFonts w:ascii="Lato" w:hAnsi="Lato"/>
          <w:i/>
        </w:rPr>
        <w:t>z</w:t>
      </w:r>
      <w:r w:rsidR="00C7771E" w:rsidRPr="00A819AD">
        <w:rPr>
          <w:rFonts w:ascii="Lato" w:hAnsi="Lato"/>
          <w:i/>
        </w:rPr>
        <w:t xml:space="preserve">dolność terminalu LNG i maksymalna zdolność wysyłkowa – </w:t>
      </w:r>
      <w:r w:rsidR="00C7771E" w:rsidRPr="00A819AD">
        <w:rPr>
          <w:rFonts w:ascii="Lato" w:hAnsi="Lato"/>
        </w:rPr>
        <w:t>t</w:t>
      </w:r>
      <w:r w:rsidR="00C7771E" w:rsidRPr="00FA13F0">
        <w:rPr>
          <w:rFonts w:ascii="Lato" w:hAnsi="Lato"/>
        </w:rPr>
        <w:t xml:space="preserve">erminal LNG w Świnoujściu umożliwia odbiór gazu ziemnego na poziomie </w:t>
      </w:r>
      <w:r w:rsidR="00221C10" w:rsidRPr="00FA13F0">
        <w:rPr>
          <w:rFonts w:ascii="Lato" w:hAnsi="Lato"/>
        </w:rPr>
        <w:t>19</w:t>
      </w:r>
      <w:r w:rsidR="00C7771E" w:rsidRPr="00FA13F0">
        <w:rPr>
          <w:rFonts w:ascii="Lato" w:hAnsi="Lato"/>
        </w:rPr>
        <w:t>,7 mln m³/dobę (</w:t>
      </w:r>
      <w:r w:rsidR="00221C10" w:rsidRPr="00FA13F0">
        <w:rPr>
          <w:rFonts w:ascii="Lato" w:hAnsi="Lato"/>
        </w:rPr>
        <w:t xml:space="preserve">227,3 </w:t>
      </w:r>
      <w:r w:rsidR="00C7771E" w:rsidRPr="00FA13F0">
        <w:rPr>
          <w:rFonts w:ascii="Lato" w:hAnsi="Lato"/>
        </w:rPr>
        <w:t>GWh/dobę),</w:t>
      </w:r>
      <w:r w:rsidR="00CD3372">
        <w:rPr>
          <w:rFonts w:ascii="Lato" w:hAnsi="Lato"/>
        </w:rPr>
        <w:t xml:space="preserve"> </w:t>
      </w:r>
      <w:r w:rsidR="00C7771E" w:rsidRPr="00FA13F0">
        <w:rPr>
          <w:rFonts w:ascii="Lato" w:hAnsi="Lato"/>
        </w:rPr>
        <w:t xml:space="preserve">co stanowi </w:t>
      </w:r>
      <w:r w:rsidR="004D46CF" w:rsidRPr="00FA13F0">
        <w:rPr>
          <w:rFonts w:ascii="Lato" w:hAnsi="Lato"/>
        </w:rPr>
        <w:t xml:space="preserve">6,2 </w:t>
      </w:r>
      <w:r w:rsidR="00C7771E" w:rsidRPr="00FA13F0">
        <w:rPr>
          <w:rFonts w:ascii="Lato" w:hAnsi="Lato"/>
        </w:rPr>
        <w:t>mld m</w:t>
      </w:r>
      <w:r w:rsidR="00C7771E" w:rsidRPr="00FA13F0">
        <w:rPr>
          <w:rFonts w:ascii="Lato" w:hAnsi="Lato"/>
          <w:vertAlign w:val="superscript"/>
        </w:rPr>
        <w:t>3</w:t>
      </w:r>
      <w:r w:rsidR="00C7771E" w:rsidRPr="00FA13F0">
        <w:rPr>
          <w:rFonts w:ascii="Lato" w:hAnsi="Lato"/>
        </w:rPr>
        <w:t>/rok (</w:t>
      </w:r>
      <w:r w:rsidR="0065795A" w:rsidRPr="00FA13F0">
        <w:rPr>
          <w:rFonts w:ascii="Lato" w:hAnsi="Lato"/>
        </w:rPr>
        <w:t>71,54</w:t>
      </w:r>
      <w:r w:rsidR="00C7771E" w:rsidRPr="00FA13F0">
        <w:rPr>
          <w:rFonts w:ascii="Lato" w:hAnsi="Lato"/>
        </w:rPr>
        <w:t xml:space="preserve"> TWh/rok) gazu ziemnego po regazyfikacji</w:t>
      </w:r>
      <w:r w:rsidR="00CD3372">
        <w:rPr>
          <w:rFonts w:ascii="Lato" w:hAnsi="Lato"/>
        </w:rPr>
        <w:t>. T</w:t>
      </w:r>
      <w:r w:rsidR="00C7771E" w:rsidRPr="00FA13F0">
        <w:rPr>
          <w:rFonts w:ascii="Lato" w:hAnsi="Lato"/>
        </w:rPr>
        <w:t xml:space="preserve">rwająca obecnie rozbudowa terminalu LNG </w:t>
      </w:r>
      <w:r w:rsidR="00FB03C1">
        <w:rPr>
          <w:rFonts w:ascii="Lato" w:hAnsi="Lato"/>
        </w:rPr>
        <w:t xml:space="preserve">ma </w:t>
      </w:r>
      <w:r w:rsidR="00C7771E" w:rsidRPr="00FA13F0">
        <w:rPr>
          <w:rFonts w:ascii="Lato" w:hAnsi="Lato"/>
        </w:rPr>
        <w:t>umożliwi</w:t>
      </w:r>
      <w:r w:rsidR="00FB03C1">
        <w:rPr>
          <w:rFonts w:ascii="Lato" w:hAnsi="Lato"/>
        </w:rPr>
        <w:t>ć</w:t>
      </w:r>
      <w:r w:rsidR="00C7771E" w:rsidRPr="00FA13F0">
        <w:rPr>
          <w:rFonts w:ascii="Lato" w:hAnsi="Lato"/>
        </w:rPr>
        <w:t xml:space="preserve"> zwiększenie zdolności regazyfikacyjnej terminalu do poziomu</w:t>
      </w:r>
      <w:r w:rsidR="00AC5829" w:rsidRPr="00FA13F0">
        <w:rPr>
          <w:rFonts w:ascii="Lato" w:hAnsi="Lato"/>
        </w:rPr>
        <w:t xml:space="preserve"> 8,3</w:t>
      </w:r>
      <w:r w:rsidR="00EC57AF" w:rsidRPr="00FA13F0">
        <w:rPr>
          <w:rFonts w:ascii="Lato" w:hAnsi="Lato"/>
        </w:rPr>
        <w:t xml:space="preserve"> </w:t>
      </w:r>
      <w:r w:rsidR="00C7771E" w:rsidRPr="00FA13F0">
        <w:rPr>
          <w:rFonts w:ascii="Lato" w:hAnsi="Lato"/>
        </w:rPr>
        <w:t>mld m</w:t>
      </w:r>
      <w:r w:rsidR="00C7771E" w:rsidRPr="00FA13F0">
        <w:rPr>
          <w:rFonts w:ascii="Lato" w:hAnsi="Lato"/>
          <w:vertAlign w:val="superscript"/>
        </w:rPr>
        <w:t>3</w:t>
      </w:r>
      <w:r w:rsidR="00C7771E" w:rsidRPr="00FA13F0">
        <w:rPr>
          <w:rFonts w:ascii="Lato" w:hAnsi="Lato"/>
        </w:rPr>
        <w:t>/rok (</w:t>
      </w:r>
      <w:r w:rsidR="00727395" w:rsidRPr="00FA13F0">
        <w:rPr>
          <w:rFonts w:ascii="Lato" w:hAnsi="Lato"/>
        </w:rPr>
        <w:t>95,77</w:t>
      </w:r>
      <w:r w:rsidR="00C7771E" w:rsidRPr="00FA13F0">
        <w:rPr>
          <w:rFonts w:ascii="Lato" w:hAnsi="Lato"/>
        </w:rPr>
        <w:t xml:space="preserve"> TWh/rok) </w:t>
      </w:r>
      <w:r w:rsidR="00382F29">
        <w:rPr>
          <w:rFonts w:ascii="Lato" w:hAnsi="Lato"/>
        </w:rPr>
        <w:t>na koniec</w:t>
      </w:r>
      <w:r w:rsidR="00C7771E" w:rsidRPr="00FA13F0">
        <w:rPr>
          <w:rFonts w:ascii="Lato" w:hAnsi="Lato"/>
        </w:rPr>
        <w:t xml:space="preserve"> </w:t>
      </w:r>
      <w:r w:rsidR="004D46CF" w:rsidRPr="00FA13F0">
        <w:rPr>
          <w:rFonts w:ascii="Lato" w:hAnsi="Lato"/>
        </w:rPr>
        <w:t xml:space="preserve">2023 </w:t>
      </w:r>
      <w:r w:rsidR="00C7771E" w:rsidRPr="00FA13F0">
        <w:rPr>
          <w:rFonts w:ascii="Lato" w:hAnsi="Lato"/>
        </w:rPr>
        <w:t>r.</w:t>
      </w:r>
      <w:r w:rsidR="00EC57AF" w:rsidRPr="00FA13F0">
        <w:rPr>
          <w:rFonts w:ascii="Lato" w:hAnsi="Lato"/>
        </w:rPr>
        <w:t>;</w:t>
      </w:r>
    </w:p>
    <w:p w14:paraId="4D230D7B" w14:textId="3ACACF0D" w:rsidR="00B03DBA" w:rsidRPr="00FA13F0" w:rsidRDefault="00CD3372">
      <w:pPr>
        <w:pStyle w:val="Akapitzlist"/>
        <w:numPr>
          <w:ilvl w:val="0"/>
          <w:numId w:val="14"/>
        </w:numPr>
        <w:spacing w:after="60" w:line="276" w:lineRule="auto"/>
        <w:contextualSpacing w:val="0"/>
        <w:rPr>
          <w:rFonts w:ascii="Lato" w:hAnsi="Lato"/>
        </w:rPr>
      </w:pPr>
      <w:r>
        <w:rPr>
          <w:rFonts w:ascii="Lato" w:hAnsi="Lato"/>
          <w:i/>
        </w:rPr>
        <w:t>d</w:t>
      </w:r>
      <w:r w:rsidR="00C7771E" w:rsidRPr="00A819AD">
        <w:rPr>
          <w:rFonts w:ascii="Lato" w:hAnsi="Lato"/>
          <w:i/>
        </w:rPr>
        <w:t>ywersyfikacja źródeł gazu ziemnego i dróg dostawy</w:t>
      </w:r>
      <w:r w:rsidR="00C7771E" w:rsidRPr="00FA13F0">
        <w:rPr>
          <w:rFonts w:ascii="Lato" w:eastAsia="Calibri" w:hAnsi="Lato"/>
        </w:rPr>
        <w:t xml:space="preserve"> – transgraniczne połączenie międzysystemowe pomiędzy </w:t>
      </w:r>
      <w:r w:rsidR="00C7771E" w:rsidRPr="00FA13F0">
        <w:rPr>
          <w:rFonts w:ascii="Lato" w:hAnsi="Lato"/>
        </w:rPr>
        <w:t>Polską i Czechami (Cieszyn) pozwala na realizację dostaw gazu ziemnego do polskiego systemu gazowego na poziomie 2,5 mln m</w:t>
      </w:r>
      <w:r w:rsidR="00C7771E" w:rsidRPr="00FA13F0">
        <w:rPr>
          <w:rFonts w:ascii="Lato" w:hAnsi="Lato"/>
          <w:vertAlign w:val="superscript"/>
        </w:rPr>
        <w:t>3</w:t>
      </w:r>
      <w:r w:rsidR="00C7771E" w:rsidRPr="00FA13F0">
        <w:rPr>
          <w:rFonts w:ascii="Lato" w:hAnsi="Lato"/>
        </w:rPr>
        <w:t>/dobę tj. 28,0 GWh/dobę w okresie od października do kwietnia oraz 0,4 mln m</w:t>
      </w:r>
      <w:r w:rsidR="00C7771E" w:rsidRPr="00FA13F0">
        <w:rPr>
          <w:rFonts w:ascii="Lato" w:hAnsi="Lato"/>
          <w:vertAlign w:val="superscript"/>
        </w:rPr>
        <w:t>3</w:t>
      </w:r>
      <w:r w:rsidR="00C7771E" w:rsidRPr="00FA13F0">
        <w:rPr>
          <w:rFonts w:ascii="Lato" w:hAnsi="Lato"/>
        </w:rPr>
        <w:t xml:space="preserve">/dobę tj. 4,3 GWh/dobę w sezonie maj-wrzesień. </w:t>
      </w:r>
      <w:r w:rsidR="00C7771E" w:rsidRPr="00FA13F0">
        <w:rPr>
          <w:rFonts w:ascii="Lato" w:hAnsi="Lato"/>
          <w:iCs/>
        </w:rPr>
        <w:t>Od 2016 r. punkty na połączeniu sieci ONTRAS (Niemcy) i Gaz-System S.A. (Polska): Gubin, Lasów oraz Kamminke i Lasów Rewers zostały połączone w punkt Grid Connection Point GAZ-SYSTEM/ONTRAS (GCP GAZ-SYSTEM/ONTRAS). Przez ww. punkt istnieje możliwość wprowadzania do krajowego systemu przesyłowego paliw gazow</w:t>
      </w:r>
      <w:r w:rsidR="00E270EB">
        <w:rPr>
          <w:rFonts w:ascii="Lato" w:hAnsi="Lato"/>
          <w:iCs/>
        </w:rPr>
        <w:t>ych</w:t>
      </w:r>
      <w:r w:rsidR="00C7771E" w:rsidRPr="00FA13F0">
        <w:rPr>
          <w:rFonts w:ascii="Lato" w:hAnsi="Lato"/>
          <w:iCs/>
        </w:rPr>
        <w:t xml:space="preserve"> na poziomie 4,4 mln m</w:t>
      </w:r>
      <w:r w:rsidR="00C7771E" w:rsidRPr="00FA13F0">
        <w:rPr>
          <w:rFonts w:ascii="Lato" w:hAnsi="Lato"/>
          <w:iCs/>
          <w:vertAlign w:val="superscript"/>
        </w:rPr>
        <w:t>3</w:t>
      </w:r>
      <w:r w:rsidR="00C7771E" w:rsidRPr="00FA13F0">
        <w:rPr>
          <w:rFonts w:ascii="Lato" w:hAnsi="Lato"/>
          <w:iCs/>
        </w:rPr>
        <w:t>/dobę (48,7 GWh/dobę)</w:t>
      </w:r>
      <w:r w:rsidR="00EC57AF" w:rsidRPr="00FA13F0">
        <w:rPr>
          <w:rFonts w:ascii="Lato" w:hAnsi="Lato"/>
          <w:iCs/>
        </w:rPr>
        <w:t>;</w:t>
      </w:r>
    </w:p>
    <w:p w14:paraId="40D5E620" w14:textId="79EE170E" w:rsidR="00B03DBA" w:rsidRPr="00A819AD" w:rsidRDefault="00CD3372">
      <w:pPr>
        <w:pStyle w:val="Akapitzlist"/>
        <w:numPr>
          <w:ilvl w:val="0"/>
          <w:numId w:val="14"/>
        </w:numPr>
        <w:spacing w:after="60" w:line="276" w:lineRule="auto"/>
        <w:contextualSpacing w:val="0"/>
        <w:rPr>
          <w:rFonts w:ascii="Lato" w:hAnsi="Lato"/>
        </w:rPr>
      </w:pPr>
      <w:r>
        <w:rPr>
          <w:rFonts w:ascii="Lato" w:hAnsi="Lato"/>
          <w:i/>
          <w:color w:val="000000"/>
        </w:rPr>
        <w:t>s</w:t>
      </w:r>
      <w:r w:rsidR="00C7771E" w:rsidRPr="00A819AD">
        <w:rPr>
          <w:rFonts w:ascii="Lato" w:hAnsi="Lato"/>
          <w:i/>
        </w:rPr>
        <w:t>tosowanie umów krótko</w:t>
      </w:r>
      <w:r w:rsidR="00A819AD">
        <w:rPr>
          <w:rFonts w:ascii="Lato" w:hAnsi="Lato"/>
          <w:i/>
        </w:rPr>
        <w:t>-</w:t>
      </w:r>
      <w:r w:rsidR="00260E89">
        <w:rPr>
          <w:rFonts w:ascii="Lato" w:hAnsi="Lato"/>
          <w:i/>
        </w:rPr>
        <w:t>, średnio-</w:t>
      </w:r>
      <w:r w:rsidR="00C7771E" w:rsidRPr="00A819AD">
        <w:rPr>
          <w:rFonts w:ascii="Lato" w:hAnsi="Lato"/>
          <w:i/>
        </w:rPr>
        <w:t xml:space="preserve"> i długoterminowych</w:t>
      </w:r>
      <w:r w:rsidR="00C7771E" w:rsidRPr="00A819AD">
        <w:rPr>
          <w:rFonts w:ascii="Lato" w:hAnsi="Lato"/>
        </w:rPr>
        <w:t xml:space="preserve"> – na </w:t>
      </w:r>
      <w:r w:rsidR="00260E89" w:rsidRPr="00A819AD">
        <w:rPr>
          <w:rFonts w:ascii="Lato" w:hAnsi="Lato"/>
        </w:rPr>
        <w:t xml:space="preserve">polskim </w:t>
      </w:r>
      <w:r w:rsidR="00C7771E" w:rsidRPr="00A819AD">
        <w:rPr>
          <w:rFonts w:ascii="Lato" w:hAnsi="Lato"/>
        </w:rPr>
        <w:t xml:space="preserve">rynku </w:t>
      </w:r>
      <w:r w:rsidR="00260E89">
        <w:rPr>
          <w:rFonts w:ascii="Lato" w:hAnsi="Lato"/>
        </w:rPr>
        <w:t xml:space="preserve">gazu ziemnego </w:t>
      </w:r>
      <w:r w:rsidR="00C7771E" w:rsidRPr="00A819AD">
        <w:rPr>
          <w:rFonts w:ascii="Lato" w:hAnsi="Lato"/>
        </w:rPr>
        <w:t xml:space="preserve">zawierane są umowy zarówno długo, </w:t>
      </w:r>
      <w:r w:rsidR="00260E89">
        <w:rPr>
          <w:rFonts w:ascii="Lato" w:hAnsi="Lato"/>
        </w:rPr>
        <w:t xml:space="preserve">jak i </w:t>
      </w:r>
      <w:r w:rsidR="00C7771E" w:rsidRPr="00A819AD">
        <w:rPr>
          <w:rFonts w:ascii="Lato" w:hAnsi="Lato"/>
        </w:rPr>
        <w:t xml:space="preserve">średnioterminowe oraz umowy ramowe umożliwiające zakupy gazu ziemnego w ramach transakcji typu spot (Towarowa Giełda Energii oferuje instrumenty: Rynek Dnia Bieżącego, Rynek Dnia </w:t>
      </w:r>
      <w:r w:rsidR="00C7771E" w:rsidRPr="00A819AD">
        <w:rPr>
          <w:rFonts w:ascii="Lato" w:hAnsi="Lato"/>
        </w:rPr>
        <w:lastRenderedPageBreak/>
        <w:t>Następnego oraz Rynek Terminowy Towarowy, na którym oferowane są produkty tygodniowe, miesięczne, kwartalne,</w:t>
      </w:r>
      <w:r>
        <w:rPr>
          <w:rFonts w:ascii="Lato" w:hAnsi="Lato"/>
        </w:rPr>
        <w:t xml:space="preserve"> </w:t>
      </w:r>
      <w:r w:rsidR="00C7771E" w:rsidRPr="00A819AD">
        <w:rPr>
          <w:rFonts w:ascii="Lato" w:hAnsi="Lato"/>
        </w:rPr>
        <w:t>sezonowe i roczne</w:t>
      </w:r>
      <w:r w:rsidR="00C7771E" w:rsidRPr="00FA13F0">
        <w:rPr>
          <w:rFonts w:ascii="Lato" w:hAnsi="Lato"/>
        </w:rPr>
        <w:t>)</w:t>
      </w:r>
      <w:r>
        <w:rPr>
          <w:rFonts w:ascii="Lato" w:hAnsi="Lato"/>
        </w:rPr>
        <w:t>;</w:t>
      </w:r>
    </w:p>
    <w:p w14:paraId="68EA285F" w14:textId="59B0A724" w:rsidR="00B03DBA" w:rsidRPr="00A819AD" w:rsidRDefault="00CD3372">
      <w:pPr>
        <w:pStyle w:val="Akapitzlist"/>
        <w:numPr>
          <w:ilvl w:val="0"/>
          <w:numId w:val="14"/>
        </w:numPr>
        <w:spacing w:after="60" w:line="276" w:lineRule="auto"/>
        <w:contextualSpacing w:val="0"/>
        <w:rPr>
          <w:rFonts w:ascii="Lato" w:hAnsi="Lato"/>
          <w:i/>
        </w:rPr>
      </w:pPr>
      <w:r>
        <w:rPr>
          <w:rFonts w:ascii="Lato" w:hAnsi="Lato"/>
          <w:i/>
        </w:rPr>
        <w:t>r</w:t>
      </w:r>
      <w:r w:rsidR="00C7771E" w:rsidRPr="00A819AD">
        <w:rPr>
          <w:rFonts w:ascii="Lato" w:hAnsi="Lato"/>
          <w:i/>
        </w:rPr>
        <w:t>ozbudowa infrastruktury, w tym zapewnienie zdolności przepływu w obu kierunkach</w:t>
      </w:r>
      <w:r w:rsidR="00A819AD">
        <w:rPr>
          <w:rFonts w:ascii="Lato" w:hAnsi="Lato"/>
          <w:i/>
        </w:rPr>
        <w:t xml:space="preserve"> </w:t>
      </w:r>
      <w:r w:rsidR="00C7771E" w:rsidRPr="00A819AD">
        <w:rPr>
          <w:rFonts w:ascii="Lato" w:hAnsi="Lato"/>
          <w:i/>
        </w:rPr>
        <w:t xml:space="preserve">- </w:t>
      </w:r>
      <w:r w:rsidR="00F962BF" w:rsidRPr="00A819AD">
        <w:rPr>
          <w:rFonts w:ascii="Lato" w:hAnsi="Lato"/>
          <w:iCs/>
        </w:rPr>
        <w:t xml:space="preserve">przekazane do </w:t>
      </w:r>
      <w:r w:rsidR="00976327" w:rsidRPr="00A819AD">
        <w:rPr>
          <w:rFonts w:ascii="Lato" w:hAnsi="Lato"/>
          <w:iCs/>
        </w:rPr>
        <w:t>użytkowania</w:t>
      </w:r>
      <w:r w:rsidR="00C7771E" w:rsidRPr="00A819AD">
        <w:rPr>
          <w:rFonts w:ascii="Lato" w:hAnsi="Lato"/>
          <w:iCs/>
        </w:rPr>
        <w:t xml:space="preserve"> inwestycje w zakresie połączeń międzysystemowych prowadzone przez polskiego operatora systemu przesyłowego uwzględniają możliwość przepływu gazu ziemnego w obu kierunkach</w:t>
      </w:r>
      <w:r w:rsidR="00C7771E" w:rsidRPr="00A819AD">
        <w:rPr>
          <w:rFonts w:ascii="Lato" w:hAnsi="Lato"/>
          <w:i/>
        </w:rPr>
        <w:t>:</w:t>
      </w:r>
    </w:p>
    <w:p w14:paraId="7A1BC10A" w14:textId="6B6C3574" w:rsidR="00B03DBA" w:rsidRPr="00FA13F0" w:rsidRDefault="00C7771E">
      <w:pPr>
        <w:pStyle w:val="Akapitzlist"/>
        <w:numPr>
          <w:ilvl w:val="0"/>
          <w:numId w:val="18"/>
        </w:numPr>
        <w:spacing w:after="60" w:line="276" w:lineRule="auto"/>
        <w:contextualSpacing w:val="0"/>
        <w:rPr>
          <w:rFonts w:ascii="Lato" w:eastAsia="Malgun Gothic" w:hAnsi="Lato"/>
        </w:rPr>
      </w:pPr>
      <w:r w:rsidRPr="00FA13F0">
        <w:rPr>
          <w:rFonts w:ascii="Lato" w:eastAsia="Malgun Gothic" w:hAnsi="Lato"/>
        </w:rPr>
        <w:t>gazoci</w:t>
      </w:r>
      <w:r w:rsidRPr="00FA13F0">
        <w:rPr>
          <w:rFonts w:ascii="Lato" w:eastAsia="Malgun Gothic" w:hAnsi="Lato" w:cs="Calibri"/>
        </w:rPr>
        <w:t>ą</w:t>
      </w:r>
      <w:r w:rsidRPr="00FA13F0">
        <w:rPr>
          <w:rFonts w:ascii="Lato" w:eastAsia="Malgun Gothic" w:hAnsi="Lato"/>
        </w:rPr>
        <w:t>g Baltic Pipe</w:t>
      </w:r>
      <w:r w:rsidR="00CD3372">
        <w:rPr>
          <w:rFonts w:ascii="Lato" w:eastAsia="Malgun Gothic" w:hAnsi="Lato"/>
        </w:rPr>
        <w:t xml:space="preserve"> – </w:t>
      </w:r>
      <w:r w:rsidRPr="00FA13F0">
        <w:rPr>
          <w:rFonts w:ascii="Lato" w:eastAsia="Malgun Gothic" w:hAnsi="Lato"/>
        </w:rPr>
        <w:t>zdolno</w:t>
      </w:r>
      <w:r w:rsidRPr="00FA13F0">
        <w:rPr>
          <w:rFonts w:ascii="Lato" w:eastAsia="Malgun Gothic" w:hAnsi="Lato" w:cs="Calibri"/>
        </w:rPr>
        <w:t>ś</w:t>
      </w:r>
      <w:r w:rsidRPr="00FA13F0">
        <w:rPr>
          <w:rFonts w:ascii="Lato" w:eastAsia="Malgun Gothic" w:hAnsi="Lato"/>
        </w:rPr>
        <w:t>ci przesy</w:t>
      </w:r>
      <w:r w:rsidRPr="00FA13F0">
        <w:rPr>
          <w:rFonts w:ascii="Lato" w:eastAsia="Malgun Gothic" w:hAnsi="Lato" w:cs="Malgun Gothic"/>
        </w:rPr>
        <w:t>ł</w:t>
      </w:r>
      <w:r w:rsidRPr="00FA13F0">
        <w:rPr>
          <w:rFonts w:ascii="Lato" w:eastAsia="Malgun Gothic" w:hAnsi="Lato"/>
        </w:rPr>
        <w:t>owe wynosz</w:t>
      </w:r>
      <w:r w:rsidRPr="00FA13F0">
        <w:rPr>
          <w:rFonts w:ascii="Lato" w:eastAsia="Malgun Gothic" w:hAnsi="Lato" w:cs="Calibri"/>
        </w:rPr>
        <w:t>ą</w:t>
      </w:r>
      <w:r w:rsidRPr="00FA13F0">
        <w:rPr>
          <w:rFonts w:ascii="Lato" w:eastAsia="Malgun Gothic" w:hAnsi="Lato"/>
        </w:rPr>
        <w:t xml:space="preserve"> </w:t>
      </w:r>
      <w:r w:rsidRPr="00FA13F0">
        <w:rPr>
          <w:rFonts w:ascii="Lato" w:eastAsia="Malgun Gothic" w:hAnsi="Lato"/>
          <w:lang w:eastAsia="pl-PL"/>
        </w:rPr>
        <w:t>do 10 mld m</w:t>
      </w:r>
      <w:r w:rsidRPr="00FA13F0">
        <w:rPr>
          <w:rFonts w:ascii="Lato" w:eastAsia="Malgun Gothic" w:hAnsi="Lato"/>
          <w:vertAlign w:val="superscript"/>
          <w:lang w:eastAsia="pl-PL"/>
        </w:rPr>
        <w:t>3</w:t>
      </w:r>
      <w:r w:rsidRPr="00FA13F0">
        <w:rPr>
          <w:rFonts w:ascii="Lato" w:eastAsia="Malgun Gothic" w:hAnsi="Lato"/>
          <w:lang w:eastAsia="pl-PL"/>
        </w:rPr>
        <w:t>/rok (</w:t>
      </w:r>
      <w:r w:rsidR="00E25ED0" w:rsidRPr="00FA13F0">
        <w:rPr>
          <w:rFonts w:ascii="Lato" w:eastAsia="Malgun Gothic" w:hAnsi="Lato"/>
          <w:lang w:eastAsia="pl-PL"/>
        </w:rPr>
        <w:t>117,</w:t>
      </w:r>
      <w:r w:rsidR="00C52537" w:rsidRPr="00FA13F0">
        <w:rPr>
          <w:rFonts w:ascii="Lato" w:eastAsia="Malgun Gothic" w:hAnsi="Lato"/>
          <w:lang w:eastAsia="pl-PL"/>
        </w:rPr>
        <w:t>5</w:t>
      </w:r>
      <w:r w:rsidRPr="00FA13F0">
        <w:rPr>
          <w:rFonts w:ascii="Lato" w:eastAsia="Malgun Gothic" w:hAnsi="Lato"/>
          <w:lang w:eastAsia="pl-PL"/>
        </w:rPr>
        <w:t xml:space="preserve"> TWh/rok) w kierunku Polski oraz do 3 mld m</w:t>
      </w:r>
      <w:r w:rsidRPr="00FA13F0">
        <w:rPr>
          <w:rFonts w:ascii="Lato" w:eastAsia="Malgun Gothic" w:hAnsi="Lato"/>
          <w:vertAlign w:val="superscript"/>
          <w:lang w:eastAsia="pl-PL"/>
        </w:rPr>
        <w:t>3</w:t>
      </w:r>
      <w:r w:rsidRPr="00FA13F0">
        <w:rPr>
          <w:rFonts w:ascii="Lato" w:eastAsia="Malgun Gothic" w:hAnsi="Lato"/>
          <w:lang w:eastAsia="pl-PL"/>
        </w:rPr>
        <w:t xml:space="preserve"> (</w:t>
      </w:r>
      <w:r w:rsidR="0008772E" w:rsidRPr="00FA13F0">
        <w:rPr>
          <w:rFonts w:ascii="Lato" w:eastAsia="Malgun Gothic" w:hAnsi="Lato"/>
          <w:lang w:eastAsia="pl-PL"/>
        </w:rPr>
        <w:t>34,16</w:t>
      </w:r>
      <w:r w:rsidRPr="00FA13F0">
        <w:rPr>
          <w:rFonts w:ascii="Lato" w:eastAsia="Malgun Gothic" w:hAnsi="Lato"/>
          <w:lang w:eastAsia="pl-PL"/>
        </w:rPr>
        <w:t xml:space="preserve"> </w:t>
      </w:r>
      <w:r w:rsidR="0008772E" w:rsidRPr="00FA13F0">
        <w:rPr>
          <w:rFonts w:ascii="Lato" w:eastAsia="Malgun Gothic" w:hAnsi="Lato"/>
          <w:lang w:eastAsia="pl-PL"/>
        </w:rPr>
        <w:t>TWh</w:t>
      </w:r>
      <w:r w:rsidRPr="00FA13F0">
        <w:rPr>
          <w:rFonts w:ascii="Lato" w:eastAsia="Malgun Gothic" w:hAnsi="Lato"/>
          <w:lang w:eastAsia="pl-PL"/>
        </w:rPr>
        <w:t>/rok) w kierunku Danii,</w:t>
      </w:r>
    </w:p>
    <w:p w14:paraId="15C9987E" w14:textId="02F11A94" w:rsidR="00B03DBA" w:rsidRPr="00FA13F0" w:rsidRDefault="00C7771E">
      <w:pPr>
        <w:pStyle w:val="Akapitzlist"/>
        <w:numPr>
          <w:ilvl w:val="0"/>
          <w:numId w:val="18"/>
        </w:numPr>
        <w:spacing w:after="60" w:line="276" w:lineRule="auto"/>
        <w:contextualSpacing w:val="0"/>
        <w:rPr>
          <w:rFonts w:ascii="Lato" w:eastAsia="Malgun Gothic" w:hAnsi="Lato"/>
          <w:color w:val="000000"/>
        </w:rPr>
      </w:pPr>
      <w:r w:rsidRPr="00FA13F0">
        <w:rPr>
          <w:rFonts w:ascii="Lato" w:eastAsia="Malgun Gothic" w:hAnsi="Lato"/>
          <w:color w:val="000000"/>
        </w:rPr>
        <w:t>poł</w:t>
      </w:r>
      <w:r w:rsidRPr="00FA13F0">
        <w:rPr>
          <w:rFonts w:ascii="Lato" w:eastAsia="Malgun Gothic" w:hAnsi="Lato" w:cs="Calibri"/>
          <w:color w:val="000000"/>
        </w:rPr>
        <w:t>ą</w:t>
      </w:r>
      <w:r w:rsidRPr="00FA13F0">
        <w:rPr>
          <w:rFonts w:ascii="Lato" w:eastAsia="Malgun Gothic" w:hAnsi="Lato"/>
          <w:color w:val="000000"/>
        </w:rPr>
        <w:t>czenie mi</w:t>
      </w:r>
      <w:r w:rsidRPr="00FA13F0">
        <w:rPr>
          <w:rFonts w:ascii="Lato" w:eastAsia="Malgun Gothic" w:hAnsi="Lato" w:cs="Calibri"/>
          <w:color w:val="000000"/>
        </w:rPr>
        <w:t>ę</w:t>
      </w:r>
      <w:r w:rsidRPr="00FA13F0">
        <w:rPr>
          <w:rFonts w:ascii="Lato" w:eastAsia="Malgun Gothic" w:hAnsi="Lato"/>
          <w:color w:val="000000"/>
        </w:rPr>
        <w:t>dzysystemowe Polska-S</w:t>
      </w:r>
      <w:r w:rsidRPr="00FA13F0">
        <w:rPr>
          <w:rFonts w:ascii="Lato" w:eastAsia="Malgun Gothic" w:hAnsi="Lato" w:cs="Malgun Gothic"/>
          <w:color w:val="000000"/>
        </w:rPr>
        <w:t>ł</w:t>
      </w:r>
      <w:r w:rsidRPr="00FA13F0">
        <w:rPr>
          <w:rFonts w:ascii="Lato" w:eastAsia="Malgun Gothic" w:hAnsi="Lato"/>
          <w:color w:val="000000"/>
        </w:rPr>
        <w:t>owacja –</w:t>
      </w:r>
      <w:r w:rsidRPr="00FA13F0" w:rsidDel="00423F7E">
        <w:rPr>
          <w:rFonts w:ascii="Lato" w:eastAsia="Malgun Gothic" w:hAnsi="Lato"/>
          <w:color w:val="000000"/>
        </w:rPr>
        <w:t xml:space="preserve"> </w:t>
      </w:r>
      <w:r w:rsidRPr="00FA13F0">
        <w:rPr>
          <w:rFonts w:ascii="Lato" w:eastAsia="Malgun Gothic" w:hAnsi="Lato"/>
        </w:rPr>
        <w:t>zdolno</w:t>
      </w:r>
      <w:r w:rsidRPr="00FA13F0">
        <w:rPr>
          <w:rFonts w:ascii="Lato" w:eastAsia="Malgun Gothic" w:hAnsi="Lato" w:cs="Calibri"/>
        </w:rPr>
        <w:t>ś</w:t>
      </w:r>
      <w:r w:rsidRPr="00FA13F0">
        <w:rPr>
          <w:rFonts w:ascii="Lato" w:eastAsia="Malgun Gothic" w:hAnsi="Lato"/>
        </w:rPr>
        <w:t>ci przesy</w:t>
      </w:r>
      <w:r w:rsidRPr="00FA13F0">
        <w:rPr>
          <w:rFonts w:ascii="Lato" w:eastAsia="Malgun Gothic" w:hAnsi="Lato" w:cs="Malgun Gothic"/>
        </w:rPr>
        <w:t>ł</w:t>
      </w:r>
      <w:r w:rsidRPr="00FA13F0">
        <w:rPr>
          <w:rFonts w:ascii="Lato" w:eastAsia="Malgun Gothic" w:hAnsi="Lato"/>
        </w:rPr>
        <w:t>owe na po</w:t>
      </w:r>
      <w:r w:rsidRPr="00FA13F0">
        <w:rPr>
          <w:rFonts w:ascii="Lato" w:eastAsia="Malgun Gothic" w:hAnsi="Lato" w:cs="Malgun Gothic"/>
        </w:rPr>
        <w:t>ł</w:t>
      </w:r>
      <w:r w:rsidRPr="00FA13F0">
        <w:rPr>
          <w:rFonts w:ascii="Lato" w:eastAsia="Malgun Gothic" w:hAnsi="Lato" w:cs="Calibri"/>
        </w:rPr>
        <w:t>ą</w:t>
      </w:r>
      <w:r w:rsidRPr="00FA13F0">
        <w:rPr>
          <w:rFonts w:ascii="Lato" w:eastAsia="Malgun Gothic" w:hAnsi="Lato"/>
        </w:rPr>
        <w:t>czeniu wynosz</w:t>
      </w:r>
      <w:r w:rsidRPr="00FA13F0">
        <w:rPr>
          <w:rFonts w:ascii="Lato" w:eastAsia="Malgun Gothic" w:hAnsi="Lato" w:cs="Calibri"/>
        </w:rPr>
        <w:t>ą</w:t>
      </w:r>
      <w:r w:rsidRPr="00FA13F0">
        <w:rPr>
          <w:rFonts w:ascii="Lato" w:eastAsia="Malgun Gothic" w:hAnsi="Lato"/>
        </w:rPr>
        <w:t xml:space="preserve"> 5,7 mld m</w:t>
      </w:r>
      <w:r w:rsidRPr="00FA13F0">
        <w:rPr>
          <w:rFonts w:ascii="Lato" w:eastAsia="Malgun Gothic" w:hAnsi="Lato"/>
          <w:vertAlign w:val="superscript"/>
        </w:rPr>
        <w:t>3</w:t>
      </w:r>
      <w:r w:rsidRPr="00FA13F0">
        <w:rPr>
          <w:rFonts w:ascii="Lato" w:eastAsia="Malgun Gothic" w:hAnsi="Lato"/>
        </w:rPr>
        <w:t>/rok (6</w:t>
      </w:r>
      <w:r w:rsidR="00C50974" w:rsidRPr="00FA13F0">
        <w:rPr>
          <w:rFonts w:ascii="Lato" w:eastAsia="Malgun Gothic" w:hAnsi="Lato"/>
        </w:rPr>
        <w:t>3,</w:t>
      </w:r>
      <w:r w:rsidR="006665B0" w:rsidRPr="00FA13F0">
        <w:rPr>
          <w:rFonts w:ascii="Lato" w:eastAsia="Malgun Gothic" w:hAnsi="Lato"/>
        </w:rPr>
        <w:t>49</w:t>
      </w:r>
      <w:r w:rsidRPr="00FA13F0">
        <w:rPr>
          <w:rFonts w:ascii="Lato" w:eastAsia="Malgun Gothic" w:hAnsi="Lato"/>
        </w:rPr>
        <w:t xml:space="preserve"> TWh/rok) w kierunku Polski oraz 4,7 mld m</w:t>
      </w:r>
      <w:r w:rsidRPr="00FA13F0">
        <w:rPr>
          <w:rFonts w:ascii="Lato" w:eastAsia="Malgun Gothic" w:hAnsi="Lato"/>
          <w:vertAlign w:val="superscript"/>
        </w:rPr>
        <w:t>3</w:t>
      </w:r>
      <w:r w:rsidRPr="00FA13F0">
        <w:rPr>
          <w:rFonts w:ascii="Lato" w:eastAsia="Malgun Gothic" w:hAnsi="Lato"/>
        </w:rPr>
        <w:t>/rok (</w:t>
      </w:r>
      <w:r w:rsidR="00D91402" w:rsidRPr="00FA13F0">
        <w:rPr>
          <w:rFonts w:ascii="Lato" w:eastAsia="Malgun Gothic" w:hAnsi="Lato"/>
        </w:rPr>
        <w:t>52,</w:t>
      </w:r>
      <w:r w:rsidR="005E06CA" w:rsidRPr="00FA13F0">
        <w:rPr>
          <w:rFonts w:ascii="Lato" w:eastAsia="Malgun Gothic" w:hAnsi="Lato"/>
        </w:rPr>
        <w:t>74</w:t>
      </w:r>
      <w:r w:rsidRPr="00FA13F0">
        <w:rPr>
          <w:rFonts w:ascii="Lato" w:eastAsia="Malgun Gothic" w:hAnsi="Lato"/>
        </w:rPr>
        <w:t xml:space="preserve"> TWh/rok) w kierunku Słowacji,</w:t>
      </w:r>
    </w:p>
    <w:p w14:paraId="71EBD6FD" w14:textId="329CC12E" w:rsidR="00B03DBA" w:rsidRPr="00FA13F0" w:rsidRDefault="00C7771E">
      <w:pPr>
        <w:pStyle w:val="Akapitzlist"/>
        <w:numPr>
          <w:ilvl w:val="0"/>
          <w:numId w:val="18"/>
        </w:numPr>
        <w:spacing w:after="60" w:line="276" w:lineRule="auto"/>
        <w:contextualSpacing w:val="0"/>
        <w:rPr>
          <w:rFonts w:ascii="Lato" w:eastAsia="Malgun Gothic" w:hAnsi="Lato"/>
          <w:color w:val="000000"/>
        </w:rPr>
      </w:pPr>
      <w:r w:rsidRPr="00FA13F0">
        <w:rPr>
          <w:rFonts w:ascii="Lato" w:eastAsia="Malgun Gothic" w:hAnsi="Lato"/>
          <w:color w:val="000000"/>
        </w:rPr>
        <w:t>poł</w:t>
      </w:r>
      <w:r w:rsidRPr="00FA13F0">
        <w:rPr>
          <w:rFonts w:ascii="Lato" w:eastAsia="Malgun Gothic" w:hAnsi="Lato" w:cs="Calibri"/>
          <w:color w:val="000000"/>
        </w:rPr>
        <w:t>ą</w:t>
      </w:r>
      <w:r w:rsidRPr="00FA13F0">
        <w:rPr>
          <w:rFonts w:ascii="Lato" w:eastAsia="Malgun Gothic" w:hAnsi="Lato"/>
          <w:color w:val="000000"/>
        </w:rPr>
        <w:t>czenie mi</w:t>
      </w:r>
      <w:r w:rsidRPr="00FA13F0">
        <w:rPr>
          <w:rFonts w:ascii="Lato" w:eastAsia="Malgun Gothic" w:hAnsi="Lato" w:cs="Calibri"/>
          <w:color w:val="000000"/>
        </w:rPr>
        <w:t>ę</w:t>
      </w:r>
      <w:r w:rsidRPr="00FA13F0">
        <w:rPr>
          <w:rFonts w:ascii="Lato" w:eastAsia="Malgun Gothic" w:hAnsi="Lato"/>
          <w:color w:val="000000"/>
        </w:rPr>
        <w:t xml:space="preserve">dzysystemowe Polska-Litwa </w:t>
      </w:r>
      <w:r w:rsidRPr="00FA13F0">
        <w:rPr>
          <w:rFonts w:ascii="Lato" w:eastAsia="Malgun Gothic" w:hAnsi="Lato"/>
          <w:b/>
          <w:color w:val="000000"/>
        </w:rPr>
        <w:t>–</w:t>
      </w:r>
      <w:r w:rsidRPr="00FA13F0" w:rsidDel="00423F7E">
        <w:rPr>
          <w:rFonts w:ascii="Lato" w:eastAsia="Malgun Gothic" w:hAnsi="Lato"/>
          <w:b/>
          <w:color w:val="000000"/>
        </w:rPr>
        <w:t xml:space="preserve"> </w:t>
      </w:r>
      <w:r w:rsidRPr="00FA13F0">
        <w:rPr>
          <w:rFonts w:ascii="Lato" w:eastAsia="Malgun Gothic" w:hAnsi="Lato"/>
          <w:color w:val="000000"/>
        </w:rPr>
        <w:t>zdolno</w:t>
      </w:r>
      <w:r w:rsidRPr="00FA13F0">
        <w:rPr>
          <w:rFonts w:ascii="Lato" w:eastAsia="Malgun Gothic" w:hAnsi="Lato" w:cs="Calibri"/>
          <w:color w:val="000000"/>
        </w:rPr>
        <w:t>ś</w:t>
      </w:r>
      <w:r w:rsidRPr="00FA13F0">
        <w:rPr>
          <w:rFonts w:ascii="Lato" w:eastAsia="Malgun Gothic" w:hAnsi="Lato"/>
          <w:color w:val="000000"/>
        </w:rPr>
        <w:t>ci przesyłowe wynosz</w:t>
      </w:r>
      <w:r w:rsidRPr="00FA13F0">
        <w:rPr>
          <w:rFonts w:ascii="Lato" w:eastAsia="Malgun Gothic" w:hAnsi="Lato" w:cs="Calibri"/>
          <w:color w:val="000000"/>
        </w:rPr>
        <w:t>ą</w:t>
      </w:r>
      <w:r w:rsidRPr="00FA13F0">
        <w:rPr>
          <w:rFonts w:ascii="Lato" w:eastAsia="Malgun Gothic" w:hAnsi="Lato"/>
          <w:color w:val="000000"/>
        </w:rPr>
        <w:t xml:space="preserve"> 2,4 mld m</w:t>
      </w:r>
      <w:r w:rsidRPr="00FA13F0">
        <w:rPr>
          <w:rFonts w:ascii="Lato" w:eastAsia="Malgun Gothic" w:hAnsi="Lato"/>
          <w:color w:val="000000"/>
          <w:vertAlign w:val="superscript"/>
        </w:rPr>
        <w:t>3</w:t>
      </w:r>
      <w:r w:rsidRPr="00FA13F0">
        <w:rPr>
          <w:rFonts w:ascii="Lato" w:eastAsia="Malgun Gothic" w:hAnsi="Lato"/>
          <w:color w:val="000000"/>
        </w:rPr>
        <w:t>/rok (26,</w:t>
      </w:r>
      <w:r w:rsidR="0093342A" w:rsidRPr="00FA13F0">
        <w:rPr>
          <w:rFonts w:ascii="Lato" w:eastAsia="Malgun Gothic" w:hAnsi="Lato"/>
          <w:color w:val="000000"/>
        </w:rPr>
        <w:t>7</w:t>
      </w:r>
      <w:r w:rsidR="006C2AAD" w:rsidRPr="00FA13F0">
        <w:rPr>
          <w:rFonts w:ascii="Lato" w:eastAsia="Malgun Gothic" w:hAnsi="Lato"/>
          <w:color w:val="000000"/>
        </w:rPr>
        <w:t xml:space="preserve">6 </w:t>
      </w:r>
      <w:r w:rsidRPr="00FA13F0">
        <w:rPr>
          <w:rFonts w:ascii="Lato" w:eastAsia="Malgun Gothic" w:hAnsi="Lato"/>
          <w:color w:val="000000"/>
        </w:rPr>
        <w:t>TWh/rok) w kierunku Litwy oraz 1,</w:t>
      </w:r>
      <w:r w:rsidR="00535BEA" w:rsidRPr="00FA13F0">
        <w:rPr>
          <w:rFonts w:ascii="Lato" w:eastAsia="Malgun Gothic" w:hAnsi="Lato"/>
          <w:color w:val="000000"/>
        </w:rPr>
        <w:t xml:space="preserve">9 </w:t>
      </w:r>
      <w:r w:rsidRPr="00FA13F0">
        <w:rPr>
          <w:rFonts w:ascii="Lato" w:eastAsia="Malgun Gothic" w:hAnsi="Lato"/>
          <w:color w:val="000000"/>
        </w:rPr>
        <w:t>mld m</w:t>
      </w:r>
      <w:r w:rsidRPr="00FA13F0">
        <w:rPr>
          <w:rFonts w:ascii="Lato" w:eastAsia="Malgun Gothic" w:hAnsi="Lato"/>
          <w:color w:val="000000"/>
          <w:vertAlign w:val="superscript"/>
        </w:rPr>
        <w:t>3</w:t>
      </w:r>
      <w:r w:rsidRPr="00FA13F0">
        <w:rPr>
          <w:rFonts w:ascii="Lato" w:eastAsia="Malgun Gothic" w:hAnsi="Lato"/>
          <w:color w:val="000000"/>
        </w:rPr>
        <w:t>/rok (</w:t>
      </w:r>
      <w:r w:rsidR="00356BE0" w:rsidRPr="00FA13F0">
        <w:rPr>
          <w:rFonts w:ascii="Lato" w:eastAsia="Malgun Gothic" w:hAnsi="Lato"/>
          <w:color w:val="000000"/>
        </w:rPr>
        <w:t>21,2</w:t>
      </w:r>
      <w:r w:rsidRPr="00FA13F0">
        <w:rPr>
          <w:rFonts w:ascii="Lato" w:eastAsia="Malgun Gothic" w:hAnsi="Lato"/>
          <w:color w:val="000000"/>
        </w:rPr>
        <w:t xml:space="preserve"> TWh/rok) w kierunku Polski</w:t>
      </w:r>
      <w:r w:rsidR="00CB2DC6" w:rsidRPr="00FA13F0">
        <w:rPr>
          <w:rFonts w:ascii="Lato" w:eastAsia="Malgun Gothic" w:hAnsi="Lato"/>
          <w:color w:val="000000"/>
        </w:rPr>
        <w:t>,</w:t>
      </w:r>
    </w:p>
    <w:p w14:paraId="20A2F849" w14:textId="25C71A15" w:rsidR="00B03DBA" w:rsidRPr="00A819AD" w:rsidRDefault="00CD3372">
      <w:pPr>
        <w:pStyle w:val="Akapitzlist"/>
        <w:numPr>
          <w:ilvl w:val="0"/>
          <w:numId w:val="14"/>
        </w:numPr>
        <w:spacing w:after="60" w:line="276" w:lineRule="auto"/>
        <w:contextualSpacing w:val="0"/>
        <w:rPr>
          <w:rFonts w:ascii="Lato" w:hAnsi="Lato"/>
          <w:i/>
        </w:rPr>
      </w:pPr>
      <w:r>
        <w:rPr>
          <w:rFonts w:ascii="Lato" w:hAnsi="Lato"/>
          <w:i/>
        </w:rPr>
        <w:t>p</w:t>
      </w:r>
      <w:r w:rsidR="00C7771E" w:rsidRPr="00A819AD">
        <w:rPr>
          <w:rFonts w:ascii="Lato" w:hAnsi="Lato"/>
          <w:i/>
        </w:rPr>
        <w:t xml:space="preserve">rzekierowanie maksymalnej ilości gazu ziemnego zaazotowanego do odazotowni </w:t>
      </w:r>
      <w:r w:rsidR="00C7771E" w:rsidRPr="00A819AD">
        <w:rPr>
          <w:rFonts w:ascii="Lato" w:hAnsi="Lato"/>
          <w:iCs/>
        </w:rPr>
        <w:t>w celu zwiększenia produkcji gazu ziemnego wysokometanowego</w:t>
      </w:r>
      <w:r w:rsidR="00212DC5" w:rsidRPr="00A819AD">
        <w:rPr>
          <w:rFonts w:ascii="Lato" w:hAnsi="Lato"/>
          <w:iCs/>
        </w:rPr>
        <w:t xml:space="preserve"> </w:t>
      </w:r>
      <w:r w:rsidR="00212DC5" w:rsidRPr="00CD3372">
        <w:rPr>
          <w:rFonts w:ascii="Lato" w:hAnsi="Lato"/>
          <w:iCs/>
        </w:rPr>
        <w:t>w przypadku zakłóceń w systemie gazu ziemnego wysokometanowego</w:t>
      </w:r>
      <w:r w:rsidR="00212DC5" w:rsidRPr="00A819AD">
        <w:rPr>
          <w:rFonts w:ascii="Lato" w:hAnsi="Lato"/>
          <w:iCs/>
        </w:rPr>
        <w:t xml:space="preserve">, </w:t>
      </w:r>
      <w:r w:rsidR="00212DC5" w:rsidRPr="00CD3372">
        <w:rPr>
          <w:rFonts w:ascii="Lato" w:hAnsi="Lato"/>
          <w:iCs/>
        </w:rPr>
        <w:t>w sposób niezakłócający dostaw gazu ziemnego zaazotowanego</w:t>
      </w:r>
      <w:r w:rsidR="00EC57AF" w:rsidRPr="00CD3372">
        <w:rPr>
          <w:rFonts w:ascii="Lato" w:hAnsi="Lato"/>
          <w:iCs/>
        </w:rPr>
        <w:t>;</w:t>
      </w:r>
    </w:p>
    <w:p w14:paraId="1DBA9760" w14:textId="5A489D0E" w:rsidR="00212DC5" w:rsidRPr="00A819AD" w:rsidRDefault="00CD3372">
      <w:pPr>
        <w:pStyle w:val="Akapitzlist"/>
        <w:numPr>
          <w:ilvl w:val="0"/>
          <w:numId w:val="14"/>
        </w:numPr>
        <w:spacing w:after="60" w:line="276" w:lineRule="auto"/>
        <w:contextualSpacing w:val="0"/>
        <w:rPr>
          <w:rFonts w:ascii="Lato" w:hAnsi="Lato"/>
          <w:iCs/>
        </w:rPr>
      </w:pPr>
      <w:r>
        <w:rPr>
          <w:rFonts w:ascii="Lato" w:hAnsi="Lato"/>
          <w:i/>
        </w:rPr>
        <w:t>z</w:t>
      </w:r>
      <w:r w:rsidR="00212DC5" w:rsidRPr="00A819AD">
        <w:rPr>
          <w:rFonts w:ascii="Lato" w:hAnsi="Lato"/>
          <w:i/>
        </w:rPr>
        <w:t xml:space="preserve">mniejszanie dostaw gazu zaazotowanego podgrupy Lw do odazotowni </w:t>
      </w:r>
      <w:r w:rsidR="00212DC5" w:rsidRPr="00A819AD">
        <w:rPr>
          <w:rFonts w:ascii="Lato" w:hAnsi="Lato"/>
          <w:iCs/>
        </w:rPr>
        <w:t xml:space="preserve">w przypadku wystąpienia zakłóceń w systemie gazu ziemnego zaazotowanego Lw, </w:t>
      </w:r>
      <w:r w:rsidR="00212DC5" w:rsidRPr="00CD3372">
        <w:rPr>
          <w:rFonts w:ascii="Lato" w:hAnsi="Lato"/>
          <w:iCs/>
        </w:rPr>
        <w:t>w sposób niezakłócający dostaw gazu ziemnego wysokometanowego</w:t>
      </w:r>
      <w:r w:rsidR="00EC57AF" w:rsidRPr="00CD3372">
        <w:rPr>
          <w:rFonts w:ascii="Lato" w:hAnsi="Lato"/>
          <w:iCs/>
        </w:rPr>
        <w:t>;</w:t>
      </w:r>
    </w:p>
    <w:p w14:paraId="1A4DFE17" w14:textId="67344FED" w:rsidR="00212DC5" w:rsidRPr="00A819AD" w:rsidRDefault="00CD3372">
      <w:pPr>
        <w:pStyle w:val="Akapitzlist"/>
        <w:numPr>
          <w:ilvl w:val="0"/>
          <w:numId w:val="14"/>
        </w:numPr>
        <w:spacing w:after="60" w:line="276" w:lineRule="auto"/>
        <w:contextualSpacing w:val="0"/>
        <w:rPr>
          <w:rFonts w:ascii="Lato" w:hAnsi="Lato"/>
          <w:iCs/>
        </w:rPr>
      </w:pPr>
      <w:r w:rsidRPr="00A819AD">
        <w:rPr>
          <w:rFonts w:ascii="Lato" w:hAnsi="Lato"/>
          <w:i/>
        </w:rPr>
        <w:t>p</w:t>
      </w:r>
      <w:r w:rsidR="00212DC5" w:rsidRPr="00A819AD">
        <w:rPr>
          <w:rFonts w:ascii="Lato" w:hAnsi="Lato"/>
          <w:i/>
        </w:rPr>
        <w:t>rzekierowanie większych ilości gazu wysokometanowego do mieszalni gazu</w:t>
      </w:r>
      <w:r w:rsidR="00212DC5" w:rsidRPr="00A819AD">
        <w:rPr>
          <w:rFonts w:ascii="Lato" w:hAnsi="Lato"/>
          <w:iCs/>
        </w:rPr>
        <w:t xml:space="preserve">, tam gdzie </w:t>
      </w:r>
      <w:r w:rsidR="00260E89">
        <w:rPr>
          <w:rFonts w:ascii="Lato" w:hAnsi="Lato"/>
          <w:iCs/>
        </w:rPr>
        <w:t xml:space="preserve">jest </w:t>
      </w:r>
      <w:r w:rsidR="00212DC5" w:rsidRPr="00A819AD">
        <w:rPr>
          <w:rFonts w:ascii="Lato" w:hAnsi="Lato"/>
          <w:iCs/>
        </w:rPr>
        <w:t xml:space="preserve">to możliwe ze względu na bezpieczeństwo pracy podsystemu (biorąc pod uwagę przekroczenie wymogów dotyczących jakości gazu), w przypadku wystąpienia zakłóceń w systemie </w:t>
      </w:r>
      <w:r w:rsidR="006130C4" w:rsidRPr="00A819AD">
        <w:rPr>
          <w:rFonts w:ascii="Lato" w:hAnsi="Lato"/>
          <w:iCs/>
        </w:rPr>
        <w:t>gazu ziemnego zaazotowanego Ls.</w:t>
      </w:r>
    </w:p>
    <w:p w14:paraId="271BDDCA" w14:textId="77777777" w:rsidR="00B03DBA" w:rsidRPr="00C758B1" w:rsidRDefault="00C7771E" w:rsidP="00086AFF">
      <w:pPr>
        <w:pStyle w:val="Rozdzia2"/>
        <w:spacing w:after="120"/>
        <w:rPr>
          <w:rFonts w:ascii="Lato" w:hAnsi="Lato"/>
        </w:rPr>
      </w:pPr>
      <w:bookmarkStart w:id="273" w:name="_Toc19782954"/>
      <w:bookmarkStart w:id="274" w:name="_Toc142469577"/>
      <w:r w:rsidRPr="00C758B1">
        <w:rPr>
          <w:rFonts w:ascii="Lato" w:hAnsi="Lato"/>
        </w:rPr>
        <w:t>Środki nierynkowe</w:t>
      </w:r>
      <w:bookmarkEnd w:id="273"/>
      <w:bookmarkEnd w:id="274"/>
    </w:p>
    <w:p w14:paraId="75BBCBAE" w14:textId="449F6E60" w:rsidR="001079B8" w:rsidRPr="001079B8" w:rsidRDefault="001079B8" w:rsidP="00270AE5">
      <w:pPr>
        <w:spacing w:after="60" w:line="276" w:lineRule="auto"/>
        <w:ind w:firstLine="708"/>
        <w:rPr>
          <w:rFonts w:ascii="Lato" w:hAnsi="Lato"/>
          <w:iCs/>
        </w:rPr>
      </w:pPr>
      <w:r w:rsidRPr="00270AE5">
        <w:rPr>
          <w:rFonts w:ascii="Lato" w:hAnsi="Lato"/>
          <w:b/>
          <w:bCs/>
          <w:iCs/>
        </w:rPr>
        <w:t>Zapasy obowiązkowe gazu ziemnego</w:t>
      </w:r>
      <w:r w:rsidRPr="001079B8">
        <w:rPr>
          <w:rFonts w:ascii="Lato" w:hAnsi="Lato"/>
          <w:iCs/>
        </w:rPr>
        <w:t xml:space="preserve"> są jednym z środków służących zapewnieniu standardu w zakresie dostaw gazu ziemnego, o którym mowa w art. 6 rozporządzenia 2017/1938.</w:t>
      </w:r>
    </w:p>
    <w:p w14:paraId="4081C8F9" w14:textId="288ABFA1" w:rsidR="001079B8" w:rsidRPr="001079B8" w:rsidRDefault="000B51A0" w:rsidP="000B51A0">
      <w:pPr>
        <w:spacing w:after="60" w:line="276" w:lineRule="auto"/>
        <w:ind w:firstLine="708"/>
        <w:rPr>
          <w:rFonts w:ascii="Lato" w:hAnsi="Lato"/>
          <w:iCs/>
        </w:rPr>
      </w:pPr>
      <w:r>
        <w:rPr>
          <w:rFonts w:ascii="Lato" w:hAnsi="Lato"/>
          <w:iCs/>
        </w:rPr>
        <w:t>Zgodnie z ustawą o zapasach p</w:t>
      </w:r>
      <w:r w:rsidR="001079B8" w:rsidRPr="001079B8">
        <w:rPr>
          <w:rFonts w:ascii="Lato" w:hAnsi="Lato"/>
          <w:iCs/>
        </w:rPr>
        <w:t xml:space="preserve">rzedsiębiorstwa </w:t>
      </w:r>
      <w:bookmarkStart w:id="275" w:name="_Hlk142395889"/>
      <w:r w:rsidR="001079B8" w:rsidRPr="001079B8">
        <w:rPr>
          <w:rFonts w:ascii="Lato" w:hAnsi="Lato"/>
          <w:iCs/>
        </w:rPr>
        <w:t xml:space="preserve">energetyczne wykonujące działalność gospodarczą w zakresie obrotu gazem ziemnym z zagranicą i podmioty dokonujące przywozu gazu ziemnego </w:t>
      </w:r>
      <w:bookmarkEnd w:id="275"/>
      <w:r w:rsidR="001079B8" w:rsidRPr="001079B8">
        <w:rPr>
          <w:rFonts w:ascii="Lato" w:hAnsi="Lato"/>
          <w:iCs/>
        </w:rPr>
        <w:t>są zobowiązane do utrzymywania zapasów obowiązkowych gazu ziemnego w celu zminimalizowania skutków:</w:t>
      </w:r>
    </w:p>
    <w:p w14:paraId="4FE52420" w14:textId="77777777" w:rsidR="00270AE5" w:rsidRDefault="001079B8">
      <w:pPr>
        <w:pStyle w:val="Akapitzlist"/>
        <w:numPr>
          <w:ilvl w:val="0"/>
          <w:numId w:val="20"/>
        </w:numPr>
        <w:spacing w:after="60" w:line="276" w:lineRule="auto"/>
        <w:rPr>
          <w:rFonts w:ascii="Lato" w:hAnsi="Lato"/>
          <w:iCs/>
        </w:rPr>
      </w:pPr>
      <w:r w:rsidRPr="00270AE5">
        <w:rPr>
          <w:rFonts w:ascii="Lato" w:hAnsi="Lato"/>
          <w:iCs/>
        </w:rPr>
        <w:t>zagrożenia bezpieczeństwa gazowego państwa;</w:t>
      </w:r>
    </w:p>
    <w:p w14:paraId="72D5A071" w14:textId="77777777" w:rsidR="00270AE5" w:rsidRDefault="001079B8">
      <w:pPr>
        <w:pStyle w:val="Akapitzlist"/>
        <w:numPr>
          <w:ilvl w:val="0"/>
          <w:numId w:val="20"/>
        </w:numPr>
        <w:spacing w:after="60" w:line="276" w:lineRule="auto"/>
        <w:rPr>
          <w:rFonts w:ascii="Lato" w:hAnsi="Lato"/>
          <w:iCs/>
        </w:rPr>
      </w:pPr>
      <w:r w:rsidRPr="00270AE5">
        <w:rPr>
          <w:rFonts w:ascii="Lato" w:hAnsi="Lato"/>
          <w:iCs/>
        </w:rPr>
        <w:t>wystąpienia sytuacji awaryjnej w sieci gazowej;</w:t>
      </w:r>
    </w:p>
    <w:p w14:paraId="392E1803" w14:textId="37FFFE90" w:rsidR="001079B8" w:rsidRPr="00270AE5" w:rsidRDefault="001079B8">
      <w:pPr>
        <w:pStyle w:val="Akapitzlist"/>
        <w:numPr>
          <w:ilvl w:val="0"/>
          <w:numId w:val="20"/>
        </w:numPr>
        <w:spacing w:after="60" w:line="276" w:lineRule="auto"/>
        <w:rPr>
          <w:rFonts w:ascii="Lato" w:hAnsi="Lato"/>
          <w:iCs/>
        </w:rPr>
      </w:pPr>
      <w:r w:rsidRPr="00270AE5">
        <w:rPr>
          <w:rFonts w:ascii="Lato" w:hAnsi="Lato"/>
          <w:iCs/>
        </w:rPr>
        <w:t>nieprzewidzianego wzrostu zużycia gazu ziemnego.</w:t>
      </w:r>
    </w:p>
    <w:p w14:paraId="385C0CF2" w14:textId="7A47C728" w:rsidR="001079B8" w:rsidRDefault="001079B8" w:rsidP="001079B8">
      <w:pPr>
        <w:spacing w:after="60" w:line="276" w:lineRule="auto"/>
        <w:rPr>
          <w:rFonts w:ascii="Lato" w:hAnsi="Lato"/>
          <w:iCs/>
        </w:rPr>
      </w:pPr>
      <w:r w:rsidRPr="001079B8">
        <w:rPr>
          <w:rFonts w:ascii="Lato" w:hAnsi="Lato"/>
          <w:iCs/>
        </w:rPr>
        <w:t xml:space="preserve">Zapasy obowiązkowe gazu ziemnego stanowią majątek przedsiębiorstw, chyba że na podstawie zawartej umowy, stanowią majątek podmiotu przyjmującego zlecenie </w:t>
      </w:r>
      <w:r w:rsidRPr="001079B8">
        <w:rPr>
          <w:rFonts w:ascii="Lato" w:hAnsi="Lato"/>
          <w:iCs/>
        </w:rPr>
        <w:lastRenderedPageBreak/>
        <w:t xml:space="preserve">utrzymywania zapasów obowiązkowych (tzw. umowa o świadczenie usługi biletowej przez przedsiębiorstwo energetyczne lub Rządową Agencję Rezerw Strategicznych). </w:t>
      </w:r>
      <w:bookmarkStart w:id="276" w:name="_Hlk142395921"/>
      <w:r w:rsidRPr="001079B8">
        <w:rPr>
          <w:rFonts w:ascii="Lato" w:hAnsi="Lato"/>
          <w:iCs/>
        </w:rPr>
        <w:t>Zapasy obowiązkowe gazu ziemnego utrzymywane są w wielkości odpowiadającej co najmniej 30-dniowemu średniemu dziennemu przywozowi tego gazu, w instalacjach magazynowych, których parametry techniczne zapewniają możliwość dostarczenia ich całkowitej ilości do systemu gazowego w okresie nie dłuższym niż 40 dni</w:t>
      </w:r>
      <w:r w:rsidR="00086AFF">
        <w:rPr>
          <w:rStyle w:val="Odwoanieprzypisudolnego"/>
          <w:rFonts w:ascii="Lato" w:hAnsi="Lato"/>
          <w:iCs/>
        </w:rPr>
        <w:footnoteReference w:id="4"/>
      </w:r>
      <w:r w:rsidRPr="001079B8">
        <w:rPr>
          <w:rFonts w:ascii="Lato" w:hAnsi="Lato"/>
          <w:iCs/>
        </w:rPr>
        <w:t>.</w:t>
      </w:r>
    </w:p>
    <w:bookmarkEnd w:id="276"/>
    <w:p w14:paraId="3E69824C" w14:textId="5F1EC43D" w:rsidR="001079B8" w:rsidRPr="001079B8" w:rsidRDefault="001079B8" w:rsidP="000B51A0">
      <w:pPr>
        <w:spacing w:after="60" w:line="276" w:lineRule="auto"/>
        <w:ind w:firstLine="708"/>
        <w:rPr>
          <w:rFonts w:ascii="Lato" w:hAnsi="Lato"/>
          <w:iCs/>
        </w:rPr>
      </w:pPr>
      <w:r w:rsidRPr="001079B8">
        <w:rPr>
          <w:rFonts w:ascii="Lato" w:hAnsi="Lato"/>
          <w:iCs/>
        </w:rPr>
        <w:t xml:space="preserve">Środek, jakim jest obowiązek utrzymywania zapasów obowiązkowych gazu ziemnego przez przedsiębiorstwa energetyczne wykonujące działalność gospodarczą w zakresie obrotu gazem ziemnym z zagranicą i podmioty dokonujące przywozu gazu ziemnego, oparty na wielkości przywozu tego paliwa do kraju, jest konieczny i w pełni uzasadniony. Polska w dużym stopniu jest bowiem uzależniona od importu gazu ziemnego, dlatego kluczowym czynnikiem wpływającym na poziom bezpieczeństwa energetycznego kraju uznaje się stabilność importu gazu ziemnego z zagranicy. Wydobycie krajowe natomiast postrzegane jest jako bezpieczne i stabilne źródło dostaw gazu ziemnego, które dzięki wysokiemu poziomowi rozproszenia i zróżnicowania wielkości kopalni gazu ziemnego nie jest podatne na uwarunkowania zewnętrzne. </w:t>
      </w:r>
    </w:p>
    <w:p w14:paraId="70B8640A" w14:textId="77777777" w:rsidR="001079B8" w:rsidRPr="001079B8" w:rsidRDefault="001079B8" w:rsidP="00F9642E">
      <w:pPr>
        <w:spacing w:after="60" w:line="276" w:lineRule="auto"/>
        <w:ind w:firstLine="708"/>
        <w:rPr>
          <w:rFonts w:ascii="Lato" w:hAnsi="Lato"/>
          <w:iCs/>
        </w:rPr>
      </w:pPr>
      <w:r w:rsidRPr="001079B8">
        <w:rPr>
          <w:rFonts w:ascii="Lato" w:hAnsi="Lato"/>
          <w:iCs/>
        </w:rPr>
        <w:t>W świetle ustawy o zapasach wybór miejsca utrzymywania zapasów obowiązkowych gazu ziemnego należy do zobowiązanego do tego podmiotu. Utrzymywanie zapasów obowiązkowych za granicą jest traktowane na równi z utrzymywaniem ich na terytorium kraju. Zgodnie bowiem z przepisami ustawy o zapasach niezależnie od miejsca utrzymywania zapasów obowiązkowych gazu ziemnego (tj. w kraju czy za granicą):</w:t>
      </w:r>
    </w:p>
    <w:p w14:paraId="6CE2C9F1" w14:textId="60E37711" w:rsidR="001079B8" w:rsidRPr="00270AE5" w:rsidRDefault="001079B8">
      <w:pPr>
        <w:pStyle w:val="Akapitzlist"/>
        <w:numPr>
          <w:ilvl w:val="0"/>
          <w:numId w:val="21"/>
        </w:numPr>
        <w:spacing w:after="60" w:line="276" w:lineRule="auto"/>
        <w:rPr>
          <w:rFonts w:ascii="Lato" w:hAnsi="Lato"/>
          <w:iCs/>
        </w:rPr>
      </w:pPr>
      <w:r w:rsidRPr="00270AE5">
        <w:rPr>
          <w:rFonts w:ascii="Lato" w:hAnsi="Lato"/>
          <w:iCs/>
        </w:rPr>
        <w:t>analogiczny pozostaje ich cel, tj. dostarczenie gazu ziemnego do krajowej sieci gazowej w czasie nie dłuższym 40 dni;</w:t>
      </w:r>
    </w:p>
    <w:p w14:paraId="536A1B8F" w14:textId="72FE139E" w:rsidR="001079B8" w:rsidRPr="001079B8" w:rsidRDefault="001079B8">
      <w:pPr>
        <w:pStyle w:val="Akapitzlist"/>
        <w:numPr>
          <w:ilvl w:val="0"/>
          <w:numId w:val="21"/>
        </w:numPr>
        <w:spacing w:after="60" w:line="276" w:lineRule="auto"/>
        <w:rPr>
          <w:rFonts w:ascii="Lato" w:hAnsi="Lato"/>
          <w:iCs/>
        </w:rPr>
      </w:pPr>
      <w:r w:rsidRPr="001079B8">
        <w:rPr>
          <w:rFonts w:ascii="Lato" w:hAnsi="Lato"/>
          <w:iCs/>
        </w:rPr>
        <w:t>jednakowa jest metoda kalkulacji wielkości zapasów obowiązkowych gazu ziemnego, którą określony podmiot zobowiązany jest utrzymywać</w:t>
      </w:r>
      <w:r w:rsidR="00270AE5">
        <w:rPr>
          <w:rFonts w:ascii="Lato" w:hAnsi="Lato"/>
          <w:iCs/>
        </w:rPr>
        <w:t>;</w:t>
      </w:r>
      <w:r w:rsidRPr="001079B8">
        <w:rPr>
          <w:rFonts w:ascii="Lato" w:hAnsi="Lato"/>
          <w:iCs/>
        </w:rPr>
        <w:t xml:space="preserve"> </w:t>
      </w:r>
    </w:p>
    <w:p w14:paraId="28B02447" w14:textId="617541A0" w:rsidR="001079B8" w:rsidRPr="001079B8" w:rsidRDefault="001079B8">
      <w:pPr>
        <w:pStyle w:val="Akapitzlist"/>
        <w:numPr>
          <w:ilvl w:val="0"/>
          <w:numId w:val="21"/>
        </w:numPr>
        <w:spacing w:after="60" w:line="276" w:lineRule="auto"/>
        <w:rPr>
          <w:rFonts w:ascii="Lato" w:hAnsi="Lato"/>
          <w:iCs/>
        </w:rPr>
      </w:pPr>
      <w:r w:rsidRPr="001079B8">
        <w:rPr>
          <w:rFonts w:ascii="Lato" w:hAnsi="Lato"/>
          <w:iCs/>
        </w:rPr>
        <w:t xml:space="preserve">konieczne jest zarezerwowanie zdolności przesyłowych – inna jest jedynie lokalizacja punktu, w którym te zdolności są rezerwowane. </w:t>
      </w:r>
    </w:p>
    <w:p w14:paraId="086C7DC8" w14:textId="77777777" w:rsidR="001079B8" w:rsidRPr="001079B8" w:rsidRDefault="001079B8" w:rsidP="001079B8">
      <w:pPr>
        <w:spacing w:after="60" w:line="276" w:lineRule="auto"/>
        <w:rPr>
          <w:rFonts w:ascii="Lato" w:hAnsi="Lato"/>
          <w:iCs/>
        </w:rPr>
      </w:pPr>
      <w:r w:rsidRPr="001079B8">
        <w:rPr>
          <w:rFonts w:ascii="Lato" w:hAnsi="Lato"/>
          <w:iCs/>
        </w:rPr>
        <w:tab/>
        <w:t xml:space="preserve">W przypadku zapasów obowiązkowych utrzymywanych w instalacji magazynowej zlokalizowanej na terytorium kraju, punkt wejścia do krajowego systemu przesyłowego znajduje się na połączeniu z instalacją magazynową. Natomiast w przypadku utrzymywania zapasów obowiązkowych poza granicami kraju w punkcie połączenia wzajemnego, tj. w punkcie połączenia systemu krajowego z sąsiadującą siecią przesyłową lub dystrybucyjną. Wysokość opłaty ponoszonej przez zobowiązane podmioty z tytułu rezerwacji zdolności przesyłowych, zarówno w punkcie połączenia międzysystemowego, jak i w punkcie wyjścia z instalacji magazynowej na terytorium </w:t>
      </w:r>
      <w:r w:rsidRPr="001079B8">
        <w:rPr>
          <w:rFonts w:ascii="Lato" w:hAnsi="Lato"/>
          <w:iCs/>
        </w:rPr>
        <w:lastRenderedPageBreak/>
        <w:t>kraju, podlega ocenie i zatwierdzeniu przez Prezesa URE, który bierze pod uwagę m.in. ochronę interesów odbiorców przed nieuzasadnionym poziomem cen i stawek opłat.</w:t>
      </w:r>
    </w:p>
    <w:p w14:paraId="4591E20B" w14:textId="453AFD6F" w:rsidR="001079B8" w:rsidRPr="001079B8" w:rsidRDefault="001079B8" w:rsidP="001079B8">
      <w:pPr>
        <w:spacing w:after="60" w:line="276" w:lineRule="auto"/>
        <w:rPr>
          <w:rFonts w:ascii="Lato" w:hAnsi="Lato"/>
          <w:iCs/>
        </w:rPr>
      </w:pPr>
      <w:r w:rsidRPr="001079B8">
        <w:rPr>
          <w:rFonts w:ascii="Lato" w:hAnsi="Lato"/>
          <w:iCs/>
        </w:rPr>
        <w:tab/>
        <w:t xml:space="preserve">Utrzymywanie zapasów obowiązkowych gazu ziemnego realizuje cel leżący w ogólnym interesie gospodarczym, tj. zagwarantowaniu bezpieczeństwa i ciągłości dostaw gazu ziemnego w przypadku najgłębszego kryzysu. Środek jakim są zapasy obowiązkowe gazu ziemnego jest proporcjonalny, przejrzysty i niedyskryminacyjny, a także niezbędny do osiągnięcia celu, którym jest zagwarantowanie bezpieczeństwa i ciągłości dostaw gazu ziemnego. </w:t>
      </w:r>
    </w:p>
    <w:p w14:paraId="0754FC61" w14:textId="487DBB39" w:rsidR="001079B8" w:rsidRPr="00270AE5" w:rsidRDefault="001079B8" w:rsidP="001079B8">
      <w:pPr>
        <w:spacing w:after="60" w:line="276" w:lineRule="auto"/>
        <w:rPr>
          <w:i/>
        </w:rPr>
      </w:pPr>
      <w:r w:rsidRPr="001079B8">
        <w:rPr>
          <w:rFonts w:ascii="Lato" w:hAnsi="Lato"/>
          <w:iCs/>
        </w:rPr>
        <w:tab/>
        <w:t xml:space="preserve">Uruchomienie zapasów obowiązkowych gazu ziemnego zostało wprost powiązane z brakiem możliwości bilansowania systemu gazowego. Zgodnie z </w:t>
      </w:r>
      <w:r>
        <w:rPr>
          <w:rFonts w:ascii="Lato" w:hAnsi="Lato"/>
          <w:iCs/>
        </w:rPr>
        <w:t>przepisami ustawy o zapasach</w:t>
      </w:r>
      <w:r w:rsidRPr="001079B8">
        <w:rPr>
          <w:rFonts w:ascii="Lato" w:hAnsi="Lato"/>
          <w:iCs/>
        </w:rPr>
        <w:t>, dopiero w przypadku wprowadzenia stanu nadzwyczajnego, skutkującego zagrożeniem bilansowania systemu gazowego, minister właściwy do spraw energii, może podjąć decyzję o uruchomieniu zapasów obowiązkowych gazu ziemnego, na wniosek operatora systemu przesyłowego. Zapasy obowiązkowe gazu ziemnego stanowią środek nierynkowy w rozumieniu rozporządzenia 2017/1938. Wynika to również z definicji stanu nadzwyczajnego, która jest zgodna z art. 11 ust. 1 lit. c rozporządzenia 2017/1938: Stan nadzwyczajny jest ogłaszany w przypadku […] gdy wykorzystano wszystkie stosowne środki rynkowe, ale dostawy gazu ziemnego są niewystarczające do zaspokojenia pozostałego zapotrzebowania na gaz ziemny, tak że jest konieczne wprowadzenie dodatkowo środków nierynkowych, aby zabezpieczyć dostawy gazu ziemnego, w szczególności do odbiorców chronionych. Sposób, w jaki zapasy obowiązkowe gazu ziemnego zostaną wykorzystane do zapewnienia nieprzerwanych dostaw do odbiorców chronionych, zależy bezpośrednio od faktycznej sytuacji i realnych potrzeb.</w:t>
      </w:r>
    </w:p>
    <w:p w14:paraId="35C8CD3F" w14:textId="23C2E842" w:rsidR="001079B8" w:rsidRPr="001079B8" w:rsidRDefault="001079B8" w:rsidP="00270AE5">
      <w:pPr>
        <w:spacing w:after="60" w:line="276" w:lineRule="auto"/>
        <w:ind w:firstLine="708"/>
        <w:rPr>
          <w:rFonts w:ascii="Lato" w:hAnsi="Lato"/>
        </w:rPr>
      </w:pPr>
      <w:r w:rsidRPr="00270AE5">
        <w:rPr>
          <w:rFonts w:ascii="Lato" w:hAnsi="Lato"/>
          <w:b/>
          <w:bCs/>
        </w:rPr>
        <w:t>Ograniczenia w poborze gazu ziemnego</w:t>
      </w:r>
      <w:r w:rsidRPr="001079B8">
        <w:rPr>
          <w:rFonts w:ascii="Lato" w:hAnsi="Lato"/>
        </w:rPr>
        <w:t xml:space="preserve"> </w:t>
      </w:r>
      <w:bookmarkStart w:id="277" w:name="_Hlk142396055"/>
      <w:r w:rsidRPr="001079B8">
        <w:rPr>
          <w:rFonts w:ascii="Lato" w:hAnsi="Lato"/>
        </w:rPr>
        <w:t>polegają na ograniczeniu maksymalnego godzinowego i dobowego poboru gazu ziemnego na terytorium RP lub jego części</w:t>
      </w:r>
      <w:bookmarkEnd w:id="277"/>
      <w:r w:rsidRPr="001079B8">
        <w:rPr>
          <w:rFonts w:ascii="Lato" w:hAnsi="Lato"/>
        </w:rPr>
        <w:t>, mogą być wprowadzone na czas oznaczony. Ograniczenia są wprowadzane zgodnie z planami wprowadzania ograniczeń i co do zasady nie dotyczą odbiorców gazu ziemnego określonych jako odbiorcy chronieni. Ograniczenia w poborze gazu ziemnego mogą zostać wprowadzone zgodnie z art. 54 ustawy o zapasach w przypadku ogłoszenia stanu nadzwyczajnego. Przesłanki do wprowadzenia stanu nadzwyczajnego, zgodnie z art. 49a ust. 2 ustawy o zapasach dotyczą poniższych sytuacji:</w:t>
      </w:r>
    </w:p>
    <w:p w14:paraId="7376BACE" w14:textId="627D00A7" w:rsidR="001079B8" w:rsidRPr="00270AE5" w:rsidRDefault="001079B8">
      <w:pPr>
        <w:pStyle w:val="Akapitzlist"/>
        <w:numPr>
          <w:ilvl w:val="0"/>
          <w:numId w:val="22"/>
        </w:numPr>
        <w:spacing w:after="60" w:line="276" w:lineRule="auto"/>
        <w:rPr>
          <w:rFonts w:ascii="Lato" w:hAnsi="Lato"/>
        </w:rPr>
      </w:pPr>
      <w:r w:rsidRPr="00270AE5">
        <w:rPr>
          <w:rFonts w:ascii="Lato" w:hAnsi="Lato"/>
        </w:rPr>
        <w:t>zagrożenia bezpieczeństwa gazowego państwa,</w:t>
      </w:r>
    </w:p>
    <w:p w14:paraId="2CE977A2" w14:textId="5C6FEBD0" w:rsidR="001079B8" w:rsidRPr="001079B8" w:rsidRDefault="001079B8">
      <w:pPr>
        <w:pStyle w:val="Akapitzlist"/>
        <w:numPr>
          <w:ilvl w:val="0"/>
          <w:numId w:val="22"/>
        </w:numPr>
        <w:spacing w:after="60" w:line="276" w:lineRule="auto"/>
        <w:rPr>
          <w:rFonts w:ascii="Lato" w:hAnsi="Lato"/>
        </w:rPr>
      </w:pPr>
      <w:r w:rsidRPr="001079B8">
        <w:rPr>
          <w:rFonts w:ascii="Lato" w:hAnsi="Lato"/>
        </w:rPr>
        <w:t>zakłóceń w dostarczaniu gazu ziemnego do systemu gazowego,</w:t>
      </w:r>
    </w:p>
    <w:p w14:paraId="139F5300" w14:textId="69E7F089" w:rsidR="001079B8" w:rsidRPr="001079B8" w:rsidRDefault="001079B8">
      <w:pPr>
        <w:pStyle w:val="Akapitzlist"/>
        <w:numPr>
          <w:ilvl w:val="0"/>
          <w:numId w:val="22"/>
        </w:numPr>
        <w:spacing w:after="60" w:line="276" w:lineRule="auto"/>
        <w:rPr>
          <w:rFonts w:ascii="Lato" w:hAnsi="Lato"/>
        </w:rPr>
      </w:pPr>
      <w:r w:rsidRPr="001079B8">
        <w:rPr>
          <w:rFonts w:ascii="Lato" w:hAnsi="Lato"/>
        </w:rPr>
        <w:t>gwałtownego, nieprzewidzianego uszkodzenia lub zniszczenia urządzeń, instalacji lub sieci, powodującego przerwę w ich używaniu lub utratę ich właściwości zagrażającą bezpieczeństwu funkcjonowania systemu gazowego.</w:t>
      </w:r>
    </w:p>
    <w:p w14:paraId="602A4360" w14:textId="2CC66241" w:rsidR="00CB2DC6" w:rsidRPr="00C758B1" w:rsidRDefault="001079B8" w:rsidP="00260E89">
      <w:pPr>
        <w:spacing w:after="60" w:line="276" w:lineRule="auto"/>
        <w:jc w:val="left"/>
        <w:rPr>
          <w:rFonts w:ascii="Lato" w:eastAsiaTheme="majorEastAsia" w:hAnsi="Lato" w:cstheme="majorBidi"/>
          <w:b/>
          <w:sz w:val="32"/>
          <w:szCs w:val="32"/>
        </w:rPr>
      </w:pPr>
      <w:r w:rsidRPr="001079B8">
        <w:rPr>
          <w:rFonts w:ascii="Lato" w:hAnsi="Lato"/>
        </w:rPr>
        <w:t>Ograniczenia w poborze gazu ziemnego, zgodnie z art. 56 ust. 1 ustawy o zapasach, mogą zostać wprowadzone, w drodze rozporządzenia, przez Radę Ministrów na wniosek ministra właściwego do spraw energii.</w:t>
      </w:r>
      <w:bookmarkStart w:id="278" w:name="_Toc12953920"/>
      <w:r w:rsidR="00CB2DC6" w:rsidRPr="00C758B1">
        <w:rPr>
          <w:rFonts w:ascii="Lato" w:hAnsi="Lato"/>
        </w:rPr>
        <w:br w:type="page"/>
      </w:r>
    </w:p>
    <w:p w14:paraId="7528E22F" w14:textId="013B6F52" w:rsidR="00B03DBA" w:rsidRPr="000E40A9" w:rsidRDefault="00C7771E" w:rsidP="000E40A9">
      <w:pPr>
        <w:pStyle w:val="Rozdzia1"/>
        <w:rPr>
          <w:rFonts w:ascii="Lato" w:hAnsi="Lato"/>
          <w:sz w:val="28"/>
          <w:szCs w:val="28"/>
        </w:rPr>
      </w:pPr>
      <w:bookmarkStart w:id="279" w:name="_Toc19782955"/>
      <w:bookmarkStart w:id="280" w:name="_Toc142469578"/>
      <w:r w:rsidRPr="000E40A9">
        <w:rPr>
          <w:rFonts w:ascii="Lato" w:hAnsi="Lato"/>
          <w:sz w:val="28"/>
          <w:szCs w:val="28"/>
        </w:rPr>
        <w:lastRenderedPageBreak/>
        <w:t>Inne środki i obowiązki w zakresie bezpieczeństwa funkcjonowania systemu</w:t>
      </w:r>
      <w:bookmarkEnd w:id="278"/>
      <w:bookmarkEnd w:id="279"/>
      <w:bookmarkEnd w:id="280"/>
    </w:p>
    <w:p w14:paraId="3C7A0A4E" w14:textId="77777777" w:rsidR="00B03DBA" w:rsidRPr="00C758B1" w:rsidRDefault="00C7771E" w:rsidP="000E40A9">
      <w:pPr>
        <w:pStyle w:val="Rozdzia2"/>
        <w:rPr>
          <w:rFonts w:ascii="Lato" w:hAnsi="Lato"/>
        </w:rPr>
      </w:pPr>
      <w:bookmarkStart w:id="281" w:name="_Toc12953921"/>
      <w:bookmarkStart w:id="282" w:name="_Toc19782956"/>
      <w:bookmarkStart w:id="283" w:name="_Toc142469579"/>
      <w:r w:rsidRPr="00C758B1">
        <w:rPr>
          <w:rFonts w:ascii="Lato" w:hAnsi="Lato"/>
        </w:rPr>
        <w:t>Rola operatorów w zapewnieniu bezpieczeństwa dostaw gazu ziemnego</w:t>
      </w:r>
      <w:bookmarkEnd w:id="281"/>
      <w:bookmarkEnd w:id="282"/>
      <w:bookmarkEnd w:id="283"/>
    </w:p>
    <w:p w14:paraId="30EA1519" w14:textId="695CAB40" w:rsidR="00B03DBA" w:rsidRPr="00C758B1" w:rsidRDefault="00C7771E" w:rsidP="000E40A9">
      <w:pPr>
        <w:pStyle w:val="Tekstzwyky"/>
        <w:rPr>
          <w:rFonts w:ascii="Lato" w:hAnsi="Lato"/>
        </w:rPr>
      </w:pPr>
      <w:r w:rsidRPr="00C758B1">
        <w:rPr>
          <w:rFonts w:ascii="Lato" w:hAnsi="Lato"/>
        </w:rPr>
        <w:tab/>
      </w:r>
      <w:bookmarkStart w:id="284" w:name="_Hlk142319045"/>
      <w:r w:rsidRPr="00C758B1">
        <w:rPr>
          <w:rFonts w:ascii="Lato" w:hAnsi="Lato"/>
        </w:rPr>
        <w:t xml:space="preserve">Zgodnie z art. 9c ust. 1 ustawy - </w:t>
      </w:r>
      <w:r w:rsidRPr="00C758B1">
        <w:rPr>
          <w:rFonts w:ascii="Lato" w:hAnsi="Lato"/>
          <w:i/>
        </w:rPr>
        <w:t xml:space="preserve">Prawo energetyczne </w:t>
      </w:r>
      <w:r w:rsidRPr="00C758B1">
        <w:rPr>
          <w:rFonts w:ascii="Lato" w:hAnsi="Lato"/>
        </w:rPr>
        <w:t>operatorzy systemu: przesyłowego, dystrybucyjnego</w:t>
      </w:r>
      <w:r w:rsidR="00575E79">
        <w:rPr>
          <w:rFonts w:ascii="Lato" w:hAnsi="Lato"/>
        </w:rPr>
        <w:t xml:space="preserve">, </w:t>
      </w:r>
      <w:r w:rsidRPr="00C758B1">
        <w:rPr>
          <w:rFonts w:ascii="Lato" w:hAnsi="Lato"/>
        </w:rPr>
        <w:t>magazynowania</w:t>
      </w:r>
      <w:r w:rsidR="00575E79">
        <w:rPr>
          <w:rFonts w:ascii="Lato" w:hAnsi="Lato"/>
        </w:rPr>
        <w:t xml:space="preserve"> i skraplania</w:t>
      </w:r>
      <w:r w:rsidRPr="00C758B1">
        <w:rPr>
          <w:rFonts w:ascii="Lato" w:hAnsi="Lato"/>
        </w:rPr>
        <w:t xml:space="preserve"> paliw gazowych</w:t>
      </w:r>
      <w:r w:rsidR="00575E79">
        <w:rPr>
          <w:rFonts w:ascii="Lato" w:hAnsi="Lato"/>
        </w:rPr>
        <w:t xml:space="preserve"> lub operator systemu połączonego gazowego,</w:t>
      </w:r>
      <w:r w:rsidRPr="00C758B1">
        <w:rPr>
          <w:rFonts w:ascii="Lato" w:hAnsi="Lato"/>
        </w:rPr>
        <w:t xml:space="preserve"> odpowiednio do zakresu działania, </w:t>
      </w:r>
      <w:r w:rsidR="000E40A9">
        <w:rPr>
          <w:rFonts w:ascii="Lato" w:hAnsi="Lato"/>
        </w:rPr>
        <w:t xml:space="preserve">są </w:t>
      </w:r>
      <w:r w:rsidRPr="00C758B1">
        <w:rPr>
          <w:rFonts w:ascii="Lato" w:hAnsi="Lato"/>
        </w:rPr>
        <w:t xml:space="preserve">odpowiedzialni m.in. za: </w:t>
      </w:r>
    </w:p>
    <w:p w14:paraId="1F3833DB" w14:textId="25F33C79" w:rsidR="00B03DBA" w:rsidRPr="00C758B1" w:rsidRDefault="00C7771E" w:rsidP="000E40A9">
      <w:pPr>
        <w:pStyle w:val="TekstWypunktowany"/>
        <w:rPr>
          <w:rFonts w:ascii="Lato" w:hAnsi="Lato"/>
        </w:rPr>
      </w:pPr>
      <w:r w:rsidRPr="00C758B1">
        <w:rPr>
          <w:rFonts w:ascii="Lato" w:hAnsi="Lato"/>
        </w:rPr>
        <w:t>bezpieczeństwo dostarczania paliw gazowych poprzez zapewnienie bezpieczeństwa funkcjonowania systemu gazowego i realizację umów z użytkownikami tego systemu</w:t>
      </w:r>
      <w:r w:rsidR="00CB2DC6" w:rsidRPr="00C758B1">
        <w:rPr>
          <w:rFonts w:ascii="Lato" w:hAnsi="Lato"/>
        </w:rPr>
        <w:t>;</w:t>
      </w:r>
    </w:p>
    <w:p w14:paraId="4A2A0EE2" w14:textId="7F63BE20" w:rsidR="00B03DBA" w:rsidRPr="00C758B1" w:rsidRDefault="00C7771E" w:rsidP="000E40A9">
      <w:pPr>
        <w:pStyle w:val="TekstWypunktowany"/>
        <w:rPr>
          <w:rFonts w:ascii="Lato" w:hAnsi="Lato"/>
        </w:rPr>
      </w:pPr>
      <w:r w:rsidRPr="00C758B1">
        <w:rPr>
          <w:rFonts w:ascii="Lato" w:hAnsi="Lato"/>
        </w:rPr>
        <w:t>prowadzenie ruchu sieciowego w sposób skoordynowany i efektywny</w:t>
      </w:r>
      <w:r w:rsidR="00CB2DC6" w:rsidRPr="00C758B1">
        <w:rPr>
          <w:rFonts w:ascii="Lato" w:hAnsi="Lato"/>
        </w:rPr>
        <w:t>;</w:t>
      </w:r>
    </w:p>
    <w:p w14:paraId="4A89C207" w14:textId="3081DF77" w:rsidR="00B03DBA" w:rsidRPr="00C758B1" w:rsidRDefault="00C7771E" w:rsidP="000E40A9">
      <w:pPr>
        <w:pStyle w:val="TekstWypunktowany"/>
        <w:rPr>
          <w:rFonts w:ascii="Lato" w:hAnsi="Lato"/>
        </w:rPr>
      </w:pPr>
      <w:r w:rsidRPr="00C758B1">
        <w:rPr>
          <w:rFonts w:ascii="Lato" w:hAnsi="Lato"/>
        </w:rPr>
        <w:t>eksploatację, konserwację, remonty sieci, instalacji i urządzeń</w:t>
      </w:r>
      <w:r w:rsidR="00CB2DC6" w:rsidRPr="00C758B1">
        <w:rPr>
          <w:rFonts w:ascii="Lato" w:hAnsi="Lato"/>
        </w:rPr>
        <w:t>;</w:t>
      </w:r>
    </w:p>
    <w:p w14:paraId="21E55CCA" w14:textId="0166AC3B" w:rsidR="00B03DBA" w:rsidRPr="00C758B1" w:rsidRDefault="00C7771E" w:rsidP="000E40A9">
      <w:pPr>
        <w:pStyle w:val="TekstWypunktowany"/>
        <w:rPr>
          <w:rFonts w:ascii="Lato" w:hAnsi="Lato"/>
        </w:rPr>
      </w:pPr>
      <w:r w:rsidRPr="00C758B1">
        <w:rPr>
          <w:rFonts w:ascii="Lato" w:hAnsi="Lato"/>
        </w:rPr>
        <w:t>zapewnienie długoterminowej zdolności systemu gazowego do zaspokojenia uzasadnionych potrzeb w zakresie przesyłania paliw gazowych w obrocie krajowym i transgranicznym, dystrybucji tych paliw i ich magazynowania lub skraplania gazu ziemnego, a także w zakresie rozbudowy systemu gazowego, a tam gdzie ma to zastosowanie, rozbudowy połączeń z innymi systemami gazowymi</w:t>
      </w:r>
      <w:r w:rsidR="00CB2DC6" w:rsidRPr="00C758B1">
        <w:rPr>
          <w:rFonts w:ascii="Lato" w:hAnsi="Lato"/>
        </w:rPr>
        <w:t>;</w:t>
      </w:r>
    </w:p>
    <w:p w14:paraId="7725677A" w14:textId="5AE9F84C" w:rsidR="00B03DBA" w:rsidRPr="00C758B1" w:rsidRDefault="00C7771E" w:rsidP="000E40A9">
      <w:pPr>
        <w:pStyle w:val="TekstWypunktowany"/>
        <w:rPr>
          <w:rFonts w:ascii="Lato" w:hAnsi="Lato"/>
        </w:rPr>
      </w:pPr>
      <w:r w:rsidRPr="00C758B1">
        <w:rPr>
          <w:rFonts w:ascii="Lato" w:hAnsi="Lato"/>
        </w:rPr>
        <w:t>współpracę z innymi operatorami systemów gazowych lub przedsiębiorstwami energetycznymi w celu niezawodnego i efektywnego funkcjonowania systemów gazowych oraz skoordynowania ich rozwoju</w:t>
      </w:r>
      <w:r w:rsidR="00CB2DC6" w:rsidRPr="00C758B1">
        <w:rPr>
          <w:rFonts w:ascii="Lato" w:hAnsi="Lato"/>
        </w:rPr>
        <w:t>;</w:t>
      </w:r>
    </w:p>
    <w:p w14:paraId="70FFB911" w14:textId="5CE76389" w:rsidR="00B03DBA" w:rsidRPr="00C758B1" w:rsidRDefault="00C7771E" w:rsidP="000E40A9">
      <w:pPr>
        <w:pStyle w:val="TekstWypunktowany"/>
        <w:rPr>
          <w:rFonts w:ascii="Lato" w:hAnsi="Lato"/>
        </w:rPr>
      </w:pPr>
      <w:r w:rsidRPr="00C758B1">
        <w:rPr>
          <w:rFonts w:ascii="Lato" w:hAnsi="Lato"/>
        </w:rPr>
        <w:t>dysponowanie mocą instalacji magazynowych i instalacji skroplonego gazu ziemnego</w:t>
      </w:r>
      <w:r w:rsidR="00CB2DC6" w:rsidRPr="00C758B1">
        <w:rPr>
          <w:rFonts w:ascii="Lato" w:hAnsi="Lato"/>
        </w:rPr>
        <w:t>;</w:t>
      </w:r>
    </w:p>
    <w:p w14:paraId="1D6BA3DC" w14:textId="33E2619A" w:rsidR="00B03DBA" w:rsidRPr="00C758B1" w:rsidRDefault="00C7771E" w:rsidP="000E40A9">
      <w:pPr>
        <w:pStyle w:val="TekstWypunktowany"/>
        <w:rPr>
          <w:rFonts w:ascii="Lato" w:hAnsi="Lato"/>
        </w:rPr>
      </w:pPr>
      <w:r w:rsidRPr="00C758B1">
        <w:rPr>
          <w:rFonts w:ascii="Lato" w:hAnsi="Lato"/>
        </w:rPr>
        <w:t>zarządzanie przepływami paliw gazowych oraz utrzymanie parametrów jakościowych tych paliw</w:t>
      </w:r>
      <w:r w:rsidR="00CB2DC6" w:rsidRPr="00C758B1">
        <w:rPr>
          <w:rFonts w:ascii="Lato" w:hAnsi="Lato"/>
        </w:rPr>
        <w:t>;</w:t>
      </w:r>
    </w:p>
    <w:p w14:paraId="4579EAF0" w14:textId="0EC71AD4" w:rsidR="00B03DBA" w:rsidRPr="00C758B1" w:rsidRDefault="00C7771E" w:rsidP="000E40A9">
      <w:pPr>
        <w:pStyle w:val="TekstWypunktowany"/>
        <w:rPr>
          <w:rFonts w:ascii="Lato" w:hAnsi="Lato"/>
        </w:rPr>
      </w:pPr>
      <w:r w:rsidRPr="00C758B1">
        <w:rPr>
          <w:rFonts w:ascii="Lato" w:hAnsi="Lato"/>
        </w:rPr>
        <w:t>świadczenie usług niezbędnych do prawidłowego funkcjonowania systemu gazowego</w:t>
      </w:r>
      <w:r w:rsidR="00CB2DC6" w:rsidRPr="00C758B1">
        <w:rPr>
          <w:rFonts w:ascii="Lato" w:hAnsi="Lato"/>
        </w:rPr>
        <w:t>;</w:t>
      </w:r>
    </w:p>
    <w:p w14:paraId="7136E5FB" w14:textId="075CEE3E" w:rsidR="00B03DBA" w:rsidRPr="00C758B1" w:rsidRDefault="00C7771E" w:rsidP="000E40A9">
      <w:pPr>
        <w:pStyle w:val="TekstWypunktowany"/>
        <w:rPr>
          <w:rFonts w:ascii="Lato" w:hAnsi="Lato"/>
        </w:rPr>
      </w:pPr>
      <w:r w:rsidRPr="00C758B1">
        <w:rPr>
          <w:rFonts w:ascii="Lato" w:hAnsi="Lato"/>
        </w:rPr>
        <w:t>bilansowanie systemu i zarządzanie ograniczeniami w systemie gazowym, stanowiącymi w rozumieniu rozporządzenia 2017/1938 środek nierynkowy</w:t>
      </w:r>
      <w:r w:rsidR="00CB2DC6" w:rsidRPr="00C758B1">
        <w:rPr>
          <w:rFonts w:ascii="Lato" w:hAnsi="Lato"/>
        </w:rPr>
        <w:t>;</w:t>
      </w:r>
    </w:p>
    <w:p w14:paraId="6221C47E" w14:textId="132C6EFB" w:rsidR="00B03DBA" w:rsidRPr="00C758B1" w:rsidRDefault="00C7771E" w:rsidP="000E40A9">
      <w:pPr>
        <w:pStyle w:val="TekstWypunktowany"/>
        <w:rPr>
          <w:rFonts w:ascii="Lato" w:hAnsi="Lato"/>
        </w:rPr>
      </w:pPr>
      <w:r w:rsidRPr="00C758B1">
        <w:rPr>
          <w:rFonts w:ascii="Lato" w:hAnsi="Lato"/>
        </w:rPr>
        <w:t>dostarczanie użytkownikom systemu i operatorom innych systemów gazowych informacji o warunkach świadczenia usług przesyłania lub dystrybucji, usług magazynowania paliw gazowych lub usług skraplania gazu ziemnego, w tym o współpracy z połączonymi systemami gazowymi</w:t>
      </w:r>
      <w:r w:rsidR="00CB2DC6" w:rsidRPr="00C758B1">
        <w:rPr>
          <w:rFonts w:ascii="Lato" w:hAnsi="Lato"/>
        </w:rPr>
        <w:t>.</w:t>
      </w:r>
    </w:p>
    <w:p w14:paraId="447C0EC8" w14:textId="76626E24" w:rsidR="00B03DBA" w:rsidRPr="00C758B1" w:rsidRDefault="00C7771E" w:rsidP="000E40A9">
      <w:pPr>
        <w:pStyle w:val="Tekstzwyky"/>
        <w:rPr>
          <w:rFonts w:ascii="Lato" w:hAnsi="Lato"/>
        </w:rPr>
      </w:pPr>
      <w:r w:rsidRPr="00C758B1">
        <w:rPr>
          <w:rFonts w:ascii="Lato" w:hAnsi="Lato"/>
        </w:rPr>
        <w:tab/>
        <w:t xml:space="preserve">Ponadto zgodnie z art. 58 ustawy o zapasach operatorzy systemów przesyłowych gazowych, operatorzy systemów dystrybucyjnych gazowych oraz operatorzy systemów połączonych gazowych lub przedsiębiorstwa energetyczne pełniące funkcję operatorów są </w:t>
      </w:r>
      <w:r w:rsidR="000E40A9">
        <w:rPr>
          <w:rFonts w:ascii="Lato" w:hAnsi="Lato"/>
        </w:rPr>
        <w:t>z</w:t>
      </w:r>
      <w:r w:rsidRPr="00C758B1">
        <w:rPr>
          <w:rFonts w:ascii="Lato" w:hAnsi="Lato"/>
        </w:rPr>
        <w:t>obowiązani do opracowania planów wprowadzania ograniczeń. Plany wprowadzania ograniczeń</w:t>
      </w:r>
      <w:r w:rsidR="000E40A9">
        <w:rPr>
          <w:rFonts w:ascii="Lato" w:hAnsi="Lato"/>
        </w:rPr>
        <w:t>,</w:t>
      </w:r>
      <w:r w:rsidRPr="00C758B1">
        <w:rPr>
          <w:rFonts w:ascii="Lato" w:hAnsi="Lato"/>
        </w:rPr>
        <w:t xml:space="preserve"> opracowane przez operatorów</w:t>
      </w:r>
      <w:r w:rsidR="000E40A9">
        <w:rPr>
          <w:rFonts w:ascii="Lato" w:hAnsi="Lato"/>
        </w:rPr>
        <w:t>,</w:t>
      </w:r>
      <w:r w:rsidRPr="00C758B1">
        <w:rPr>
          <w:rFonts w:ascii="Lato" w:hAnsi="Lato"/>
        </w:rPr>
        <w:t xml:space="preserve"> określają maksymalne godzinowe i dobowe ilości poboru gazu ziemnego przez poszczególnych odbiorców </w:t>
      </w:r>
      <w:r w:rsidRPr="00C758B1">
        <w:rPr>
          <w:rFonts w:ascii="Lato" w:hAnsi="Lato"/>
        </w:rPr>
        <w:lastRenderedPageBreak/>
        <w:t xml:space="preserve">przyłączonych do ich sieci dla poszczególnych stopni zasilania. </w:t>
      </w:r>
      <w:r w:rsidR="000E40A9">
        <w:rPr>
          <w:rFonts w:ascii="Lato" w:hAnsi="Lato"/>
        </w:rPr>
        <w:t>Przy czym</w:t>
      </w:r>
      <w:r w:rsidRPr="00C758B1">
        <w:rPr>
          <w:rFonts w:ascii="Lato" w:hAnsi="Lato"/>
        </w:rPr>
        <w:t xml:space="preserve"> ograniczenia wynikające z planów wprowadzania ograniczeń nie mają zastosowania do odbiorców gazu ziemnego w gospodarstwach domowych.</w:t>
      </w:r>
    </w:p>
    <w:p w14:paraId="664FF5E8" w14:textId="00BF2B5E" w:rsidR="00B03DBA" w:rsidRPr="00C758B1" w:rsidRDefault="00C7771E" w:rsidP="000E40A9">
      <w:pPr>
        <w:pStyle w:val="Tekstzwyky"/>
        <w:rPr>
          <w:rFonts w:ascii="Lato" w:hAnsi="Lato"/>
        </w:rPr>
      </w:pPr>
      <w:r w:rsidRPr="00C758B1">
        <w:rPr>
          <w:rFonts w:ascii="Lato" w:hAnsi="Lato"/>
        </w:rPr>
        <w:tab/>
        <w:t xml:space="preserve">W okresie obowiązywania ograniczeń w poborze gazu ziemnego, operator systemu przesyłowego gazowego lub operator </w:t>
      </w:r>
      <w:r w:rsidR="00575E79">
        <w:rPr>
          <w:rFonts w:ascii="Lato" w:hAnsi="Lato"/>
        </w:rPr>
        <w:t>systemu połączonego</w:t>
      </w:r>
      <w:r w:rsidRPr="00C758B1">
        <w:rPr>
          <w:rFonts w:ascii="Lato" w:hAnsi="Lato"/>
        </w:rPr>
        <w:t xml:space="preserve">: </w:t>
      </w:r>
    </w:p>
    <w:p w14:paraId="2499AAA9" w14:textId="64F1EA33" w:rsidR="00B03DBA" w:rsidRPr="000E40A9" w:rsidRDefault="00C7771E" w:rsidP="000E40A9">
      <w:pPr>
        <w:pStyle w:val="TekstWypunktowany"/>
        <w:rPr>
          <w:rFonts w:ascii="Lato" w:hAnsi="Lato"/>
        </w:rPr>
      </w:pPr>
      <w:r w:rsidRPr="000E40A9">
        <w:rPr>
          <w:rFonts w:ascii="Lato" w:hAnsi="Lato"/>
        </w:rPr>
        <w:t>realizuje obowiązki związane z wprowadzaniem ograniczeń, przez ustalanie i podawanie do publicznej wiadomości stopni zasilania, zgodnie z planami wprowadzania ograniczeń</w:t>
      </w:r>
      <w:r w:rsidR="00CB2DC6" w:rsidRPr="00C758B1">
        <w:rPr>
          <w:rFonts w:ascii="Lato" w:hAnsi="Lato"/>
        </w:rPr>
        <w:t>;</w:t>
      </w:r>
    </w:p>
    <w:p w14:paraId="3634E605" w14:textId="2FB28204" w:rsidR="00B03DBA" w:rsidRPr="000E40A9" w:rsidRDefault="00C7771E" w:rsidP="000E40A9">
      <w:pPr>
        <w:pStyle w:val="TekstWypunktowany"/>
        <w:rPr>
          <w:rFonts w:ascii="Lato" w:hAnsi="Lato"/>
        </w:rPr>
      </w:pPr>
      <w:r w:rsidRPr="000E40A9">
        <w:rPr>
          <w:rFonts w:ascii="Lato" w:hAnsi="Lato"/>
        </w:rPr>
        <w:t xml:space="preserve">koordynuje działania przedsiębiorstw energetycznych, innych operatorów systemów gazowych, operatorów systemów magazynowania, </w:t>
      </w:r>
      <w:r w:rsidR="00D264AB" w:rsidRPr="00D264AB">
        <w:rPr>
          <w:rFonts w:ascii="Lato" w:hAnsi="Lato"/>
        </w:rPr>
        <w:t xml:space="preserve">operatorów systemów skraplania gazu ziemnego </w:t>
      </w:r>
      <w:r w:rsidRPr="000E40A9">
        <w:rPr>
          <w:rFonts w:ascii="Lato" w:hAnsi="Lato"/>
        </w:rPr>
        <w:t>w celu zapewnienia bezpieczeństwa systemu gazowego i realizacji ograniczeń</w:t>
      </w:r>
      <w:r w:rsidR="00CB2DC6" w:rsidRPr="00C758B1">
        <w:rPr>
          <w:rFonts w:ascii="Lato" w:hAnsi="Lato"/>
        </w:rPr>
        <w:t>;</w:t>
      </w:r>
    </w:p>
    <w:p w14:paraId="26691261" w14:textId="77777777" w:rsidR="00B03DBA" w:rsidRPr="000E40A9" w:rsidRDefault="00C7771E" w:rsidP="000E40A9">
      <w:pPr>
        <w:pStyle w:val="TekstWypunktowany"/>
        <w:rPr>
          <w:rFonts w:ascii="Lato" w:hAnsi="Lato"/>
        </w:rPr>
      </w:pPr>
      <w:r w:rsidRPr="00C758B1">
        <w:rPr>
          <w:rFonts w:ascii="Lato" w:hAnsi="Lato"/>
        </w:rPr>
        <w:t>dysponuje pełną mocą i pojemnością instalacji magazynowania gazu ziemnego oraz skraplania gazu ziemnego przyłączonych do systemu gazowego oraz dysponuje zapasami obowiązkowymi gazu ziemnego.</w:t>
      </w:r>
    </w:p>
    <w:p w14:paraId="27F2CE6F" w14:textId="77777777" w:rsidR="00B03DBA" w:rsidRPr="00C758B1" w:rsidRDefault="00C7771E" w:rsidP="000E40A9">
      <w:pPr>
        <w:pStyle w:val="Rozdzia2"/>
        <w:rPr>
          <w:rFonts w:ascii="Lato" w:hAnsi="Lato"/>
        </w:rPr>
      </w:pPr>
      <w:bookmarkStart w:id="285" w:name="_Toc12953922"/>
      <w:bookmarkStart w:id="286" w:name="_Toc19782957"/>
      <w:bookmarkStart w:id="287" w:name="_Toc142469580"/>
      <w:bookmarkEnd w:id="284"/>
      <w:r w:rsidRPr="000E40A9">
        <w:rPr>
          <w:rFonts w:ascii="Lato" w:hAnsi="Lato"/>
        </w:rPr>
        <w:t>Zadania przedsiębiorstw energetycznych w zapewnianiu bezpieczeństwa dostaw gazu ziemnego</w:t>
      </w:r>
      <w:bookmarkEnd w:id="285"/>
      <w:bookmarkEnd w:id="286"/>
      <w:bookmarkEnd w:id="287"/>
    </w:p>
    <w:p w14:paraId="28E63ED5" w14:textId="6434F6EA" w:rsidR="00B03DBA" w:rsidRPr="00C758B1" w:rsidRDefault="00C7771E" w:rsidP="000E40A9">
      <w:pPr>
        <w:pStyle w:val="Tekstzwyky"/>
        <w:rPr>
          <w:rFonts w:ascii="Lato" w:hAnsi="Lato"/>
        </w:rPr>
      </w:pPr>
      <w:r w:rsidRPr="00C758B1">
        <w:rPr>
          <w:rFonts w:ascii="Lato" w:hAnsi="Lato"/>
          <w:color w:val="FF0000"/>
        </w:rPr>
        <w:tab/>
      </w:r>
      <w:r w:rsidRPr="00C758B1">
        <w:rPr>
          <w:rFonts w:ascii="Lato" w:hAnsi="Lato"/>
        </w:rPr>
        <w:t xml:space="preserve">W przypadku wystąpienia zakłóceń w dostawach lub nadzwyczajnie wysokiego zapotrzebowania na gaz </w:t>
      </w:r>
      <w:r w:rsidR="00F46D30">
        <w:rPr>
          <w:rFonts w:ascii="Lato" w:hAnsi="Lato"/>
        </w:rPr>
        <w:t xml:space="preserve">ziemny </w:t>
      </w:r>
      <w:r w:rsidRPr="00C758B1">
        <w:rPr>
          <w:rFonts w:ascii="Lato" w:hAnsi="Lato"/>
        </w:rPr>
        <w:t xml:space="preserve">przedsiębiorstwa energetyczne w pierwszej kolejności </w:t>
      </w:r>
      <w:r w:rsidR="000E40A9" w:rsidRPr="00C758B1">
        <w:rPr>
          <w:rFonts w:ascii="Lato" w:hAnsi="Lato"/>
        </w:rPr>
        <w:t xml:space="preserve">stosują </w:t>
      </w:r>
      <w:r w:rsidRPr="00C758B1">
        <w:rPr>
          <w:rFonts w:ascii="Lato" w:hAnsi="Lato"/>
        </w:rPr>
        <w:t xml:space="preserve">instrumenty oparte na mechanizmach rynkowych. W przypadku wystąpienia stanu nadzwyczajnego instrumenty oparte na mechanizmach rynkowych </w:t>
      </w:r>
      <w:r w:rsidR="00F1036D">
        <w:rPr>
          <w:rFonts w:ascii="Lato" w:hAnsi="Lato"/>
        </w:rPr>
        <w:t>mają</w:t>
      </w:r>
      <w:r w:rsidRPr="00C758B1">
        <w:rPr>
          <w:rFonts w:ascii="Lato" w:hAnsi="Lato"/>
        </w:rPr>
        <w:t xml:space="preserve"> pierwszeństwo przy łagodzeniu skutków zakłócenia w dostawach. W sytuacji gdy zastosowano wszystkie stosowne środki rynkowe w celu zabezpieczenia dostaw gazu</w:t>
      </w:r>
      <w:r w:rsidR="00F46D30">
        <w:rPr>
          <w:rFonts w:ascii="Lato" w:hAnsi="Lato"/>
        </w:rPr>
        <w:t xml:space="preserve"> ziemnego</w:t>
      </w:r>
      <w:r w:rsidRPr="00C758B1">
        <w:rPr>
          <w:rFonts w:ascii="Lato" w:hAnsi="Lato"/>
        </w:rPr>
        <w:t xml:space="preserve">, </w:t>
      </w:r>
      <w:r w:rsidR="00692D8B">
        <w:rPr>
          <w:rFonts w:ascii="Lato" w:hAnsi="Lato"/>
        </w:rPr>
        <w:t xml:space="preserve">jednak </w:t>
      </w:r>
      <w:r w:rsidRPr="00C758B1">
        <w:rPr>
          <w:rFonts w:ascii="Lato" w:hAnsi="Lato"/>
        </w:rPr>
        <w:t xml:space="preserve">są </w:t>
      </w:r>
      <w:r w:rsidR="00692D8B">
        <w:rPr>
          <w:rFonts w:ascii="Lato" w:hAnsi="Lato"/>
        </w:rPr>
        <w:t xml:space="preserve">one </w:t>
      </w:r>
      <w:r w:rsidRPr="00C758B1">
        <w:rPr>
          <w:rFonts w:ascii="Lato" w:hAnsi="Lato"/>
        </w:rPr>
        <w:t>niewystarczające</w:t>
      </w:r>
      <w:r w:rsidR="00692D8B">
        <w:rPr>
          <w:rFonts w:ascii="Lato" w:hAnsi="Lato"/>
        </w:rPr>
        <w:t xml:space="preserve"> do zaspokojenia</w:t>
      </w:r>
      <w:r w:rsidRPr="00C758B1">
        <w:rPr>
          <w:rFonts w:ascii="Lato" w:hAnsi="Lato"/>
        </w:rPr>
        <w:t xml:space="preserve"> potrzeb </w:t>
      </w:r>
      <w:r w:rsidR="00692D8B">
        <w:rPr>
          <w:rFonts w:ascii="Lato" w:hAnsi="Lato"/>
        </w:rPr>
        <w:t xml:space="preserve">wszystkich </w:t>
      </w:r>
      <w:r w:rsidRPr="00C758B1">
        <w:rPr>
          <w:rFonts w:ascii="Lato" w:hAnsi="Lato"/>
        </w:rPr>
        <w:t xml:space="preserve">odbiorców, możliwe jest wprowadzenie dodatkowo środków nierynkowych, do których zalicza się uruchomienie zapasów obowiązkowych </w:t>
      </w:r>
      <w:r w:rsidR="00F46D30">
        <w:rPr>
          <w:rFonts w:ascii="Lato" w:hAnsi="Lato"/>
        </w:rPr>
        <w:t xml:space="preserve">gazu ziemnego </w:t>
      </w:r>
      <w:r w:rsidRPr="00C758B1">
        <w:rPr>
          <w:rFonts w:ascii="Lato" w:hAnsi="Lato"/>
        </w:rPr>
        <w:t xml:space="preserve">oraz wprowadzenie ograniczeń w poborze gazu ziemnego. </w:t>
      </w:r>
    </w:p>
    <w:p w14:paraId="2405484C" w14:textId="77777777" w:rsidR="00B03DBA" w:rsidRPr="00C758B1" w:rsidRDefault="00C7771E" w:rsidP="000E40A9">
      <w:pPr>
        <w:pStyle w:val="Tekstzwyky"/>
        <w:rPr>
          <w:rFonts w:ascii="Lato" w:hAnsi="Lato"/>
        </w:rPr>
      </w:pPr>
      <w:r w:rsidRPr="00C758B1">
        <w:rPr>
          <w:rFonts w:ascii="Lato" w:hAnsi="Lato"/>
        </w:rPr>
        <w:tab/>
        <w:t xml:space="preserve">Zgodnie z art. 49 ustawy </w:t>
      </w:r>
      <w:r w:rsidRPr="000E40A9">
        <w:rPr>
          <w:rFonts w:ascii="Lato" w:hAnsi="Lato"/>
          <w:iCs/>
        </w:rPr>
        <w:t>o zapasach</w:t>
      </w:r>
      <w:r w:rsidRPr="00C758B1">
        <w:rPr>
          <w:rFonts w:ascii="Lato" w:hAnsi="Lato"/>
          <w:i/>
        </w:rPr>
        <w:t xml:space="preserve"> </w:t>
      </w:r>
      <w:r w:rsidRPr="00C758B1">
        <w:rPr>
          <w:rFonts w:ascii="Lato" w:hAnsi="Lato"/>
        </w:rPr>
        <w:t xml:space="preserve">przedsiębiorstwo energetyczne wykonujące działalność gospodarczą w zakresie obrotu gazem ziemnym z zagranicą, podmiot dokonujący przywozu gazu ziemnego oraz podmioty zlecające świadczenie usług przesyłania lub dystrybucji gazu ziemnego, są obowiązane posiadać procedury postępowania mające zastosowanie w przypadku: </w:t>
      </w:r>
    </w:p>
    <w:p w14:paraId="79B35A0E" w14:textId="5B82137E" w:rsidR="00B03DBA" w:rsidRPr="000E40A9" w:rsidRDefault="00C7771E" w:rsidP="000E40A9">
      <w:pPr>
        <w:pStyle w:val="TekstWypunktowany"/>
        <w:rPr>
          <w:rFonts w:ascii="Lato" w:hAnsi="Lato"/>
        </w:rPr>
      </w:pPr>
      <w:r w:rsidRPr="000E40A9">
        <w:rPr>
          <w:rFonts w:ascii="Lato" w:hAnsi="Lato"/>
        </w:rPr>
        <w:t>wystąpienia zakłóceń w dostarczaniu gazu ziemnego do systemu gazowego</w:t>
      </w:r>
      <w:r w:rsidR="00CB2DC6" w:rsidRPr="00C758B1">
        <w:rPr>
          <w:rFonts w:ascii="Lato" w:hAnsi="Lato"/>
        </w:rPr>
        <w:t>;</w:t>
      </w:r>
    </w:p>
    <w:p w14:paraId="7092D21B" w14:textId="77777777" w:rsidR="00B03DBA" w:rsidRDefault="00C7771E" w:rsidP="000E40A9">
      <w:pPr>
        <w:pStyle w:val="TekstWypunktowany"/>
        <w:rPr>
          <w:rFonts w:ascii="Lato" w:hAnsi="Lato"/>
        </w:rPr>
      </w:pPr>
      <w:r w:rsidRPr="000E40A9">
        <w:rPr>
          <w:rFonts w:ascii="Lato" w:hAnsi="Lato"/>
        </w:rPr>
        <w:t xml:space="preserve">nieprzewidzianego wzrostu zużycia gazu ziemnego przez odbiorców. </w:t>
      </w:r>
    </w:p>
    <w:p w14:paraId="0EF030DC" w14:textId="77777777" w:rsidR="00692D8B" w:rsidRPr="000E40A9" w:rsidRDefault="00692D8B" w:rsidP="00F069F0">
      <w:pPr>
        <w:pStyle w:val="TekstWypunktowany"/>
        <w:numPr>
          <w:ilvl w:val="0"/>
          <w:numId w:val="0"/>
        </w:numPr>
        <w:ind w:left="720"/>
        <w:rPr>
          <w:rFonts w:ascii="Lato" w:hAnsi="Lato"/>
        </w:rPr>
      </w:pPr>
    </w:p>
    <w:p w14:paraId="4B933BEF" w14:textId="77777777" w:rsidR="00B03DBA" w:rsidRPr="00C758B1" w:rsidRDefault="00C7771E" w:rsidP="000E40A9">
      <w:pPr>
        <w:pStyle w:val="Tekstzwyky"/>
        <w:rPr>
          <w:rFonts w:ascii="Lato" w:hAnsi="Lato"/>
        </w:rPr>
      </w:pPr>
      <w:r w:rsidRPr="00C758B1">
        <w:rPr>
          <w:rFonts w:ascii="Lato" w:hAnsi="Lato"/>
        </w:rPr>
        <w:t xml:space="preserve">Procedury postępowania, powinny określać w szczególności sposób: </w:t>
      </w:r>
    </w:p>
    <w:p w14:paraId="6A6F2FD7" w14:textId="2832A9BC" w:rsidR="00B03DBA" w:rsidRPr="000E40A9" w:rsidRDefault="00C7771E" w:rsidP="000E40A9">
      <w:pPr>
        <w:pStyle w:val="TekstWypunktowany"/>
        <w:rPr>
          <w:rFonts w:ascii="Lato" w:hAnsi="Lato"/>
        </w:rPr>
      </w:pPr>
      <w:r w:rsidRPr="000E40A9">
        <w:rPr>
          <w:rFonts w:ascii="Lato" w:hAnsi="Lato"/>
        </w:rPr>
        <w:t>uruchamiania dodatkowych dostaw gazu ziemnego z innych źródeł lub kierunków</w:t>
      </w:r>
      <w:r w:rsidR="00CB2DC6" w:rsidRPr="00C758B1">
        <w:rPr>
          <w:rFonts w:ascii="Lato" w:hAnsi="Lato"/>
        </w:rPr>
        <w:t>;</w:t>
      </w:r>
    </w:p>
    <w:p w14:paraId="468B3A26" w14:textId="77777777" w:rsidR="00B03DBA" w:rsidRPr="000E40A9" w:rsidRDefault="00C7771E" w:rsidP="000E40A9">
      <w:pPr>
        <w:pStyle w:val="TekstWypunktowany"/>
        <w:rPr>
          <w:rFonts w:ascii="Lato" w:hAnsi="Lato"/>
        </w:rPr>
      </w:pPr>
      <w:r w:rsidRPr="000E40A9">
        <w:rPr>
          <w:rFonts w:ascii="Lato" w:hAnsi="Lato"/>
        </w:rPr>
        <w:t xml:space="preserve">zmniejszania poboru gazu ziemnego przez odbiorców, zgodnie z umowami z nimi zawartymi. </w:t>
      </w:r>
    </w:p>
    <w:p w14:paraId="6642A4FC" w14:textId="6A2FA5B4" w:rsidR="00B03DBA" w:rsidRPr="00C758B1" w:rsidRDefault="00C7771E" w:rsidP="00337358">
      <w:pPr>
        <w:pStyle w:val="Tekstzwyky"/>
        <w:rPr>
          <w:rFonts w:ascii="Lato" w:hAnsi="Lato"/>
        </w:rPr>
      </w:pPr>
      <w:r w:rsidRPr="00C758B1">
        <w:rPr>
          <w:rFonts w:ascii="Lato" w:hAnsi="Lato"/>
        </w:rPr>
        <w:lastRenderedPageBreak/>
        <w:tab/>
        <w:t>Procedury postępowania uzgadniane są z podmiotami odpowiedzialnymi za ich realizację, w tym odpowiednio z operatorami innych systemów gazowych, a następnie przekazywane operatorowi systemu przesyłowego</w:t>
      </w:r>
      <w:r w:rsidR="00692D8B">
        <w:rPr>
          <w:rFonts w:ascii="Lato" w:hAnsi="Lato"/>
        </w:rPr>
        <w:t xml:space="preserve"> lub operatorowi systemu połączonego</w:t>
      </w:r>
      <w:r w:rsidRPr="00C758B1">
        <w:rPr>
          <w:rFonts w:ascii="Lato" w:hAnsi="Lato"/>
        </w:rPr>
        <w:t xml:space="preserve">. </w:t>
      </w:r>
    </w:p>
    <w:p w14:paraId="25C047F1" w14:textId="487C57CF" w:rsidR="00B03DBA" w:rsidRPr="00C758B1" w:rsidRDefault="00F46D30" w:rsidP="00337358">
      <w:pPr>
        <w:pStyle w:val="Tekstzwyky"/>
        <w:rPr>
          <w:rFonts w:ascii="Lato" w:hAnsi="Lato"/>
        </w:rPr>
      </w:pPr>
      <w:r>
        <w:rPr>
          <w:rFonts w:ascii="Lato" w:hAnsi="Lato"/>
        </w:rPr>
        <w:tab/>
      </w:r>
      <w:r w:rsidR="00C7771E" w:rsidRPr="00C758B1">
        <w:rPr>
          <w:rFonts w:ascii="Lato" w:hAnsi="Lato"/>
        </w:rPr>
        <w:t xml:space="preserve">Dodatkowo, zgodnie z art. 50 ust. 1 ustawy </w:t>
      </w:r>
      <w:r w:rsidR="00C7771E" w:rsidRPr="00337358">
        <w:rPr>
          <w:rFonts w:ascii="Lato" w:hAnsi="Lato"/>
          <w:iCs/>
        </w:rPr>
        <w:t xml:space="preserve">o zapasach </w:t>
      </w:r>
      <w:r w:rsidR="00C7771E" w:rsidRPr="00C758B1">
        <w:rPr>
          <w:rFonts w:ascii="Lato" w:hAnsi="Lato"/>
        </w:rPr>
        <w:t>przedsiębiorstwa energetyczne podejmują działania</w:t>
      </w:r>
      <w:r w:rsidR="00337358">
        <w:rPr>
          <w:rFonts w:ascii="Lato" w:hAnsi="Lato"/>
        </w:rPr>
        <w:t>, których celem</w:t>
      </w:r>
      <w:r w:rsidR="00C7771E" w:rsidRPr="00C758B1">
        <w:rPr>
          <w:rFonts w:ascii="Lato" w:hAnsi="Lato"/>
        </w:rPr>
        <w:t xml:space="preserve"> </w:t>
      </w:r>
      <w:r w:rsidR="00337358">
        <w:rPr>
          <w:rFonts w:ascii="Lato" w:hAnsi="Lato"/>
        </w:rPr>
        <w:t>jest</w:t>
      </w:r>
      <w:r w:rsidR="00C7771E" w:rsidRPr="00C758B1">
        <w:rPr>
          <w:rFonts w:ascii="Lato" w:hAnsi="Lato"/>
        </w:rPr>
        <w:t xml:space="preserve"> przeciwdziałani</w:t>
      </w:r>
      <w:r w:rsidR="00337358">
        <w:rPr>
          <w:rFonts w:ascii="Lato" w:hAnsi="Lato"/>
        </w:rPr>
        <w:t>e</w:t>
      </w:r>
      <w:r w:rsidR="00C7771E" w:rsidRPr="00C758B1">
        <w:rPr>
          <w:rFonts w:ascii="Lato" w:hAnsi="Lato"/>
        </w:rPr>
        <w:t xml:space="preserve"> zagrożeniu wystąpienia zakłóceń w</w:t>
      </w:r>
      <w:r w:rsidR="00337358">
        <w:rPr>
          <w:rFonts w:ascii="Lato" w:hAnsi="Lato"/>
        </w:rPr>
        <w:t xml:space="preserve"> </w:t>
      </w:r>
      <w:r w:rsidR="00C7771E" w:rsidRPr="00C758B1">
        <w:rPr>
          <w:rFonts w:ascii="Lato" w:hAnsi="Lato"/>
        </w:rPr>
        <w:t xml:space="preserve">dostawach, w szczególności działania określone w ww. procedurach. Tym samym należy stwierdzić, że ww. procedury nie ograniczają przedsiębiorstw w możliwości podejmowania innych środków rynkowych w celu przeciwdziałaniu zakłóceniom w dostawach gazu ziemnego. </w:t>
      </w:r>
    </w:p>
    <w:p w14:paraId="5C94ADB5" w14:textId="616B3ADC" w:rsidR="00B03DBA" w:rsidRPr="00C758B1" w:rsidRDefault="00C7771E" w:rsidP="00337358">
      <w:pPr>
        <w:pStyle w:val="Tekstzwyky"/>
        <w:rPr>
          <w:rFonts w:ascii="Lato" w:hAnsi="Lato"/>
        </w:rPr>
      </w:pPr>
      <w:r w:rsidRPr="00C758B1">
        <w:rPr>
          <w:rFonts w:ascii="Lato" w:hAnsi="Lato"/>
        </w:rPr>
        <w:tab/>
        <w:t xml:space="preserve">Natomiast art. 24 ustawy </w:t>
      </w:r>
      <w:r w:rsidRPr="00337358">
        <w:rPr>
          <w:rFonts w:ascii="Lato" w:hAnsi="Lato"/>
          <w:iCs/>
        </w:rPr>
        <w:t>o zapasach</w:t>
      </w:r>
      <w:r w:rsidRPr="00C758B1">
        <w:rPr>
          <w:rFonts w:ascii="Lato" w:hAnsi="Lato"/>
          <w:i/>
        </w:rPr>
        <w:t xml:space="preserve"> </w:t>
      </w:r>
      <w:r w:rsidRPr="00C758B1">
        <w:rPr>
          <w:rFonts w:ascii="Lato" w:hAnsi="Lato"/>
        </w:rPr>
        <w:t>zobowiązuje przedsiębiorstwa energetyczne wykonujące działalność gospodarczą w zakresie obrotu gazem ziemnym z zagranicą i podmioty dokonujące przywozu gazu ziemnego do utrzymywania zapasów obowiązkowych gazu ziemnego</w:t>
      </w:r>
      <w:r w:rsidR="00F9642E">
        <w:rPr>
          <w:rFonts w:ascii="Lato" w:hAnsi="Lato"/>
        </w:rPr>
        <w:t xml:space="preserve">, celem </w:t>
      </w:r>
      <w:r w:rsidRPr="00C758B1">
        <w:rPr>
          <w:rFonts w:ascii="Lato" w:hAnsi="Lato"/>
        </w:rPr>
        <w:t xml:space="preserve">minimalizacji skutków: zagrożenia bezpieczeństwa paliwowego państwa, wystąpienia sytuacji awaryjnej w sieci gazowej czy nieprzewidzianego wzrostu zużycia gazu ziemnego. </w:t>
      </w:r>
    </w:p>
    <w:p w14:paraId="4ED8EBB1" w14:textId="397383DA" w:rsidR="00B03DBA" w:rsidRPr="00C758B1" w:rsidRDefault="00C7771E" w:rsidP="00337358">
      <w:pPr>
        <w:pStyle w:val="Tekstzwyky"/>
        <w:rPr>
          <w:rFonts w:ascii="Lato" w:hAnsi="Lato"/>
        </w:rPr>
      </w:pPr>
      <w:r w:rsidRPr="00C758B1">
        <w:rPr>
          <w:rFonts w:ascii="Lato" w:hAnsi="Lato"/>
        </w:rPr>
        <w:tab/>
        <w:t>Ponadto przedsiębiorstwa energetyczne</w:t>
      </w:r>
      <w:r w:rsidR="006E461F">
        <w:rPr>
          <w:rFonts w:ascii="Lato" w:hAnsi="Lato"/>
        </w:rPr>
        <w:t>, zgodnie z przepisami art. 14 ust. 6 rozporządzenia 2017/1938,</w:t>
      </w:r>
      <w:r w:rsidRPr="00C758B1">
        <w:rPr>
          <w:rFonts w:ascii="Lato" w:hAnsi="Lato"/>
        </w:rPr>
        <w:t xml:space="preserve"> zobowiązane są do corocznego przekazywania </w:t>
      </w:r>
      <w:r w:rsidR="00D264AB">
        <w:rPr>
          <w:rFonts w:ascii="Lato" w:hAnsi="Lato"/>
        </w:rPr>
        <w:t>m</w:t>
      </w:r>
      <w:r w:rsidRPr="00C758B1">
        <w:rPr>
          <w:rFonts w:ascii="Lato" w:hAnsi="Lato"/>
        </w:rPr>
        <w:t xml:space="preserve">inistrowi </w:t>
      </w:r>
      <w:r w:rsidR="00D264AB">
        <w:rPr>
          <w:rFonts w:ascii="Lato" w:hAnsi="Lato"/>
        </w:rPr>
        <w:t>właściwemu do spraw e</w:t>
      </w:r>
      <w:r w:rsidRPr="00C758B1">
        <w:rPr>
          <w:rFonts w:ascii="Lato" w:hAnsi="Lato"/>
        </w:rPr>
        <w:t>nergii informacji na temat nowych umów (lub wprowadzonych zmianach w obowiązujących umowach) na dostawy gazu ziemnego mających wymiar transgraniczny</w:t>
      </w:r>
      <w:r w:rsidR="00337358">
        <w:rPr>
          <w:rFonts w:ascii="Lato" w:hAnsi="Lato"/>
        </w:rPr>
        <w:t xml:space="preserve">, </w:t>
      </w:r>
      <w:r w:rsidRPr="00C758B1">
        <w:rPr>
          <w:rFonts w:ascii="Lato" w:hAnsi="Lato"/>
        </w:rPr>
        <w:t>których okres obowiązywania jest dłuższy niż rok. Informacje powinny zawierać:</w:t>
      </w:r>
    </w:p>
    <w:p w14:paraId="72D6D790" w14:textId="77777777" w:rsidR="00B03DBA" w:rsidRPr="00337358" w:rsidRDefault="00C7771E" w:rsidP="00337358">
      <w:pPr>
        <w:pStyle w:val="TekstWypunktowany"/>
        <w:rPr>
          <w:rFonts w:ascii="Lato" w:hAnsi="Lato"/>
        </w:rPr>
      </w:pPr>
      <w:r w:rsidRPr="00337358">
        <w:rPr>
          <w:rFonts w:ascii="Lato" w:hAnsi="Lato"/>
        </w:rPr>
        <w:t>okres obowiązywania umowy;</w:t>
      </w:r>
    </w:p>
    <w:p w14:paraId="3718AF97" w14:textId="77777777" w:rsidR="00B03DBA" w:rsidRPr="00337358" w:rsidRDefault="00C7771E" w:rsidP="00337358">
      <w:pPr>
        <w:pStyle w:val="TekstWypunktowany"/>
        <w:rPr>
          <w:rFonts w:ascii="Lato" w:hAnsi="Lato"/>
        </w:rPr>
      </w:pPr>
      <w:r w:rsidRPr="00337358">
        <w:rPr>
          <w:rFonts w:ascii="Lato" w:hAnsi="Lato"/>
        </w:rPr>
        <w:t>określone w umowie roczne ilości gazu ziemnego;</w:t>
      </w:r>
    </w:p>
    <w:p w14:paraId="49150C7F" w14:textId="77777777" w:rsidR="00B03DBA" w:rsidRPr="00337358" w:rsidRDefault="00C7771E" w:rsidP="00337358">
      <w:pPr>
        <w:pStyle w:val="TekstWypunktowany"/>
        <w:rPr>
          <w:rFonts w:ascii="Lato" w:hAnsi="Lato"/>
        </w:rPr>
      </w:pPr>
      <w:r w:rsidRPr="00337358">
        <w:rPr>
          <w:rFonts w:ascii="Lato" w:hAnsi="Lato"/>
        </w:rPr>
        <w:t>określone w umowie maksymalne dzienne ilości gazu ziemnego w przypadku stanu alarmowego lub stanu nadzwyczajnego;</w:t>
      </w:r>
    </w:p>
    <w:p w14:paraId="478D3968" w14:textId="77777777" w:rsidR="00B03DBA" w:rsidRPr="00337358" w:rsidRDefault="00C7771E" w:rsidP="00337358">
      <w:pPr>
        <w:pStyle w:val="TekstWypunktowany"/>
        <w:rPr>
          <w:rFonts w:ascii="Lato" w:hAnsi="Lato"/>
        </w:rPr>
      </w:pPr>
      <w:r w:rsidRPr="00337358">
        <w:rPr>
          <w:rFonts w:ascii="Lato" w:hAnsi="Lato"/>
        </w:rPr>
        <w:t>określone w umowie punkty dostawy;</w:t>
      </w:r>
    </w:p>
    <w:p w14:paraId="0FE01962" w14:textId="77777777" w:rsidR="00B03DBA" w:rsidRPr="00337358" w:rsidRDefault="00C7771E" w:rsidP="00337358">
      <w:pPr>
        <w:pStyle w:val="TekstWypunktowany"/>
        <w:rPr>
          <w:rFonts w:ascii="Lato" w:hAnsi="Lato"/>
        </w:rPr>
      </w:pPr>
      <w:r w:rsidRPr="00337358">
        <w:rPr>
          <w:rFonts w:ascii="Lato" w:hAnsi="Lato"/>
        </w:rPr>
        <w:t>minimalne dzienne i miesięczne ilości gazu ziemnego;</w:t>
      </w:r>
    </w:p>
    <w:p w14:paraId="233A8CD6" w14:textId="77777777" w:rsidR="00B03DBA" w:rsidRPr="00337358" w:rsidRDefault="00C7771E" w:rsidP="00337358">
      <w:pPr>
        <w:pStyle w:val="TekstWypunktowany"/>
        <w:rPr>
          <w:rFonts w:ascii="Lato" w:hAnsi="Lato"/>
        </w:rPr>
      </w:pPr>
      <w:r w:rsidRPr="00337358">
        <w:rPr>
          <w:rFonts w:ascii="Lato" w:hAnsi="Lato"/>
        </w:rPr>
        <w:t>warunki wstrzymania gazu ziemnego;</w:t>
      </w:r>
    </w:p>
    <w:p w14:paraId="1839A51E" w14:textId="1ABC20A8" w:rsidR="00E92BEB" w:rsidRDefault="00C7771E" w:rsidP="00983C18">
      <w:pPr>
        <w:pStyle w:val="TekstWypunktowany"/>
        <w:rPr>
          <w:rFonts w:ascii="Lato" w:hAnsi="Lato"/>
        </w:rPr>
      </w:pPr>
      <w:r w:rsidRPr="00337358">
        <w:rPr>
          <w:rFonts w:ascii="Lato" w:hAnsi="Lato"/>
        </w:rPr>
        <w:t xml:space="preserve">wskazanie czy dana umowa pojedynczo lub łącznie z umowami danego przedsiębiorstwa </w:t>
      </w:r>
      <w:r w:rsidRPr="00C758B1">
        <w:rPr>
          <w:rFonts w:ascii="Lato" w:hAnsi="Lato"/>
        </w:rPr>
        <w:t>zawartymi z tym samym dostawcą lub z podmiotami z nim powiązanymi – powoduje osiągnięcie lub przekroczenie 28% rocznego zużycia gazu ziemnego w Polsce.</w:t>
      </w:r>
    </w:p>
    <w:p w14:paraId="53D7D967" w14:textId="05BDEAE4" w:rsidR="00B03DBA" w:rsidRPr="00337358" w:rsidRDefault="00E92BEB" w:rsidP="00337358">
      <w:pPr>
        <w:spacing w:line="276" w:lineRule="auto"/>
        <w:jc w:val="left"/>
        <w:rPr>
          <w:rFonts w:ascii="Lato" w:hAnsi="Lato"/>
        </w:rPr>
      </w:pPr>
      <w:r>
        <w:rPr>
          <w:rFonts w:ascii="Lato" w:hAnsi="Lato"/>
        </w:rPr>
        <w:br w:type="page"/>
      </w:r>
    </w:p>
    <w:p w14:paraId="72ED1479" w14:textId="77777777" w:rsidR="00B03DBA" w:rsidRPr="00D554EC" w:rsidRDefault="00C7771E" w:rsidP="00337358">
      <w:pPr>
        <w:pStyle w:val="Rozdzia1"/>
        <w:rPr>
          <w:rFonts w:ascii="Lato" w:hAnsi="Lato"/>
          <w:sz w:val="28"/>
          <w:szCs w:val="28"/>
        </w:rPr>
      </w:pPr>
      <w:bookmarkStart w:id="288" w:name="_Toc140489032"/>
      <w:bookmarkStart w:id="289" w:name="_Toc140581024"/>
      <w:bookmarkStart w:id="290" w:name="_Toc140489033"/>
      <w:bookmarkStart w:id="291" w:name="_Toc140581025"/>
      <w:bookmarkStart w:id="292" w:name="_Toc140489034"/>
      <w:bookmarkStart w:id="293" w:name="_Toc140581026"/>
      <w:bookmarkStart w:id="294" w:name="_Toc12953923"/>
      <w:bookmarkStart w:id="295" w:name="_Toc19782958"/>
      <w:bookmarkStart w:id="296" w:name="_Toc142469581"/>
      <w:bookmarkEnd w:id="288"/>
      <w:bookmarkEnd w:id="289"/>
      <w:bookmarkEnd w:id="290"/>
      <w:bookmarkEnd w:id="291"/>
      <w:bookmarkEnd w:id="292"/>
      <w:bookmarkEnd w:id="293"/>
      <w:r w:rsidRPr="00D554EC">
        <w:rPr>
          <w:rFonts w:ascii="Lato" w:hAnsi="Lato"/>
          <w:sz w:val="28"/>
          <w:szCs w:val="28"/>
        </w:rPr>
        <w:lastRenderedPageBreak/>
        <w:t>Projekty infrastrukturalne</w:t>
      </w:r>
      <w:bookmarkEnd w:id="294"/>
      <w:bookmarkEnd w:id="295"/>
      <w:bookmarkEnd w:id="296"/>
    </w:p>
    <w:p w14:paraId="0C3756E1" w14:textId="059603BA" w:rsidR="00B03DBA" w:rsidRPr="00337358" w:rsidRDefault="00C7771E" w:rsidP="00337358">
      <w:pPr>
        <w:pStyle w:val="Tabela"/>
        <w:spacing w:before="120" w:after="120"/>
        <w:rPr>
          <w:rFonts w:ascii="Lato" w:hAnsi="Lato"/>
          <w:b w:val="0"/>
          <w:sz w:val="22"/>
        </w:rPr>
      </w:pPr>
      <w:r w:rsidRPr="00337358">
        <w:rPr>
          <w:rFonts w:ascii="Lato" w:hAnsi="Lato"/>
          <w:sz w:val="22"/>
          <w:szCs w:val="22"/>
        </w:rPr>
        <w:t xml:space="preserve">Tabela </w:t>
      </w:r>
      <w:r w:rsidR="002C139B">
        <w:rPr>
          <w:rFonts w:ascii="Lato" w:hAnsi="Lato"/>
          <w:sz w:val="22"/>
          <w:szCs w:val="22"/>
        </w:rPr>
        <w:t>10</w:t>
      </w:r>
      <w:r w:rsidRPr="00337358">
        <w:rPr>
          <w:rFonts w:ascii="Lato" w:hAnsi="Lato"/>
          <w:sz w:val="22"/>
          <w:szCs w:val="22"/>
        </w:rPr>
        <w:t>. Zidentyfikowane działania zapobiegawcze</w:t>
      </w:r>
    </w:p>
    <w:tbl>
      <w:tblPr>
        <w:tblStyle w:val="Siatkatabelijasna1"/>
        <w:tblW w:w="5000" w:type="pct"/>
        <w:tblLayout w:type="fixed"/>
        <w:tblLook w:val="04A0" w:firstRow="1" w:lastRow="0" w:firstColumn="1" w:lastColumn="0" w:noHBand="0" w:noVBand="1"/>
      </w:tblPr>
      <w:tblGrid>
        <w:gridCol w:w="1847"/>
        <w:gridCol w:w="1977"/>
        <w:gridCol w:w="991"/>
        <w:gridCol w:w="4246"/>
      </w:tblGrid>
      <w:tr w:rsidR="00311916" w:rsidRPr="00F46D30" w14:paraId="75F17A32" w14:textId="77777777" w:rsidTr="00337358">
        <w:trPr>
          <w:trHeight w:val="915"/>
        </w:trPr>
        <w:tc>
          <w:tcPr>
            <w:tcW w:w="1019" w:type="pct"/>
            <w:vAlign w:val="center"/>
            <w:hideMark/>
          </w:tcPr>
          <w:p w14:paraId="420CB5F4" w14:textId="77777777" w:rsidR="00B03DBA" w:rsidRPr="00260E89" w:rsidRDefault="00C7771E" w:rsidP="00983C18">
            <w:pPr>
              <w:spacing w:line="276" w:lineRule="auto"/>
              <w:jc w:val="center"/>
              <w:rPr>
                <w:rFonts w:ascii="Lato" w:hAnsi="Lato"/>
                <w:b/>
                <w:sz w:val="20"/>
                <w:szCs w:val="20"/>
              </w:rPr>
            </w:pPr>
            <w:r w:rsidRPr="00260E89">
              <w:rPr>
                <w:rFonts w:ascii="Lato" w:hAnsi="Lato"/>
                <w:b/>
                <w:sz w:val="20"/>
                <w:szCs w:val="20"/>
              </w:rPr>
              <w:t>Działanie</w:t>
            </w:r>
          </w:p>
        </w:tc>
        <w:tc>
          <w:tcPr>
            <w:tcW w:w="1091" w:type="pct"/>
            <w:vAlign w:val="center"/>
            <w:hideMark/>
          </w:tcPr>
          <w:p w14:paraId="7CAD1EAA" w14:textId="77777777" w:rsidR="00B03DBA" w:rsidRPr="00260E89" w:rsidRDefault="00C7771E" w:rsidP="00983C18">
            <w:pPr>
              <w:spacing w:line="276" w:lineRule="auto"/>
              <w:jc w:val="center"/>
              <w:rPr>
                <w:rFonts w:ascii="Lato" w:hAnsi="Lato"/>
                <w:b/>
                <w:sz w:val="20"/>
                <w:szCs w:val="20"/>
              </w:rPr>
            </w:pPr>
            <w:r w:rsidRPr="00260E89">
              <w:rPr>
                <w:rFonts w:ascii="Lato" w:hAnsi="Lato"/>
                <w:b/>
                <w:bCs/>
                <w:sz w:val="20"/>
                <w:szCs w:val="20"/>
              </w:rPr>
              <w:t>Podmiot odpowiedzialny</w:t>
            </w:r>
          </w:p>
        </w:tc>
        <w:tc>
          <w:tcPr>
            <w:tcW w:w="547" w:type="pct"/>
            <w:vAlign w:val="center"/>
            <w:hideMark/>
          </w:tcPr>
          <w:p w14:paraId="187E5579" w14:textId="77777777" w:rsidR="00B03DBA" w:rsidRPr="00260E89" w:rsidRDefault="00C7771E" w:rsidP="00983C18">
            <w:pPr>
              <w:spacing w:line="276" w:lineRule="auto"/>
              <w:jc w:val="center"/>
              <w:rPr>
                <w:rFonts w:ascii="Lato" w:hAnsi="Lato"/>
                <w:b/>
                <w:sz w:val="20"/>
                <w:szCs w:val="20"/>
              </w:rPr>
            </w:pPr>
            <w:r w:rsidRPr="00260E89">
              <w:rPr>
                <w:rFonts w:ascii="Lato" w:hAnsi="Lato"/>
                <w:b/>
                <w:sz w:val="20"/>
                <w:szCs w:val="20"/>
              </w:rPr>
              <w:t>Termin</w:t>
            </w:r>
          </w:p>
        </w:tc>
        <w:tc>
          <w:tcPr>
            <w:tcW w:w="2343" w:type="pct"/>
            <w:vAlign w:val="center"/>
          </w:tcPr>
          <w:p w14:paraId="41A1C438" w14:textId="77777777" w:rsidR="00B03DBA" w:rsidRPr="00260E89" w:rsidRDefault="00C7771E" w:rsidP="00983C18">
            <w:pPr>
              <w:spacing w:line="276" w:lineRule="auto"/>
              <w:jc w:val="center"/>
              <w:rPr>
                <w:rFonts w:ascii="Lato" w:hAnsi="Lato"/>
                <w:b/>
                <w:sz w:val="20"/>
                <w:szCs w:val="20"/>
              </w:rPr>
            </w:pPr>
            <w:r w:rsidRPr="00260E89">
              <w:rPr>
                <w:rFonts w:ascii="Lato" w:hAnsi="Lato"/>
                <w:b/>
                <w:sz w:val="20"/>
                <w:szCs w:val="20"/>
              </w:rPr>
              <w:t>Wpływ projektu na rynek gazu ziemnego w grupie ryzyka</w:t>
            </w:r>
          </w:p>
        </w:tc>
      </w:tr>
      <w:tr w:rsidR="00311916" w:rsidRPr="00F46D30" w14:paraId="65332926" w14:textId="77777777" w:rsidTr="00FA13F0">
        <w:trPr>
          <w:trHeight w:val="425"/>
        </w:trPr>
        <w:tc>
          <w:tcPr>
            <w:tcW w:w="5000" w:type="pct"/>
            <w:gridSpan w:val="4"/>
            <w:tcBorders>
              <w:right w:val="single" w:sz="4" w:space="0" w:color="auto"/>
            </w:tcBorders>
            <w:shd w:val="clear" w:color="auto" w:fill="E7E6E6" w:themeFill="background2"/>
            <w:vAlign w:val="center"/>
          </w:tcPr>
          <w:p w14:paraId="4BE9D8E8" w14:textId="77777777" w:rsidR="00B03DBA" w:rsidRPr="00260E89" w:rsidRDefault="00C7771E" w:rsidP="00983C18">
            <w:pPr>
              <w:spacing w:line="276" w:lineRule="auto"/>
              <w:jc w:val="center"/>
              <w:rPr>
                <w:rFonts w:ascii="Lato" w:hAnsi="Lato"/>
                <w:sz w:val="20"/>
                <w:szCs w:val="20"/>
              </w:rPr>
            </w:pPr>
            <w:r w:rsidRPr="00260E89">
              <w:rPr>
                <w:rFonts w:ascii="Lato" w:hAnsi="Lato"/>
                <w:b/>
                <w:color w:val="000000"/>
                <w:sz w:val="20"/>
                <w:szCs w:val="20"/>
              </w:rPr>
              <w:t>Projekty dywersyfikacyjne</w:t>
            </w:r>
          </w:p>
        </w:tc>
      </w:tr>
      <w:tr w:rsidR="00356B50" w:rsidRPr="00F46D30" w14:paraId="63C758B5" w14:textId="77777777" w:rsidTr="00337358">
        <w:trPr>
          <w:trHeight w:val="3559"/>
        </w:trPr>
        <w:tc>
          <w:tcPr>
            <w:tcW w:w="1019" w:type="pct"/>
            <w:shd w:val="clear" w:color="auto" w:fill="auto"/>
            <w:vAlign w:val="center"/>
            <w:hideMark/>
          </w:tcPr>
          <w:p w14:paraId="76BE9415" w14:textId="77777777" w:rsidR="0043000E" w:rsidRPr="00260E89" w:rsidRDefault="0043000E" w:rsidP="00983C18">
            <w:pPr>
              <w:spacing w:line="276" w:lineRule="auto"/>
              <w:jc w:val="center"/>
              <w:rPr>
                <w:rFonts w:ascii="Lato" w:hAnsi="Lato"/>
                <w:color w:val="000000"/>
                <w:sz w:val="20"/>
                <w:szCs w:val="20"/>
              </w:rPr>
            </w:pPr>
            <w:r w:rsidRPr="00260E89">
              <w:rPr>
                <w:rFonts w:ascii="Lato" w:hAnsi="Lato"/>
                <w:color w:val="000000"/>
                <w:sz w:val="20"/>
                <w:szCs w:val="20"/>
              </w:rPr>
              <w:t>Zwiększenie zdolności regazyfikacji terminalu LNG w Świnoujściu</w:t>
            </w:r>
          </w:p>
        </w:tc>
        <w:tc>
          <w:tcPr>
            <w:tcW w:w="1091" w:type="pct"/>
            <w:shd w:val="clear" w:color="auto" w:fill="auto"/>
            <w:vAlign w:val="center"/>
            <w:hideMark/>
          </w:tcPr>
          <w:p w14:paraId="7EEC90D7" w14:textId="681BEE85" w:rsidR="0043000E" w:rsidRPr="00260E89" w:rsidRDefault="0043000E" w:rsidP="00983C18">
            <w:pPr>
              <w:spacing w:line="276" w:lineRule="auto"/>
              <w:jc w:val="center"/>
              <w:rPr>
                <w:rFonts w:ascii="Lato" w:hAnsi="Lato"/>
                <w:color w:val="000000"/>
                <w:sz w:val="20"/>
                <w:szCs w:val="20"/>
              </w:rPr>
            </w:pPr>
          </w:p>
          <w:p w14:paraId="0843DE72" w14:textId="5F30986E" w:rsidR="0043000E" w:rsidRPr="00260E89" w:rsidRDefault="0043000E" w:rsidP="00983C18">
            <w:pPr>
              <w:spacing w:line="276" w:lineRule="auto"/>
              <w:jc w:val="center"/>
              <w:rPr>
                <w:rFonts w:ascii="Lato" w:hAnsi="Lato"/>
                <w:color w:val="000000"/>
                <w:sz w:val="20"/>
                <w:szCs w:val="20"/>
              </w:rPr>
            </w:pPr>
            <w:r w:rsidRPr="00260E89">
              <w:rPr>
                <w:rFonts w:ascii="Lato" w:hAnsi="Lato"/>
                <w:color w:val="000000"/>
                <w:sz w:val="20"/>
                <w:szCs w:val="20"/>
              </w:rPr>
              <w:t xml:space="preserve">OGP Gaz – System </w:t>
            </w:r>
            <w:r w:rsidR="00F46D30" w:rsidRPr="00260E89">
              <w:rPr>
                <w:rFonts w:ascii="Lato" w:hAnsi="Lato"/>
                <w:color w:val="000000"/>
                <w:sz w:val="20"/>
                <w:szCs w:val="20"/>
              </w:rPr>
              <w:t xml:space="preserve">S.A. </w:t>
            </w:r>
            <w:r w:rsidRPr="00260E89">
              <w:rPr>
                <w:rFonts w:ascii="Lato" w:hAnsi="Lato"/>
                <w:color w:val="000000"/>
                <w:sz w:val="20"/>
                <w:szCs w:val="20"/>
              </w:rPr>
              <w:t>(koordynator przebiegu realizacji inwestycji)</w:t>
            </w:r>
          </w:p>
        </w:tc>
        <w:tc>
          <w:tcPr>
            <w:tcW w:w="547" w:type="pct"/>
            <w:shd w:val="clear" w:color="auto" w:fill="auto"/>
            <w:vAlign w:val="center"/>
            <w:hideMark/>
          </w:tcPr>
          <w:p w14:paraId="2EB975C9" w14:textId="6654A3D4" w:rsidR="0043000E" w:rsidRPr="00260E89" w:rsidRDefault="0043000E" w:rsidP="00983C18">
            <w:pPr>
              <w:spacing w:line="276" w:lineRule="auto"/>
              <w:jc w:val="center"/>
              <w:rPr>
                <w:rFonts w:ascii="Lato" w:hAnsi="Lato"/>
                <w:color w:val="000000"/>
                <w:sz w:val="20"/>
                <w:szCs w:val="20"/>
              </w:rPr>
            </w:pPr>
            <w:r w:rsidRPr="00260E89">
              <w:rPr>
                <w:rFonts w:ascii="Lato" w:hAnsi="Lato"/>
                <w:color w:val="000000"/>
                <w:sz w:val="20"/>
                <w:szCs w:val="20"/>
              </w:rPr>
              <w:t>2023</w:t>
            </w:r>
          </w:p>
        </w:tc>
        <w:tc>
          <w:tcPr>
            <w:tcW w:w="2343" w:type="pct"/>
            <w:vAlign w:val="center"/>
          </w:tcPr>
          <w:p w14:paraId="1BE8669B" w14:textId="6C5A911F" w:rsidR="0043000E" w:rsidRPr="00260E89" w:rsidRDefault="0043000E" w:rsidP="00337358">
            <w:pPr>
              <w:spacing w:line="276" w:lineRule="auto"/>
              <w:jc w:val="center"/>
              <w:rPr>
                <w:rStyle w:val="tlid-translation"/>
                <w:rFonts w:ascii="Lato" w:hAnsi="Lato"/>
                <w:sz w:val="20"/>
                <w:szCs w:val="20"/>
              </w:rPr>
            </w:pPr>
            <w:r w:rsidRPr="00260E89">
              <w:rPr>
                <w:rStyle w:val="tlid-translation"/>
                <w:rFonts w:ascii="Lato" w:hAnsi="Lato"/>
                <w:sz w:val="20"/>
                <w:szCs w:val="20"/>
              </w:rPr>
              <w:t xml:space="preserve">Zwiększenie bezpieczeństwa i stopnia dywersyfikacji dostaw gazu ziemnego w Polsce i pozostałych państwach regionu </w:t>
            </w:r>
            <w:r w:rsidR="00CA570E">
              <w:rPr>
                <w:rStyle w:val="tlid-translation"/>
                <w:rFonts w:ascii="Lato" w:hAnsi="Lato"/>
                <w:sz w:val="20"/>
                <w:szCs w:val="20"/>
              </w:rPr>
              <w:t>M</w:t>
            </w:r>
            <w:r w:rsidRPr="00260E89">
              <w:rPr>
                <w:rStyle w:val="tlid-translation"/>
                <w:rFonts w:ascii="Lato" w:hAnsi="Lato"/>
                <w:sz w:val="20"/>
                <w:szCs w:val="20"/>
              </w:rPr>
              <w:t xml:space="preserve">orza </w:t>
            </w:r>
            <w:r w:rsidR="00CA570E">
              <w:rPr>
                <w:rStyle w:val="tlid-translation"/>
                <w:rFonts w:ascii="Lato" w:hAnsi="Lato"/>
                <w:sz w:val="20"/>
                <w:szCs w:val="20"/>
              </w:rPr>
              <w:t>B</w:t>
            </w:r>
            <w:r w:rsidRPr="00260E89">
              <w:rPr>
                <w:rStyle w:val="tlid-translation"/>
                <w:rFonts w:ascii="Lato" w:hAnsi="Lato"/>
                <w:sz w:val="20"/>
                <w:szCs w:val="20"/>
              </w:rPr>
              <w:t>ałtyckiego oraz Europy Środkowej i Środkowo-Wschodniej.</w:t>
            </w:r>
          </w:p>
          <w:p w14:paraId="3DB4FFD5" w14:textId="77777777" w:rsidR="0043000E" w:rsidRPr="00260E89" w:rsidRDefault="0043000E" w:rsidP="00337358">
            <w:pPr>
              <w:spacing w:line="276" w:lineRule="auto"/>
              <w:jc w:val="center"/>
              <w:rPr>
                <w:rFonts w:ascii="Lato" w:hAnsi="Lato"/>
                <w:color w:val="000000"/>
                <w:sz w:val="20"/>
                <w:szCs w:val="20"/>
              </w:rPr>
            </w:pPr>
            <w:r w:rsidRPr="00260E89">
              <w:rPr>
                <w:rStyle w:val="tlid-translation"/>
                <w:rFonts w:ascii="Lato" w:hAnsi="Lato"/>
                <w:sz w:val="20"/>
                <w:szCs w:val="20"/>
              </w:rPr>
              <w:t>Ograniczenie wrażliwości rynku gazu ziemnego w Polsce oraz w regionie na ryzyko przerw w dostawach z kierunku wschodniego.</w:t>
            </w:r>
          </w:p>
        </w:tc>
      </w:tr>
      <w:tr w:rsidR="00311916" w:rsidRPr="00F46D30" w14:paraId="3551FC6C" w14:textId="77777777" w:rsidTr="00337358">
        <w:trPr>
          <w:trHeight w:val="330"/>
        </w:trPr>
        <w:tc>
          <w:tcPr>
            <w:tcW w:w="1019" w:type="pct"/>
            <w:vAlign w:val="center"/>
          </w:tcPr>
          <w:p w14:paraId="117FB765" w14:textId="77777777" w:rsidR="00B03DBA" w:rsidRPr="00260E89" w:rsidRDefault="00C7771E" w:rsidP="00983C18">
            <w:pPr>
              <w:spacing w:line="276" w:lineRule="auto"/>
              <w:jc w:val="center"/>
              <w:rPr>
                <w:rFonts w:ascii="Lato" w:hAnsi="Lato"/>
                <w:color w:val="000000"/>
                <w:sz w:val="20"/>
                <w:szCs w:val="20"/>
              </w:rPr>
            </w:pPr>
            <w:r w:rsidRPr="00260E89">
              <w:rPr>
                <w:rFonts w:ascii="Lato" w:hAnsi="Lato"/>
                <w:color w:val="000000"/>
                <w:sz w:val="20"/>
                <w:szCs w:val="20"/>
              </w:rPr>
              <w:t>FSRU</w:t>
            </w:r>
          </w:p>
        </w:tc>
        <w:tc>
          <w:tcPr>
            <w:tcW w:w="1091" w:type="pct"/>
            <w:shd w:val="clear" w:color="auto" w:fill="auto"/>
            <w:vAlign w:val="center"/>
          </w:tcPr>
          <w:p w14:paraId="6BAB4FE4" w14:textId="77777777" w:rsidR="00B03DBA" w:rsidRPr="00260E89" w:rsidRDefault="00C7771E" w:rsidP="00983C18">
            <w:pPr>
              <w:spacing w:line="276" w:lineRule="auto"/>
              <w:jc w:val="center"/>
              <w:rPr>
                <w:rFonts w:ascii="Lato" w:hAnsi="Lato"/>
                <w:color w:val="000000"/>
                <w:sz w:val="20"/>
                <w:szCs w:val="20"/>
              </w:rPr>
            </w:pPr>
            <w:r w:rsidRPr="00260E89">
              <w:rPr>
                <w:rFonts w:ascii="Lato" w:hAnsi="Lato"/>
                <w:color w:val="000000"/>
                <w:sz w:val="20"/>
                <w:szCs w:val="20"/>
              </w:rPr>
              <w:t>OGP Gaz - System</w:t>
            </w:r>
          </w:p>
        </w:tc>
        <w:tc>
          <w:tcPr>
            <w:tcW w:w="547" w:type="pct"/>
            <w:vAlign w:val="center"/>
          </w:tcPr>
          <w:p w14:paraId="2624D27E" w14:textId="2540E48C" w:rsidR="00B03DBA" w:rsidRPr="00260E89" w:rsidRDefault="00F77514" w:rsidP="00983C18">
            <w:pPr>
              <w:spacing w:line="276" w:lineRule="auto"/>
              <w:jc w:val="center"/>
              <w:rPr>
                <w:rFonts w:ascii="Lato" w:hAnsi="Lato"/>
                <w:color w:val="000000"/>
                <w:sz w:val="20"/>
                <w:szCs w:val="20"/>
              </w:rPr>
            </w:pPr>
            <w:r w:rsidRPr="00260E89">
              <w:rPr>
                <w:rFonts w:ascii="Lato" w:hAnsi="Lato"/>
                <w:color w:val="000000"/>
                <w:sz w:val="20"/>
                <w:szCs w:val="20"/>
              </w:rPr>
              <w:t>2028</w:t>
            </w:r>
          </w:p>
        </w:tc>
        <w:tc>
          <w:tcPr>
            <w:tcW w:w="2343" w:type="pct"/>
            <w:vAlign w:val="center"/>
          </w:tcPr>
          <w:p w14:paraId="6DABFE91" w14:textId="3D153C91" w:rsidR="00B03DBA" w:rsidRPr="00260E89" w:rsidRDefault="00C7771E" w:rsidP="00337358">
            <w:pPr>
              <w:spacing w:line="276" w:lineRule="auto"/>
              <w:jc w:val="center"/>
              <w:rPr>
                <w:rStyle w:val="tlid-translation"/>
                <w:rFonts w:ascii="Lato" w:hAnsi="Lato"/>
                <w:sz w:val="20"/>
                <w:szCs w:val="20"/>
              </w:rPr>
            </w:pPr>
            <w:r w:rsidRPr="00260E89">
              <w:rPr>
                <w:rStyle w:val="tlid-translation"/>
                <w:rFonts w:ascii="Lato" w:hAnsi="Lato"/>
                <w:sz w:val="20"/>
                <w:szCs w:val="20"/>
              </w:rPr>
              <w:t>Zwiększenie bezpieczeństwa i stopnia dywersyfikacji dostaw gazu ziemnego w Polsce i pozostałych państwach regionu Morza Bałtyckiego oraz Europy Środkowej i Środkowo-Wschodniej.</w:t>
            </w:r>
          </w:p>
          <w:p w14:paraId="7A51F5DC" w14:textId="458C9E49" w:rsidR="00B03DBA" w:rsidRPr="00260E89" w:rsidRDefault="00C7771E" w:rsidP="00337358">
            <w:pPr>
              <w:spacing w:line="276" w:lineRule="auto"/>
              <w:jc w:val="center"/>
              <w:rPr>
                <w:rStyle w:val="tlid-translation"/>
                <w:rFonts w:ascii="Lato" w:hAnsi="Lato"/>
                <w:sz w:val="20"/>
                <w:szCs w:val="20"/>
              </w:rPr>
            </w:pPr>
            <w:r w:rsidRPr="00260E89">
              <w:rPr>
                <w:rStyle w:val="tlid-translation"/>
                <w:rFonts w:ascii="Lato" w:hAnsi="Lato"/>
                <w:sz w:val="20"/>
                <w:szCs w:val="20"/>
              </w:rPr>
              <w:t>Ograniczenie wrażliwości rynku gazu ziemnego w Polsce oraz w regionie na ryzyko przerw w dostawach z kierunku wschodniego.</w:t>
            </w:r>
          </w:p>
        </w:tc>
      </w:tr>
    </w:tbl>
    <w:p w14:paraId="5FCBC4B7" w14:textId="676521B5" w:rsidR="00B03DBA" w:rsidRPr="00C758B1" w:rsidRDefault="00C7771E" w:rsidP="00983C18">
      <w:pPr>
        <w:spacing w:after="0" w:line="276" w:lineRule="auto"/>
        <w:rPr>
          <w:rFonts w:ascii="Lato" w:hAnsi="Lato"/>
        </w:rPr>
      </w:pPr>
      <w:r w:rsidRPr="00C758B1">
        <w:rPr>
          <w:rFonts w:ascii="Lato" w:hAnsi="Lato"/>
        </w:rPr>
        <w:tab/>
      </w:r>
    </w:p>
    <w:tbl>
      <w:tblPr>
        <w:tblStyle w:val="Siatkatabelijasna1"/>
        <w:tblW w:w="5003" w:type="pct"/>
        <w:tblLayout w:type="fixed"/>
        <w:tblLook w:val="04A0" w:firstRow="1" w:lastRow="0" w:firstColumn="1" w:lastColumn="0" w:noHBand="0" w:noVBand="1"/>
      </w:tblPr>
      <w:tblGrid>
        <w:gridCol w:w="5665"/>
        <w:gridCol w:w="1985"/>
        <w:gridCol w:w="1416"/>
      </w:tblGrid>
      <w:tr w:rsidR="00311916" w:rsidRPr="00C758B1" w14:paraId="593C2604" w14:textId="77777777" w:rsidTr="681FA55B">
        <w:trPr>
          <w:trHeight w:val="330"/>
        </w:trPr>
        <w:tc>
          <w:tcPr>
            <w:tcW w:w="5000" w:type="pct"/>
            <w:gridSpan w:val="3"/>
            <w:shd w:val="clear" w:color="auto" w:fill="E7E6E6" w:themeFill="background2"/>
          </w:tcPr>
          <w:p w14:paraId="2746912D" w14:textId="77777777" w:rsidR="00B03DBA" w:rsidRPr="00260E89" w:rsidRDefault="00C7771E" w:rsidP="00983C18">
            <w:pPr>
              <w:spacing w:line="276" w:lineRule="auto"/>
              <w:jc w:val="center"/>
              <w:rPr>
                <w:rStyle w:val="tlid-translation"/>
                <w:rFonts w:ascii="Lato" w:hAnsi="Lato"/>
                <w:b/>
                <w:sz w:val="20"/>
                <w:szCs w:val="20"/>
              </w:rPr>
            </w:pPr>
            <w:r w:rsidRPr="00260E89">
              <w:rPr>
                <w:rStyle w:val="tlid-translation"/>
                <w:rFonts w:ascii="Lato" w:hAnsi="Lato"/>
                <w:b/>
                <w:sz w:val="20"/>
                <w:szCs w:val="20"/>
              </w:rPr>
              <w:t>Projekty wewnątrzkrajowe</w:t>
            </w:r>
          </w:p>
        </w:tc>
      </w:tr>
      <w:tr w:rsidR="00311916" w:rsidRPr="00C758B1" w14:paraId="33040141" w14:textId="77777777" w:rsidTr="681FA55B">
        <w:trPr>
          <w:trHeight w:val="330"/>
        </w:trPr>
        <w:tc>
          <w:tcPr>
            <w:tcW w:w="3124" w:type="pct"/>
            <w:vAlign w:val="center"/>
          </w:tcPr>
          <w:p w14:paraId="738B49E8" w14:textId="77777777" w:rsidR="00B03DBA" w:rsidRPr="00260E89" w:rsidRDefault="00C7771E" w:rsidP="00983C18">
            <w:pPr>
              <w:spacing w:line="276" w:lineRule="auto"/>
              <w:jc w:val="center"/>
              <w:rPr>
                <w:rFonts w:ascii="Lato" w:hAnsi="Lato"/>
                <w:b/>
                <w:color w:val="000000"/>
                <w:sz w:val="20"/>
                <w:szCs w:val="20"/>
              </w:rPr>
            </w:pPr>
            <w:r w:rsidRPr="00260E89">
              <w:rPr>
                <w:rFonts w:ascii="Lato" w:hAnsi="Lato"/>
                <w:b/>
                <w:color w:val="000000"/>
                <w:sz w:val="20"/>
                <w:szCs w:val="20"/>
              </w:rPr>
              <w:t>Działanie</w:t>
            </w:r>
          </w:p>
        </w:tc>
        <w:tc>
          <w:tcPr>
            <w:tcW w:w="1095" w:type="pct"/>
            <w:vAlign w:val="center"/>
          </w:tcPr>
          <w:p w14:paraId="419F3D0C" w14:textId="77777777" w:rsidR="00B03DBA" w:rsidRPr="00260E89" w:rsidRDefault="00C7771E" w:rsidP="00983C18">
            <w:pPr>
              <w:spacing w:line="276" w:lineRule="auto"/>
              <w:jc w:val="center"/>
              <w:rPr>
                <w:rFonts w:ascii="Lato" w:hAnsi="Lato"/>
                <w:b/>
                <w:color w:val="000000"/>
                <w:sz w:val="20"/>
                <w:szCs w:val="20"/>
              </w:rPr>
            </w:pPr>
            <w:r w:rsidRPr="00260E89">
              <w:rPr>
                <w:rFonts w:ascii="Lato" w:hAnsi="Lato"/>
                <w:b/>
                <w:color w:val="000000"/>
                <w:sz w:val="20"/>
                <w:szCs w:val="20"/>
              </w:rPr>
              <w:t>Podmiot odpowiedzialny</w:t>
            </w:r>
          </w:p>
        </w:tc>
        <w:tc>
          <w:tcPr>
            <w:tcW w:w="781" w:type="pct"/>
            <w:vAlign w:val="center"/>
          </w:tcPr>
          <w:p w14:paraId="14F5C144" w14:textId="77777777" w:rsidR="00B03DBA" w:rsidRPr="00260E89" w:rsidRDefault="00C7771E" w:rsidP="00983C18">
            <w:pPr>
              <w:spacing w:line="276" w:lineRule="auto"/>
              <w:jc w:val="center"/>
              <w:rPr>
                <w:rFonts w:ascii="Lato" w:hAnsi="Lato"/>
                <w:b/>
                <w:color w:val="000000"/>
                <w:sz w:val="20"/>
                <w:szCs w:val="20"/>
              </w:rPr>
            </w:pPr>
            <w:r w:rsidRPr="00260E89">
              <w:rPr>
                <w:rFonts w:ascii="Lato" w:hAnsi="Lato"/>
                <w:b/>
                <w:color w:val="000000"/>
                <w:sz w:val="20"/>
                <w:szCs w:val="20"/>
              </w:rPr>
              <w:t>Termin</w:t>
            </w:r>
          </w:p>
        </w:tc>
      </w:tr>
      <w:tr w:rsidR="00311916" w:rsidRPr="00C758B1" w14:paraId="76739E9E" w14:textId="77777777" w:rsidTr="681FA55B">
        <w:trPr>
          <w:trHeight w:val="330"/>
        </w:trPr>
        <w:tc>
          <w:tcPr>
            <w:tcW w:w="3124" w:type="pct"/>
            <w:vAlign w:val="center"/>
          </w:tcPr>
          <w:p w14:paraId="3BB0F341" w14:textId="4622A99D" w:rsidR="00B03DBA" w:rsidRPr="00260E89" w:rsidRDefault="00C7771E" w:rsidP="00983C18">
            <w:pPr>
              <w:spacing w:line="276" w:lineRule="auto"/>
              <w:jc w:val="center"/>
              <w:rPr>
                <w:rFonts w:ascii="Lato" w:hAnsi="Lato"/>
                <w:color w:val="000000"/>
                <w:sz w:val="20"/>
                <w:szCs w:val="20"/>
              </w:rPr>
            </w:pPr>
            <w:r w:rsidRPr="00260E89">
              <w:rPr>
                <w:rFonts w:ascii="Lato" w:hAnsi="Lato"/>
                <w:color w:val="000000"/>
                <w:sz w:val="20"/>
                <w:szCs w:val="20"/>
              </w:rPr>
              <w:t xml:space="preserve">Realizacja </w:t>
            </w:r>
            <w:r w:rsidRPr="00260E89">
              <w:rPr>
                <w:rFonts w:ascii="Lato" w:hAnsi="Lato"/>
                <w:i/>
                <w:color w:val="000000"/>
                <w:sz w:val="20"/>
                <w:szCs w:val="20"/>
              </w:rPr>
              <w:t>Krajowego Dziesięcioletniego Planu Rozwoju Systemu Przesyłowego</w:t>
            </w:r>
            <w:r w:rsidRPr="00260E89">
              <w:rPr>
                <w:rFonts w:ascii="Lato" w:hAnsi="Lato"/>
                <w:color w:val="000000"/>
                <w:sz w:val="20"/>
                <w:szCs w:val="20"/>
              </w:rPr>
              <w:t xml:space="preserve"> w zakresie rozbudowy krajowej sieci przesyłowej </w:t>
            </w:r>
          </w:p>
        </w:tc>
        <w:tc>
          <w:tcPr>
            <w:tcW w:w="1095" w:type="pct"/>
            <w:vAlign w:val="center"/>
          </w:tcPr>
          <w:p w14:paraId="0E70D9E3" w14:textId="27F3FAD4" w:rsidR="00B03DBA" w:rsidRPr="00260E89" w:rsidRDefault="00C7771E" w:rsidP="00983C18">
            <w:pPr>
              <w:spacing w:line="276" w:lineRule="auto"/>
              <w:jc w:val="center"/>
              <w:rPr>
                <w:rFonts w:ascii="Lato" w:hAnsi="Lato"/>
                <w:color w:val="000000"/>
                <w:sz w:val="20"/>
                <w:szCs w:val="20"/>
              </w:rPr>
            </w:pPr>
            <w:r w:rsidRPr="00260E89">
              <w:rPr>
                <w:rFonts w:ascii="Lato" w:hAnsi="Lato"/>
                <w:color w:val="000000"/>
                <w:sz w:val="20"/>
                <w:szCs w:val="20"/>
              </w:rPr>
              <w:t>OGP Gaz-System</w:t>
            </w:r>
            <w:r w:rsidR="00F46D30" w:rsidRPr="00260E89">
              <w:rPr>
                <w:rFonts w:ascii="Lato" w:hAnsi="Lato"/>
                <w:color w:val="000000"/>
                <w:sz w:val="20"/>
                <w:szCs w:val="20"/>
              </w:rPr>
              <w:t xml:space="preserve"> S.A.</w:t>
            </w:r>
          </w:p>
        </w:tc>
        <w:tc>
          <w:tcPr>
            <w:tcW w:w="781" w:type="pct"/>
            <w:vAlign w:val="center"/>
          </w:tcPr>
          <w:p w14:paraId="1A6381B4" w14:textId="3AD1D2EA" w:rsidR="00B03DBA" w:rsidRPr="00260E89" w:rsidRDefault="63A4AC43" w:rsidP="00983C18">
            <w:pPr>
              <w:spacing w:line="276" w:lineRule="auto"/>
              <w:jc w:val="center"/>
              <w:rPr>
                <w:rFonts w:ascii="Lato" w:hAnsi="Lato"/>
                <w:color w:val="000000"/>
                <w:sz w:val="20"/>
                <w:szCs w:val="20"/>
              </w:rPr>
            </w:pPr>
            <w:r w:rsidRPr="00260E89">
              <w:rPr>
                <w:rFonts w:ascii="Lato" w:hAnsi="Lato"/>
                <w:color w:val="000000" w:themeColor="text1"/>
                <w:sz w:val="20"/>
                <w:szCs w:val="20"/>
              </w:rPr>
              <w:t>20</w:t>
            </w:r>
            <w:r w:rsidR="003126F4" w:rsidRPr="00260E89">
              <w:rPr>
                <w:rFonts w:ascii="Lato" w:hAnsi="Lato"/>
                <w:color w:val="000000" w:themeColor="text1"/>
                <w:sz w:val="20"/>
                <w:szCs w:val="20"/>
              </w:rPr>
              <w:t>3</w:t>
            </w:r>
            <w:r w:rsidR="00060FCC" w:rsidRPr="00260E89">
              <w:rPr>
                <w:rFonts w:ascii="Lato" w:hAnsi="Lato"/>
                <w:color w:val="000000" w:themeColor="text1"/>
                <w:sz w:val="20"/>
                <w:szCs w:val="20"/>
              </w:rPr>
              <w:t>0</w:t>
            </w:r>
          </w:p>
        </w:tc>
      </w:tr>
      <w:tr w:rsidR="00311916" w:rsidRPr="00C758B1" w14:paraId="662FA20A" w14:textId="77777777" w:rsidTr="681FA55B">
        <w:trPr>
          <w:trHeight w:val="330"/>
        </w:trPr>
        <w:tc>
          <w:tcPr>
            <w:tcW w:w="3124" w:type="pct"/>
            <w:vAlign w:val="center"/>
          </w:tcPr>
          <w:p w14:paraId="4C99177F" w14:textId="77777777" w:rsidR="00B03DBA" w:rsidRPr="00260E89" w:rsidRDefault="00C7771E" w:rsidP="00983C18">
            <w:pPr>
              <w:spacing w:line="276" w:lineRule="auto"/>
              <w:jc w:val="center"/>
              <w:rPr>
                <w:rFonts w:ascii="Lato" w:hAnsi="Lato"/>
                <w:color w:val="000000"/>
                <w:sz w:val="20"/>
                <w:szCs w:val="20"/>
              </w:rPr>
            </w:pPr>
            <w:r w:rsidRPr="00260E89">
              <w:rPr>
                <w:rFonts w:ascii="Lato" w:hAnsi="Lato"/>
                <w:color w:val="000000"/>
                <w:sz w:val="20"/>
                <w:szCs w:val="20"/>
              </w:rPr>
              <w:t>Realizacja rozbudowy pojemności PMG i KPMG</w:t>
            </w:r>
          </w:p>
        </w:tc>
        <w:tc>
          <w:tcPr>
            <w:tcW w:w="1095" w:type="pct"/>
            <w:vAlign w:val="center"/>
          </w:tcPr>
          <w:p w14:paraId="282745F8" w14:textId="1E951D8C" w:rsidR="00B03DBA" w:rsidRPr="00260E89" w:rsidRDefault="00F46D30" w:rsidP="00983C18">
            <w:pPr>
              <w:spacing w:line="276" w:lineRule="auto"/>
              <w:jc w:val="center"/>
              <w:rPr>
                <w:rFonts w:ascii="Lato" w:hAnsi="Lato"/>
                <w:color w:val="000000"/>
                <w:sz w:val="20"/>
                <w:szCs w:val="20"/>
              </w:rPr>
            </w:pPr>
            <w:r w:rsidRPr="00260E89">
              <w:rPr>
                <w:rFonts w:ascii="Lato" w:hAnsi="Lato"/>
                <w:color w:val="000000"/>
                <w:sz w:val="20"/>
                <w:szCs w:val="20"/>
              </w:rPr>
              <w:t>Orlen S.A.</w:t>
            </w:r>
          </w:p>
        </w:tc>
        <w:tc>
          <w:tcPr>
            <w:tcW w:w="781" w:type="pct"/>
            <w:vAlign w:val="center"/>
          </w:tcPr>
          <w:p w14:paraId="05B404FA" w14:textId="77777777" w:rsidR="00B03DBA" w:rsidRPr="00260E89" w:rsidRDefault="00C7771E" w:rsidP="00983C18">
            <w:pPr>
              <w:spacing w:line="276" w:lineRule="auto"/>
              <w:jc w:val="center"/>
              <w:rPr>
                <w:rFonts w:ascii="Lato" w:hAnsi="Lato"/>
                <w:color w:val="000000"/>
                <w:sz w:val="20"/>
                <w:szCs w:val="20"/>
              </w:rPr>
            </w:pPr>
            <w:r w:rsidRPr="00260E89">
              <w:rPr>
                <w:rFonts w:ascii="Lato" w:hAnsi="Lato"/>
                <w:color w:val="000000"/>
                <w:sz w:val="20"/>
                <w:szCs w:val="20"/>
              </w:rPr>
              <w:t>2021-2030</w:t>
            </w:r>
          </w:p>
        </w:tc>
      </w:tr>
    </w:tbl>
    <w:p w14:paraId="360CF455" w14:textId="237AA045" w:rsidR="001F23FF" w:rsidRPr="00C758B1" w:rsidRDefault="001F23FF" w:rsidP="00983C18">
      <w:pPr>
        <w:spacing w:after="0" w:line="276" w:lineRule="auto"/>
        <w:rPr>
          <w:rFonts w:ascii="Lato" w:hAnsi="Lato"/>
        </w:rPr>
      </w:pPr>
    </w:p>
    <w:p w14:paraId="0E574BAB" w14:textId="43321833" w:rsidR="00316E4B" w:rsidRPr="004D7EBB" w:rsidRDefault="001F23FF" w:rsidP="004D7EBB">
      <w:pPr>
        <w:pStyle w:val="Tekstzwyky"/>
        <w:rPr>
          <w:rFonts w:ascii="Lato" w:hAnsi="Lato"/>
          <w:b/>
        </w:rPr>
      </w:pPr>
      <w:r w:rsidRPr="00C758B1">
        <w:rPr>
          <w:rFonts w:ascii="Lato" w:hAnsi="Lato"/>
        </w:rPr>
        <w:tab/>
      </w:r>
      <w:r w:rsidR="00C7771E" w:rsidRPr="00C758B1">
        <w:rPr>
          <w:rFonts w:ascii="Lato" w:hAnsi="Lato"/>
        </w:rPr>
        <w:t>Rozbudowa infrastruktury gazowej, w szczególności połączeń międzysystemowych</w:t>
      </w:r>
      <w:r w:rsidR="00CA570E">
        <w:rPr>
          <w:rFonts w:ascii="Lato" w:hAnsi="Lato"/>
        </w:rPr>
        <w:t xml:space="preserve">, jak również </w:t>
      </w:r>
      <w:r w:rsidR="00C7771E" w:rsidRPr="00C758B1">
        <w:rPr>
          <w:rFonts w:ascii="Lato" w:hAnsi="Lato"/>
        </w:rPr>
        <w:t xml:space="preserve">zapewnienie nowych </w:t>
      </w:r>
      <w:r w:rsidR="00B70265">
        <w:rPr>
          <w:rFonts w:ascii="Lato" w:hAnsi="Lato"/>
        </w:rPr>
        <w:t>kierunków dostaw</w:t>
      </w:r>
      <w:r w:rsidR="00C7771E" w:rsidRPr="00C758B1">
        <w:rPr>
          <w:rFonts w:ascii="Lato" w:hAnsi="Lato"/>
        </w:rPr>
        <w:t xml:space="preserve"> gazu ziemnego</w:t>
      </w:r>
      <w:r w:rsidR="00CA570E">
        <w:rPr>
          <w:rFonts w:ascii="Lato" w:hAnsi="Lato"/>
        </w:rPr>
        <w:t xml:space="preserve"> </w:t>
      </w:r>
      <w:r w:rsidR="00C7771E" w:rsidRPr="00C758B1">
        <w:rPr>
          <w:rFonts w:ascii="Lato" w:hAnsi="Lato"/>
        </w:rPr>
        <w:t>stanowi jeden z głównych elementów przyczyniających się do zwiększenia poziomu bezpieczeństwa dostaw gazu ziemnego do kraju</w:t>
      </w:r>
      <w:r w:rsidR="00CA570E">
        <w:rPr>
          <w:rFonts w:ascii="Lato" w:hAnsi="Lato"/>
        </w:rPr>
        <w:t xml:space="preserve"> oraz </w:t>
      </w:r>
      <w:r w:rsidR="00C7771E" w:rsidRPr="00C758B1">
        <w:rPr>
          <w:rFonts w:ascii="Lato" w:hAnsi="Lato"/>
        </w:rPr>
        <w:t>integracji z państwami członkowskimi UE.</w:t>
      </w:r>
      <w:r w:rsidR="0045226A" w:rsidRPr="00C758B1">
        <w:rPr>
          <w:rFonts w:ascii="Lato" w:hAnsi="Lato"/>
        </w:rPr>
        <w:t xml:space="preserve"> W 2022</w:t>
      </w:r>
      <w:r w:rsidR="00F46D30">
        <w:rPr>
          <w:rFonts w:ascii="Lato" w:hAnsi="Lato"/>
        </w:rPr>
        <w:t xml:space="preserve"> r.</w:t>
      </w:r>
      <w:r w:rsidR="0045226A" w:rsidRPr="00C758B1">
        <w:rPr>
          <w:rFonts w:ascii="Lato" w:hAnsi="Lato"/>
        </w:rPr>
        <w:t xml:space="preserve"> zostały przekazane do </w:t>
      </w:r>
      <w:r w:rsidR="00E41BAD" w:rsidRPr="00C758B1">
        <w:rPr>
          <w:rFonts w:ascii="Lato" w:hAnsi="Lato"/>
        </w:rPr>
        <w:t>użytkowania</w:t>
      </w:r>
      <w:r w:rsidR="0045226A" w:rsidRPr="00C758B1">
        <w:rPr>
          <w:rFonts w:ascii="Lato" w:hAnsi="Lato"/>
        </w:rPr>
        <w:t xml:space="preserve"> następujące połączenia </w:t>
      </w:r>
      <w:r w:rsidR="008E4E49" w:rsidRPr="00C758B1">
        <w:rPr>
          <w:rFonts w:ascii="Lato" w:hAnsi="Lato"/>
        </w:rPr>
        <w:t>międzysystemowe</w:t>
      </w:r>
      <w:r w:rsidR="0045226A" w:rsidRPr="00C758B1">
        <w:rPr>
          <w:rFonts w:ascii="Lato" w:hAnsi="Lato"/>
        </w:rPr>
        <w:t>, które w znaczący sposób wpłynęły na zwieszenie poziomu bezpieczeństwa dostaw gazu ziemnego do Polski</w:t>
      </w:r>
      <w:r w:rsidR="00266298">
        <w:rPr>
          <w:rFonts w:ascii="Lato" w:hAnsi="Lato"/>
        </w:rPr>
        <w:t>.</w:t>
      </w:r>
      <w:r w:rsidR="0045226A" w:rsidRPr="00C758B1">
        <w:rPr>
          <w:rFonts w:ascii="Lato" w:hAnsi="Lato"/>
        </w:rPr>
        <w:t xml:space="preserve"> </w:t>
      </w:r>
    </w:p>
    <w:p w14:paraId="75E10E84" w14:textId="18CD12CF" w:rsidR="00B03DBA" w:rsidRPr="00337358" w:rsidRDefault="00C7771E" w:rsidP="00337358">
      <w:pPr>
        <w:pStyle w:val="Tabela"/>
        <w:spacing w:before="120" w:after="120"/>
        <w:rPr>
          <w:rFonts w:ascii="Lato" w:hAnsi="Lato"/>
          <w:b w:val="0"/>
        </w:rPr>
      </w:pPr>
      <w:r w:rsidRPr="00337358">
        <w:rPr>
          <w:rFonts w:ascii="Lato" w:hAnsi="Lato"/>
        </w:rPr>
        <w:t xml:space="preserve">Projekt Baltic Pipe </w:t>
      </w:r>
    </w:p>
    <w:p w14:paraId="55F6D191" w14:textId="707D4262" w:rsidR="00B03DBA" w:rsidRPr="00C758B1" w:rsidRDefault="00C7771E" w:rsidP="00337358">
      <w:pPr>
        <w:pStyle w:val="Tekstzwyky"/>
        <w:rPr>
          <w:rFonts w:ascii="Lato" w:hAnsi="Lato"/>
        </w:rPr>
      </w:pPr>
      <w:r w:rsidRPr="00C758B1">
        <w:rPr>
          <w:rFonts w:ascii="Lato" w:hAnsi="Lato"/>
        </w:rPr>
        <w:lastRenderedPageBreak/>
        <w:tab/>
        <w:t>To strategiczny projekt infrastrukturalny</w:t>
      </w:r>
      <w:r w:rsidR="00CA570E">
        <w:rPr>
          <w:rFonts w:ascii="Lato" w:hAnsi="Lato"/>
        </w:rPr>
        <w:t xml:space="preserve">, który zapewnił możliwość </w:t>
      </w:r>
      <w:r w:rsidRPr="00C758B1">
        <w:rPr>
          <w:rFonts w:ascii="Lato" w:hAnsi="Lato"/>
        </w:rPr>
        <w:t>przesyłani</w:t>
      </w:r>
      <w:r w:rsidR="00CA570E">
        <w:rPr>
          <w:rFonts w:ascii="Lato" w:hAnsi="Lato"/>
        </w:rPr>
        <w:t>a</w:t>
      </w:r>
      <w:r w:rsidRPr="00C758B1">
        <w:rPr>
          <w:rFonts w:ascii="Lato" w:hAnsi="Lato"/>
        </w:rPr>
        <w:t xml:space="preserve"> gazu ziemnego bezpośrednio ze złóż zlokalizowanych w Norwegii na rynki w Danii i w Polsce, a także do odbiorców w sąsiednich krajach. Projekt Baltic Pipe umożliwi</w:t>
      </w:r>
      <w:r w:rsidR="0045226A" w:rsidRPr="00C758B1">
        <w:rPr>
          <w:rFonts w:ascii="Lato" w:hAnsi="Lato"/>
        </w:rPr>
        <w:t>a</w:t>
      </w:r>
      <w:r w:rsidRPr="00C758B1">
        <w:rPr>
          <w:rFonts w:ascii="Lato" w:hAnsi="Lato"/>
        </w:rPr>
        <w:t xml:space="preserve"> </w:t>
      </w:r>
      <w:r w:rsidR="00006B72">
        <w:rPr>
          <w:rFonts w:ascii="Lato" w:hAnsi="Lato"/>
        </w:rPr>
        <w:t>również</w:t>
      </w:r>
      <w:r w:rsidRPr="00C758B1">
        <w:rPr>
          <w:rFonts w:ascii="Lato" w:hAnsi="Lato"/>
        </w:rPr>
        <w:t xml:space="preserve"> dostawy gazu ziemnego z Polski na rynek duński i szwedzki. Dywersyfikacja dostaw</w:t>
      </w:r>
      <w:r w:rsidR="00CA570E">
        <w:rPr>
          <w:rFonts w:ascii="Lato" w:hAnsi="Lato"/>
        </w:rPr>
        <w:t xml:space="preserve"> gazu ziemnego,</w:t>
      </w:r>
      <w:r w:rsidRPr="00C758B1">
        <w:rPr>
          <w:rFonts w:ascii="Lato" w:hAnsi="Lato"/>
        </w:rPr>
        <w:t xml:space="preserve"> poprzez umożliwienie dostępu do jego bezpośrednich źródeł</w:t>
      </w:r>
      <w:r w:rsidR="00CA570E">
        <w:rPr>
          <w:rFonts w:ascii="Lato" w:hAnsi="Lato"/>
        </w:rPr>
        <w:t>,</w:t>
      </w:r>
      <w:r w:rsidRPr="00C758B1">
        <w:rPr>
          <w:rFonts w:ascii="Lato" w:hAnsi="Lato"/>
        </w:rPr>
        <w:t xml:space="preserve"> w istotny sposób </w:t>
      </w:r>
      <w:r w:rsidR="00A2308D" w:rsidRPr="00C758B1">
        <w:rPr>
          <w:rFonts w:ascii="Lato" w:hAnsi="Lato"/>
          <w:bCs/>
        </w:rPr>
        <w:t>wpływa</w:t>
      </w:r>
      <w:r w:rsidR="00A2308D" w:rsidRPr="00C758B1">
        <w:rPr>
          <w:rFonts w:ascii="Lato" w:hAnsi="Lato"/>
        </w:rPr>
        <w:t xml:space="preserve"> </w:t>
      </w:r>
      <w:r w:rsidRPr="00C758B1">
        <w:rPr>
          <w:rFonts w:ascii="Lato" w:hAnsi="Lato"/>
        </w:rPr>
        <w:t xml:space="preserve">na poprawę bezpieczeństwa energetycznego całego regionu. </w:t>
      </w:r>
    </w:p>
    <w:p w14:paraId="78D28C00" w14:textId="036CAA10" w:rsidR="00B03DBA" w:rsidRPr="00C758B1" w:rsidRDefault="00C7771E" w:rsidP="00337358">
      <w:pPr>
        <w:pStyle w:val="Tekstzwyky"/>
        <w:rPr>
          <w:rFonts w:ascii="Lato" w:hAnsi="Lato"/>
        </w:rPr>
      </w:pPr>
      <w:r w:rsidRPr="00C758B1">
        <w:rPr>
          <w:rFonts w:ascii="Lato" w:hAnsi="Lato"/>
        </w:rPr>
        <w:tab/>
        <w:t>Korzyści wynikające z budowy Baltic Pipe</w:t>
      </w:r>
      <w:r w:rsidR="00CA570E">
        <w:rPr>
          <w:rFonts w:ascii="Lato" w:hAnsi="Lato"/>
        </w:rPr>
        <w:t xml:space="preserve"> to</w:t>
      </w:r>
      <w:r w:rsidRPr="00C758B1">
        <w:rPr>
          <w:rFonts w:ascii="Lato" w:hAnsi="Lato"/>
        </w:rPr>
        <w:t>:</w:t>
      </w:r>
    </w:p>
    <w:p w14:paraId="4051E485" w14:textId="13757988" w:rsidR="00B03DBA" w:rsidRPr="00006B72" w:rsidRDefault="00C7771E" w:rsidP="00337358">
      <w:pPr>
        <w:pStyle w:val="TekstWypunktowany"/>
        <w:rPr>
          <w:rFonts w:ascii="Lato" w:hAnsi="Lato"/>
        </w:rPr>
      </w:pPr>
      <w:r w:rsidRPr="00337358">
        <w:rPr>
          <w:rFonts w:ascii="Lato" w:hAnsi="Lato"/>
        </w:rPr>
        <w:t>zróżnicowanie i umożliwienie dostępu do nowych źródeł dostaw gazu ziemnego</w:t>
      </w:r>
      <w:r w:rsidR="00CA570E">
        <w:rPr>
          <w:rFonts w:ascii="Lato" w:hAnsi="Lato"/>
        </w:rPr>
        <w:t>, które</w:t>
      </w:r>
      <w:r w:rsidRPr="00337358">
        <w:rPr>
          <w:rFonts w:ascii="Lato" w:hAnsi="Lato"/>
        </w:rPr>
        <w:t> mają istotne znaczenie dla wzmocnienia krajowego</w:t>
      </w:r>
      <w:r w:rsidR="006E461F">
        <w:rPr>
          <w:rFonts w:ascii="Lato" w:hAnsi="Lato"/>
        </w:rPr>
        <w:t xml:space="preserve"> i regionalnego</w:t>
      </w:r>
      <w:r w:rsidRPr="00337358">
        <w:rPr>
          <w:rFonts w:ascii="Lato" w:hAnsi="Lato"/>
        </w:rPr>
        <w:t xml:space="preserve"> bezpieczeń</w:t>
      </w:r>
      <w:r w:rsidRPr="00006B72">
        <w:rPr>
          <w:rFonts w:ascii="Lato" w:hAnsi="Lato"/>
        </w:rPr>
        <w:t>stwa energetycznego</w:t>
      </w:r>
      <w:r w:rsidR="00CA570E">
        <w:rPr>
          <w:rFonts w:ascii="Lato" w:hAnsi="Lato"/>
        </w:rPr>
        <w:t xml:space="preserve">, wzmocnienie </w:t>
      </w:r>
      <w:r w:rsidRPr="00006B72">
        <w:rPr>
          <w:rFonts w:ascii="Lato" w:hAnsi="Lato"/>
        </w:rPr>
        <w:t>konkurencyjnoś</w:t>
      </w:r>
      <w:r w:rsidR="00CA570E">
        <w:rPr>
          <w:rFonts w:ascii="Lato" w:hAnsi="Lato"/>
        </w:rPr>
        <w:t xml:space="preserve">ci, zapewnienie </w:t>
      </w:r>
      <w:r w:rsidRPr="00006B72">
        <w:rPr>
          <w:rFonts w:ascii="Lato" w:hAnsi="Lato"/>
        </w:rPr>
        <w:t>ciągłoś</w:t>
      </w:r>
      <w:r w:rsidR="00CA570E">
        <w:rPr>
          <w:rFonts w:ascii="Lato" w:hAnsi="Lato"/>
        </w:rPr>
        <w:t>ci</w:t>
      </w:r>
      <w:r w:rsidRPr="00006B72">
        <w:rPr>
          <w:rFonts w:ascii="Lato" w:hAnsi="Lato"/>
        </w:rPr>
        <w:t xml:space="preserve"> dosta</w:t>
      </w:r>
      <w:r w:rsidR="0079609F" w:rsidRPr="00006B72">
        <w:rPr>
          <w:rFonts w:ascii="Lato" w:hAnsi="Lato"/>
        </w:rPr>
        <w:t>w</w:t>
      </w:r>
      <w:r w:rsidR="0079609F" w:rsidRPr="00C758B1">
        <w:rPr>
          <w:rFonts w:ascii="Lato" w:hAnsi="Lato"/>
        </w:rPr>
        <w:t>;</w:t>
      </w:r>
    </w:p>
    <w:p w14:paraId="20B89A5C" w14:textId="48D5705F" w:rsidR="00B03DBA" w:rsidRPr="00006B72" w:rsidRDefault="00C7771E" w:rsidP="00006B72">
      <w:pPr>
        <w:pStyle w:val="TekstWypunktowany"/>
        <w:rPr>
          <w:rFonts w:ascii="Lato" w:hAnsi="Lato"/>
        </w:rPr>
      </w:pPr>
      <w:r w:rsidRPr="00006B72">
        <w:rPr>
          <w:rFonts w:ascii="Lato" w:hAnsi="Lato"/>
        </w:rPr>
        <w:t xml:space="preserve">poprawa dywersyfikacji źródeł dostaw w Danii, Szwecji oraz w regionie Morza Bałtyckiego i Europy Środkowo-Wschodniej. Duński i szwedzki rynek gazu </w:t>
      </w:r>
      <w:r w:rsidR="006E461F">
        <w:rPr>
          <w:rFonts w:ascii="Lato" w:hAnsi="Lato"/>
        </w:rPr>
        <w:t xml:space="preserve">ziemnego </w:t>
      </w:r>
      <w:r w:rsidRPr="00006B72">
        <w:rPr>
          <w:rFonts w:ascii="Lato" w:hAnsi="Lato"/>
        </w:rPr>
        <w:t>skorzysta z</w:t>
      </w:r>
      <w:r w:rsidR="006E461F">
        <w:rPr>
          <w:rFonts w:ascii="Lato" w:hAnsi="Lato"/>
        </w:rPr>
        <w:t xml:space="preserve"> </w:t>
      </w:r>
      <w:r w:rsidRPr="00006B72">
        <w:rPr>
          <w:rFonts w:ascii="Lato" w:hAnsi="Lato"/>
        </w:rPr>
        <w:t>dwóch nowych źródeł zaopatrzenia. Inwestycja zapewni im bezpośredni dostęp do norweskiego gazu ziemnego oraz globalnego rynku skroplonego gazu ziemnego (LNG) poprzez Terminal LNG w Świnoujściu</w:t>
      </w:r>
      <w:r w:rsidR="0079609F" w:rsidRPr="00C758B1">
        <w:rPr>
          <w:rFonts w:ascii="Lato" w:hAnsi="Lato"/>
        </w:rPr>
        <w:t>;</w:t>
      </w:r>
    </w:p>
    <w:p w14:paraId="65067F4E" w14:textId="3F44DA5B" w:rsidR="00B03DBA" w:rsidRPr="00006B72" w:rsidRDefault="00C7771E" w:rsidP="00006B72">
      <w:pPr>
        <w:pStyle w:val="TekstWypunktowany"/>
        <w:rPr>
          <w:rFonts w:ascii="Lato" w:hAnsi="Lato"/>
        </w:rPr>
      </w:pPr>
      <w:r w:rsidRPr="00006B72">
        <w:rPr>
          <w:rFonts w:ascii="Lato" w:hAnsi="Lato"/>
        </w:rPr>
        <w:t>uruchomienie nowej, dodatkowej trasy dostaw gazu ziemnego z północy Europy</w:t>
      </w:r>
      <w:r w:rsidR="006E461F">
        <w:rPr>
          <w:rFonts w:ascii="Lato" w:hAnsi="Lato"/>
        </w:rPr>
        <w:t xml:space="preserve"> </w:t>
      </w:r>
      <w:r w:rsidRPr="00006B72">
        <w:rPr>
          <w:rFonts w:ascii="Lato" w:hAnsi="Lato"/>
        </w:rPr>
        <w:t>przyczyni się do strategicznej zmiany obecnej struktury przepływów gazu w Europie Środkowej i Wschodniej</w:t>
      </w:r>
      <w:r w:rsidR="0079609F" w:rsidRPr="00C758B1">
        <w:rPr>
          <w:rFonts w:ascii="Lato" w:hAnsi="Lato"/>
        </w:rPr>
        <w:t>;</w:t>
      </w:r>
    </w:p>
    <w:p w14:paraId="454EC2E7" w14:textId="3107A5F3" w:rsidR="00B03DBA" w:rsidRPr="00006B72" w:rsidRDefault="00C7771E" w:rsidP="00006B72">
      <w:pPr>
        <w:pStyle w:val="TekstWypunktowany"/>
        <w:rPr>
          <w:rFonts w:ascii="Lato" w:hAnsi="Lato"/>
        </w:rPr>
      </w:pPr>
      <w:r w:rsidRPr="00006B72">
        <w:rPr>
          <w:rFonts w:ascii="Lato" w:hAnsi="Lato"/>
        </w:rPr>
        <w:t>zwiększenie konkurencyjności na regionalnych rynkach gazu ziemnego i ułatwienie konwergencji cenowej pomiędzy rynkami; umożliwienie wejścia na rynek nowych uczestników w regionach oddziaływania</w:t>
      </w:r>
      <w:r w:rsidR="00CA570E">
        <w:rPr>
          <w:rFonts w:ascii="Lato" w:hAnsi="Lato"/>
        </w:rPr>
        <w:t xml:space="preserve"> projektu</w:t>
      </w:r>
      <w:r w:rsidRPr="00006B72">
        <w:rPr>
          <w:rFonts w:ascii="Lato" w:hAnsi="Lato"/>
        </w:rPr>
        <w:t xml:space="preserve">. </w:t>
      </w:r>
    </w:p>
    <w:p w14:paraId="79980383" w14:textId="585C8CDF" w:rsidR="00B03DBA" w:rsidRPr="00006B72" w:rsidRDefault="00F46D30" w:rsidP="00006B72">
      <w:pPr>
        <w:pStyle w:val="Tabela"/>
        <w:spacing w:before="120" w:after="120"/>
        <w:rPr>
          <w:rFonts w:ascii="Lato" w:hAnsi="Lato"/>
          <w:b w:val="0"/>
        </w:rPr>
      </w:pPr>
      <w:r>
        <w:rPr>
          <w:rFonts w:ascii="Lato" w:hAnsi="Lato"/>
        </w:rPr>
        <w:t xml:space="preserve">Połączenie międzysystemowe </w:t>
      </w:r>
      <w:r w:rsidR="00C7771E" w:rsidRPr="00006B72">
        <w:rPr>
          <w:rFonts w:ascii="Lato" w:hAnsi="Lato"/>
        </w:rPr>
        <w:t xml:space="preserve">Polska–Litwa </w:t>
      </w:r>
    </w:p>
    <w:p w14:paraId="57CBB27F" w14:textId="3274AC65" w:rsidR="00B03DBA" w:rsidRPr="00C758B1" w:rsidRDefault="00C7771E" w:rsidP="00006B72">
      <w:pPr>
        <w:pStyle w:val="Tekstzwyky"/>
        <w:rPr>
          <w:rFonts w:ascii="Lato" w:hAnsi="Lato"/>
        </w:rPr>
      </w:pPr>
      <w:r w:rsidRPr="00C758B1">
        <w:rPr>
          <w:rFonts w:ascii="Lato" w:hAnsi="Lato"/>
        </w:rPr>
        <w:tab/>
      </w:r>
      <w:r w:rsidR="00A2308D" w:rsidRPr="00C758B1">
        <w:rPr>
          <w:rFonts w:ascii="Lato" w:hAnsi="Lato"/>
        </w:rPr>
        <w:t>Główny</w:t>
      </w:r>
      <w:r w:rsidR="00006B72">
        <w:rPr>
          <w:rFonts w:ascii="Lato" w:hAnsi="Lato"/>
        </w:rPr>
        <w:t>m</w:t>
      </w:r>
      <w:r w:rsidR="00A2308D" w:rsidRPr="00C758B1">
        <w:rPr>
          <w:rFonts w:ascii="Lato" w:hAnsi="Lato"/>
        </w:rPr>
        <w:t xml:space="preserve"> cel</w:t>
      </w:r>
      <w:r w:rsidR="00006B72">
        <w:rPr>
          <w:rFonts w:ascii="Lato" w:hAnsi="Lato"/>
        </w:rPr>
        <w:t>em</w:t>
      </w:r>
      <w:r w:rsidR="00A2308D" w:rsidRPr="00C758B1">
        <w:rPr>
          <w:rFonts w:ascii="Lato" w:hAnsi="Lato"/>
        </w:rPr>
        <w:t xml:space="preserve"> projektu </w:t>
      </w:r>
      <w:r w:rsidR="00006B72">
        <w:rPr>
          <w:rFonts w:ascii="Lato" w:hAnsi="Lato"/>
        </w:rPr>
        <w:t>było</w:t>
      </w:r>
      <w:r w:rsidR="00A2308D" w:rsidRPr="00C758B1">
        <w:rPr>
          <w:rFonts w:ascii="Lato" w:hAnsi="Lato"/>
        </w:rPr>
        <w:t xml:space="preserve"> </w:t>
      </w:r>
      <w:r w:rsidRPr="00C758B1">
        <w:rPr>
          <w:rFonts w:ascii="Lato" w:hAnsi="Lato"/>
        </w:rPr>
        <w:t>połączenie odizolowanych rynków gazu ziemnego państw bałtyckich (Litwy, Łotwy i Estonii) z rynkami gazu U</w:t>
      </w:r>
      <w:r w:rsidR="00F46D30">
        <w:rPr>
          <w:rFonts w:ascii="Lato" w:hAnsi="Lato"/>
        </w:rPr>
        <w:t>E</w:t>
      </w:r>
      <w:r w:rsidRPr="00C758B1">
        <w:rPr>
          <w:rFonts w:ascii="Lato" w:hAnsi="Lato"/>
        </w:rPr>
        <w:t xml:space="preserve"> za pośrednictwem nowego dwukierunkowego </w:t>
      </w:r>
      <w:r w:rsidR="006E461F">
        <w:rPr>
          <w:rFonts w:ascii="Lato" w:hAnsi="Lato"/>
        </w:rPr>
        <w:t>połączenia międzysystemowego</w:t>
      </w:r>
      <w:r w:rsidRPr="00C758B1">
        <w:rPr>
          <w:rFonts w:ascii="Lato" w:hAnsi="Lato"/>
        </w:rPr>
        <w:t>. Projekt umożliwi</w:t>
      </w:r>
      <w:r w:rsidR="00A2308D" w:rsidRPr="00C758B1">
        <w:rPr>
          <w:rFonts w:ascii="Lato" w:hAnsi="Lato"/>
        </w:rPr>
        <w:t>a</w:t>
      </w:r>
      <w:r w:rsidRPr="00C758B1">
        <w:rPr>
          <w:rFonts w:ascii="Lato" w:hAnsi="Lato"/>
        </w:rPr>
        <w:t xml:space="preserve"> integrację rynków gazu ziemnego w rejonie Morza Bałtyckiego, a także zmniejsz</w:t>
      </w:r>
      <w:r w:rsidR="00006B72">
        <w:rPr>
          <w:rFonts w:ascii="Lato" w:hAnsi="Lato"/>
        </w:rPr>
        <w:t>a</w:t>
      </w:r>
      <w:r w:rsidRPr="00C758B1">
        <w:rPr>
          <w:rFonts w:ascii="Lato" w:hAnsi="Lato"/>
        </w:rPr>
        <w:t xml:space="preserve"> uzależnienia krajów bałtyckich </w:t>
      </w:r>
      <w:r w:rsidR="006E461F">
        <w:rPr>
          <w:rFonts w:ascii="Lato" w:hAnsi="Lato"/>
        </w:rPr>
        <w:t>oraz</w:t>
      </w:r>
      <w:r w:rsidRPr="00C758B1">
        <w:rPr>
          <w:rFonts w:ascii="Lato" w:hAnsi="Lato"/>
        </w:rPr>
        <w:t xml:space="preserve"> Finlandii od dostaw</w:t>
      </w:r>
      <w:r w:rsidR="006E461F">
        <w:rPr>
          <w:rFonts w:ascii="Lato" w:hAnsi="Lato"/>
        </w:rPr>
        <w:t xml:space="preserve"> gazu ziemnego</w:t>
      </w:r>
      <w:r w:rsidRPr="00C758B1">
        <w:rPr>
          <w:rFonts w:ascii="Lato" w:hAnsi="Lato"/>
        </w:rPr>
        <w:t xml:space="preserve"> </w:t>
      </w:r>
      <w:r w:rsidR="007C4730">
        <w:rPr>
          <w:rFonts w:ascii="Lato" w:hAnsi="Lato"/>
        </w:rPr>
        <w:t xml:space="preserve">z </w:t>
      </w:r>
      <w:r w:rsidRPr="00C758B1">
        <w:rPr>
          <w:rFonts w:ascii="Lato" w:hAnsi="Lato"/>
        </w:rPr>
        <w:t>kierunku</w:t>
      </w:r>
      <w:r w:rsidR="007C4730">
        <w:rPr>
          <w:rFonts w:ascii="Lato" w:hAnsi="Lato"/>
        </w:rPr>
        <w:t xml:space="preserve"> wschodniego</w:t>
      </w:r>
      <w:r w:rsidRPr="00C758B1">
        <w:rPr>
          <w:rFonts w:ascii="Lato" w:hAnsi="Lato"/>
        </w:rPr>
        <w:t>.</w:t>
      </w:r>
    </w:p>
    <w:p w14:paraId="3C8BA05B" w14:textId="3A9B344D" w:rsidR="00B03DBA" w:rsidRPr="00C758B1" w:rsidRDefault="00C7771E" w:rsidP="00006B72">
      <w:pPr>
        <w:pStyle w:val="Tekstzwyky"/>
        <w:rPr>
          <w:rFonts w:ascii="Lato" w:hAnsi="Lato"/>
        </w:rPr>
      </w:pPr>
      <w:r w:rsidRPr="00C758B1">
        <w:rPr>
          <w:rFonts w:ascii="Lato" w:hAnsi="Lato"/>
        </w:rPr>
        <w:tab/>
        <w:t xml:space="preserve">Korzyści wynikające z budowy połączenia Polska–Litwa: </w:t>
      </w:r>
    </w:p>
    <w:p w14:paraId="5393A451" w14:textId="734E9DDB" w:rsidR="00B03DBA" w:rsidRPr="00006B72" w:rsidRDefault="00C7771E" w:rsidP="00006B72">
      <w:pPr>
        <w:pStyle w:val="TekstWypunktowany"/>
        <w:rPr>
          <w:rFonts w:ascii="Lato" w:hAnsi="Lato"/>
        </w:rPr>
      </w:pPr>
      <w:r w:rsidRPr="00006B72">
        <w:rPr>
          <w:rFonts w:ascii="Lato" w:hAnsi="Lato"/>
        </w:rPr>
        <w:t>dywersyfikacja źródeł dostaw gazu ziemnego, zmniejszenie zależności od jednego dostawcy, zwiększenie bezpieczeństwa energetycznego oraz solidarności energetycznej między państwami członkowskimi, integracja rynków energii w Europie oraz utworzenie wewnętrznego rynku energii</w:t>
      </w:r>
      <w:r w:rsidR="0079609F" w:rsidRPr="00C758B1">
        <w:rPr>
          <w:rFonts w:ascii="Lato" w:hAnsi="Lato"/>
        </w:rPr>
        <w:t>;</w:t>
      </w:r>
    </w:p>
    <w:p w14:paraId="6213886C" w14:textId="76512447" w:rsidR="00B03DBA" w:rsidRPr="00006B72" w:rsidRDefault="00C7771E" w:rsidP="00006B72">
      <w:pPr>
        <w:pStyle w:val="TekstWypunktowany"/>
        <w:rPr>
          <w:rFonts w:ascii="Lato" w:hAnsi="Lato"/>
        </w:rPr>
      </w:pPr>
      <w:r w:rsidRPr="00006B72">
        <w:rPr>
          <w:rFonts w:ascii="Lato" w:hAnsi="Lato"/>
        </w:rPr>
        <w:t>na szczeblu krajowym realizacja połączenia Polska-Litwa jest zgodna z działaniami priorytetowymi związanymi z bezpieczeństwem dostaw gazu ziemnego takimi jak: rozbudowa oraz zwiększenie przepustowości gazowych systemów przesyłowych, budowa połączeń międzysystemowych oraz przedłużenie połączeń z innymi systemami gazowymi</w:t>
      </w:r>
      <w:r w:rsidR="0079609F" w:rsidRPr="00C758B1">
        <w:rPr>
          <w:rFonts w:ascii="Lato" w:hAnsi="Lato"/>
        </w:rPr>
        <w:t>;</w:t>
      </w:r>
    </w:p>
    <w:p w14:paraId="22657EA3" w14:textId="570B9FF6" w:rsidR="00B03DBA" w:rsidRPr="00006B72" w:rsidRDefault="00C7771E" w:rsidP="00006B72">
      <w:pPr>
        <w:pStyle w:val="TekstWypunktowany"/>
        <w:rPr>
          <w:rFonts w:ascii="Lato" w:hAnsi="Lato"/>
        </w:rPr>
      </w:pPr>
      <w:r w:rsidRPr="00006B72">
        <w:rPr>
          <w:rFonts w:ascii="Lato" w:hAnsi="Lato"/>
        </w:rPr>
        <w:t xml:space="preserve">wzrost konkurencyjności północno-wschodnich regionów Polski dzięki powstaniu nowej infrastruktury przesyłowej pozwalającej na odbiór paliw gazowych za pośrednictwem sieci dystrybucyjnej lub poprzez bezpośrednie </w:t>
      </w:r>
      <w:r w:rsidRPr="00006B72">
        <w:rPr>
          <w:rFonts w:ascii="Lato" w:hAnsi="Lato"/>
        </w:rPr>
        <w:lastRenderedPageBreak/>
        <w:t>przyłączenie dużych odbiorców przemysłowych, możliwość gazyfikacji regionów do tej pory pozbawionych dostępu do gazu ziemnego.</w:t>
      </w:r>
    </w:p>
    <w:p w14:paraId="4A6BC8F3" w14:textId="26E01765" w:rsidR="00B03DBA" w:rsidRPr="00006B72" w:rsidRDefault="00DE0CA2" w:rsidP="00006B72">
      <w:pPr>
        <w:pStyle w:val="Tabela"/>
        <w:spacing w:before="120" w:after="120"/>
        <w:contextualSpacing/>
        <w:rPr>
          <w:rFonts w:ascii="Lato" w:hAnsi="Lato"/>
          <w:b w:val="0"/>
        </w:rPr>
      </w:pPr>
      <w:r w:rsidRPr="00DE0CA2">
        <w:rPr>
          <w:rFonts w:ascii="Lato" w:hAnsi="Lato"/>
          <w:bCs/>
        </w:rPr>
        <w:t>Połączenie międzysy</w:t>
      </w:r>
      <w:r>
        <w:rPr>
          <w:rFonts w:ascii="Lato" w:hAnsi="Lato"/>
          <w:bCs/>
        </w:rPr>
        <w:t>s</w:t>
      </w:r>
      <w:r w:rsidRPr="00DE0CA2">
        <w:rPr>
          <w:rFonts w:ascii="Lato" w:hAnsi="Lato"/>
          <w:bCs/>
        </w:rPr>
        <w:t xml:space="preserve">temowe </w:t>
      </w:r>
      <w:r w:rsidR="00C7771E" w:rsidRPr="00006B72">
        <w:rPr>
          <w:rFonts w:ascii="Lato" w:hAnsi="Lato"/>
        </w:rPr>
        <w:t>Polska</w:t>
      </w:r>
      <w:r w:rsidR="00C7771E" w:rsidRPr="00006B72">
        <w:rPr>
          <w:rFonts w:ascii="Lato" w:hAnsi="Lato"/>
          <w:b w:val="0"/>
          <w:bCs/>
        </w:rPr>
        <w:t>–</w:t>
      </w:r>
      <w:r w:rsidR="00C7771E" w:rsidRPr="00006B72">
        <w:rPr>
          <w:rFonts w:ascii="Lato" w:hAnsi="Lato"/>
          <w:bCs/>
        </w:rPr>
        <w:t>Słowacja</w:t>
      </w:r>
      <w:r w:rsidR="00C7771E" w:rsidRPr="00006B72">
        <w:rPr>
          <w:rFonts w:ascii="Lato" w:hAnsi="Lato"/>
        </w:rPr>
        <w:t xml:space="preserve"> </w:t>
      </w:r>
    </w:p>
    <w:p w14:paraId="2408E440" w14:textId="3714ACA7" w:rsidR="00B03DBA" w:rsidRPr="00C758B1" w:rsidRDefault="00C7771E" w:rsidP="00006B72">
      <w:pPr>
        <w:pStyle w:val="Tekstzwyky"/>
        <w:contextualSpacing/>
        <w:rPr>
          <w:rFonts w:ascii="Lato" w:hAnsi="Lato"/>
        </w:rPr>
      </w:pPr>
      <w:r w:rsidRPr="00C758B1">
        <w:rPr>
          <w:rFonts w:ascii="Lato" w:hAnsi="Lato"/>
        </w:rPr>
        <w:tab/>
        <w:t xml:space="preserve">Połączenie Polska–Słowacja jest częścią europejskiej inicjatywy związanej z budową Korytarza Północ–Południe. Nowy kierunek dostaw wpisuje się w strategiczne kierunki określone w </w:t>
      </w:r>
      <w:r w:rsidRPr="007C4730">
        <w:rPr>
          <w:rFonts w:ascii="Lato" w:hAnsi="Lato"/>
          <w:i/>
          <w:iCs/>
        </w:rPr>
        <w:t xml:space="preserve">Polityce energetycznej Polski do </w:t>
      </w:r>
      <w:r w:rsidR="00D264AB" w:rsidRPr="007C4730">
        <w:rPr>
          <w:rFonts w:ascii="Lato" w:hAnsi="Lato"/>
          <w:i/>
          <w:iCs/>
        </w:rPr>
        <w:t>2040</w:t>
      </w:r>
      <w:r w:rsidR="00A2308D" w:rsidRPr="007C4730">
        <w:rPr>
          <w:rFonts w:ascii="Lato" w:hAnsi="Lato"/>
          <w:i/>
          <w:iCs/>
        </w:rPr>
        <w:t xml:space="preserve"> </w:t>
      </w:r>
      <w:r w:rsidRPr="007C4730">
        <w:rPr>
          <w:rFonts w:ascii="Lato" w:hAnsi="Lato"/>
          <w:i/>
          <w:iCs/>
        </w:rPr>
        <w:t>r.</w:t>
      </w:r>
      <w:r w:rsidRPr="00C758B1">
        <w:rPr>
          <w:rFonts w:ascii="Lato" w:hAnsi="Lato"/>
        </w:rPr>
        <w:t xml:space="preserve"> związane z zapewnieniem bezpieczeństwa energetycznego kraju poprzez dywersyfikację źródeł i kierunków dostaw gazu ziemnego.</w:t>
      </w:r>
    </w:p>
    <w:p w14:paraId="04293A27" w14:textId="6C850277" w:rsidR="00B03DBA" w:rsidRPr="00C758B1" w:rsidRDefault="00C7771E" w:rsidP="00006B72">
      <w:pPr>
        <w:pStyle w:val="Tekstzwyky"/>
        <w:rPr>
          <w:rFonts w:ascii="Lato" w:hAnsi="Lato"/>
        </w:rPr>
      </w:pPr>
      <w:r w:rsidRPr="00C758B1">
        <w:rPr>
          <w:rFonts w:ascii="Lato" w:hAnsi="Lato"/>
        </w:rPr>
        <w:tab/>
        <w:t xml:space="preserve">Korzyści wynikające z budowy połączenia Polska–Słowacja: </w:t>
      </w:r>
    </w:p>
    <w:p w14:paraId="3CA8A7E9" w14:textId="132EEF1C" w:rsidR="00B03DBA" w:rsidRPr="00006B72" w:rsidRDefault="00C7771E" w:rsidP="00006B72">
      <w:pPr>
        <w:pStyle w:val="TekstWypunktowany"/>
        <w:rPr>
          <w:rFonts w:ascii="Lato" w:hAnsi="Lato"/>
        </w:rPr>
      </w:pPr>
      <w:r w:rsidRPr="00006B72">
        <w:rPr>
          <w:rFonts w:ascii="Lato" w:hAnsi="Lato"/>
        </w:rPr>
        <w:t>zwiększenie możliwości pokrycia zapotrzebowania na gaz ziemny odbiorców krajowych</w:t>
      </w:r>
      <w:r w:rsidR="00FA3B37" w:rsidRPr="00C758B1">
        <w:rPr>
          <w:rFonts w:ascii="Lato" w:hAnsi="Lato"/>
        </w:rPr>
        <w:t>;</w:t>
      </w:r>
    </w:p>
    <w:p w14:paraId="2D3E62E6" w14:textId="6D7B6B35" w:rsidR="00B03DBA" w:rsidRPr="00006B72" w:rsidRDefault="00C7771E" w:rsidP="00006B72">
      <w:pPr>
        <w:pStyle w:val="TekstWypunktowany"/>
        <w:rPr>
          <w:rFonts w:ascii="Lato" w:hAnsi="Lato"/>
        </w:rPr>
      </w:pPr>
      <w:r w:rsidRPr="00006B72">
        <w:rPr>
          <w:rFonts w:ascii="Lato" w:hAnsi="Lato"/>
        </w:rPr>
        <w:t>zabezpieczenie dostaw gazu ziemnego w sytuacjach kryzysowych</w:t>
      </w:r>
      <w:r w:rsidR="00FA3B37" w:rsidRPr="00C758B1">
        <w:rPr>
          <w:rFonts w:ascii="Lato" w:hAnsi="Lato"/>
        </w:rPr>
        <w:t>;</w:t>
      </w:r>
    </w:p>
    <w:p w14:paraId="70019676" w14:textId="011E9C5E" w:rsidR="00006B72" w:rsidRDefault="00C7771E" w:rsidP="00006B72">
      <w:pPr>
        <w:pStyle w:val="TekstWypunktowany"/>
        <w:rPr>
          <w:rFonts w:ascii="Lato" w:hAnsi="Lato"/>
        </w:rPr>
      </w:pPr>
      <w:r w:rsidRPr="00006B72">
        <w:rPr>
          <w:rFonts w:ascii="Lato" w:hAnsi="Lato"/>
        </w:rPr>
        <w:t>do</w:t>
      </w:r>
      <w:r w:rsidR="007C4730">
        <w:rPr>
          <w:rFonts w:ascii="Lato" w:hAnsi="Lato"/>
        </w:rPr>
        <w:t>stawy</w:t>
      </w:r>
      <w:r w:rsidRPr="00006B72">
        <w:rPr>
          <w:rFonts w:ascii="Lato" w:hAnsi="Lato"/>
        </w:rPr>
        <w:t xml:space="preserve"> gazu ziemnego do południowo-wschodniej części Polski, w której istnieje rozbudowany system przesyłowy oraz infrastruktura magazynowa</w:t>
      </w:r>
      <w:r w:rsidR="00FA3B37" w:rsidRPr="00C758B1">
        <w:rPr>
          <w:rFonts w:ascii="Lato" w:hAnsi="Lato"/>
        </w:rPr>
        <w:t>;</w:t>
      </w:r>
    </w:p>
    <w:p w14:paraId="61B78B5C" w14:textId="0A97C58A" w:rsidR="00006B72" w:rsidRPr="00006B72" w:rsidRDefault="00006B72" w:rsidP="00006B72">
      <w:pPr>
        <w:pStyle w:val="TekstWypunktowany"/>
        <w:rPr>
          <w:rFonts w:ascii="Lato" w:hAnsi="Lato"/>
        </w:rPr>
      </w:pPr>
      <w:r w:rsidRPr="00006B72">
        <w:rPr>
          <w:rFonts w:ascii="Lato" w:hAnsi="Lato"/>
        </w:rPr>
        <w:t xml:space="preserve">eksport gazu ziemnego z Polski w oparciu o dostawy z terminala LNG w Świnoujściu, eksport gazu ziemnego importowanego z norweskiego szelfu kontynentalnego, poprawa bezpieczeństwa energetycznego Słowacji, Polski i całego Regionu Europy </w:t>
      </w:r>
      <w:r w:rsidR="006E461F">
        <w:rPr>
          <w:rFonts w:ascii="Lato" w:hAnsi="Lato"/>
        </w:rPr>
        <w:t>Środkowej i Wschodniej.</w:t>
      </w:r>
      <w:r w:rsidR="00C7771E" w:rsidRPr="00006B72">
        <w:rPr>
          <w:rFonts w:ascii="Lato" w:hAnsi="Lato"/>
        </w:rPr>
        <w:t xml:space="preserve"> </w:t>
      </w:r>
      <w:bookmarkStart w:id="297" w:name="_Toc482280960"/>
      <w:bookmarkStart w:id="298" w:name="_Toc472336748"/>
      <w:bookmarkStart w:id="299" w:name="_Toc440540690"/>
      <w:bookmarkStart w:id="300" w:name="_Toc429586078"/>
    </w:p>
    <w:p w14:paraId="3FA006F9" w14:textId="5974679B" w:rsidR="00B03DBA" w:rsidRPr="00006B72" w:rsidRDefault="00C7771E" w:rsidP="00006B72">
      <w:pPr>
        <w:pStyle w:val="Tabela"/>
        <w:spacing w:before="120" w:after="120"/>
        <w:contextualSpacing/>
        <w:rPr>
          <w:rFonts w:ascii="Lato" w:hAnsi="Lato"/>
          <w:bCs/>
        </w:rPr>
      </w:pPr>
      <w:r w:rsidRPr="00006B72">
        <w:rPr>
          <w:rFonts w:ascii="Lato" w:hAnsi="Lato"/>
          <w:bCs/>
        </w:rPr>
        <w:t>Inicjatywa Korytarza Północ – Południe</w:t>
      </w:r>
      <w:bookmarkEnd w:id="297"/>
      <w:bookmarkEnd w:id="298"/>
      <w:bookmarkEnd w:id="299"/>
      <w:bookmarkEnd w:id="300"/>
    </w:p>
    <w:p w14:paraId="79384C9B" w14:textId="7C57A042" w:rsidR="00B03DBA" w:rsidRPr="00C758B1" w:rsidRDefault="00C7771E" w:rsidP="00006B72">
      <w:pPr>
        <w:pStyle w:val="Tekstzwyky"/>
        <w:rPr>
          <w:rFonts w:ascii="Lato" w:hAnsi="Lato"/>
        </w:rPr>
      </w:pPr>
      <w:r w:rsidRPr="00C758B1">
        <w:rPr>
          <w:rFonts w:ascii="Lato" w:hAnsi="Lato"/>
        </w:rPr>
        <w:tab/>
        <w:t>Realizacja inwestycji związanych z budową Korytarza Północ–Południe pozw</w:t>
      </w:r>
      <w:r w:rsidR="00A2308D" w:rsidRPr="00C758B1">
        <w:rPr>
          <w:rFonts w:ascii="Lato" w:hAnsi="Lato"/>
        </w:rPr>
        <w:t>a</w:t>
      </w:r>
      <w:r w:rsidRPr="00C758B1">
        <w:rPr>
          <w:rFonts w:ascii="Lato" w:hAnsi="Lato"/>
        </w:rPr>
        <w:t>l</w:t>
      </w:r>
      <w:r w:rsidR="00A2308D" w:rsidRPr="00C758B1">
        <w:rPr>
          <w:rFonts w:ascii="Lato" w:hAnsi="Lato"/>
        </w:rPr>
        <w:t>a</w:t>
      </w:r>
      <w:r w:rsidRPr="00C758B1">
        <w:rPr>
          <w:rFonts w:ascii="Lato" w:hAnsi="Lato"/>
        </w:rPr>
        <w:t xml:space="preserve"> </w:t>
      </w:r>
      <w:r w:rsidR="007C4730">
        <w:rPr>
          <w:rFonts w:ascii="Lato" w:hAnsi="Lato"/>
        </w:rPr>
        <w:t>zapewnić efektywne</w:t>
      </w:r>
      <w:r w:rsidRPr="00C758B1">
        <w:rPr>
          <w:rFonts w:ascii="Lato" w:hAnsi="Lato"/>
        </w:rPr>
        <w:t xml:space="preserve"> połączeni</w:t>
      </w:r>
      <w:r w:rsidR="007C4730">
        <w:rPr>
          <w:rFonts w:ascii="Lato" w:hAnsi="Lato"/>
        </w:rPr>
        <w:t>e</w:t>
      </w:r>
      <w:r w:rsidRPr="00C758B1">
        <w:rPr>
          <w:rFonts w:ascii="Lato" w:hAnsi="Lato"/>
        </w:rPr>
        <w:t xml:space="preserve"> krajowego systemu przesyłowego z</w:t>
      </w:r>
      <w:r w:rsidR="006E461F">
        <w:rPr>
          <w:rFonts w:ascii="Lato" w:hAnsi="Lato"/>
        </w:rPr>
        <w:t xml:space="preserve"> </w:t>
      </w:r>
      <w:r w:rsidRPr="00C758B1">
        <w:rPr>
          <w:rFonts w:ascii="Lato" w:hAnsi="Lato"/>
        </w:rPr>
        <w:t xml:space="preserve">europejskim systemem gazociągów magistralnych. </w:t>
      </w:r>
      <w:r w:rsidR="007C4730">
        <w:rPr>
          <w:rFonts w:ascii="Lato" w:hAnsi="Lato"/>
        </w:rPr>
        <w:t>Inwestycja ta u</w:t>
      </w:r>
      <w:r w:rsidRPr="00C758B1">
        <w:rPr>
          <w:rFonts w:ascii="Lato" w:hAnsi="Lato"/>
        </w:rPr>
        <w:t>możliwi</w:t>
      </w:r>
      <w:r w:rsidR="00A2308D" w:rsidRPr="00C758B1">
        <w:rPr>
          <w:rFonts w:ascii="Lato" w:hAnsi="Lato"/>
        </w:rPr>
        <w:t>a</w:t>
      </w:r>
      <w:r w:rsidRPr="00C758B1">
        <w:rPr>
          <w:rFonts w:ascii="Lato" w:hAnsi="Lato"/>
        </w:rPr>
        <w:t xml:space="preserve"> integracj</w:t>
      </w:r>
      <w:r w:rsidR="007C4730">
        <w:rPr>
          <w:rFonts w:ascii="Lato" w:hAnsi="Lato"/>
        </w:rPr>
        <w:t>ę</w:t>
      </w:r>
      <w:r w:rsidRPr="00C758B1">
        <w:rPr>
          <w:rFonts w:ascii="Lato" w:hAnsi="Lato"/>
        </w:rPr>
        <w:t xml:space="preserve"> rynków Europy </w:t>
      </w:r>
      <w:r w:rsidR="006E461F">
        <w:rPr>
          <w:rFonts w:ascii="Lato" w:hAnsi="Lato"/>
        </w:rPr>
        <w:t>Środkowej i Wschodniej</w:t>
      </w:r>
      <w:r w:rsidRPr="00C758B1">
        <w:rPr>
          <w:rFonts w:ascii="Lato" w:hAnsi="Lato"/>
        </w:rPr>
        <w:t xml:space="preserve">, co jest zgodne z unijną polityką energetyczną. </w:t>
      </w:r>
    </w:p>
    <w:p w14:paraId="64E76ED5" w14:textId="2AC29D4D" w:rsidR="00B03DBA" w:rsidRPr="00C758B1" w:rsidRDefault="00DE0CA2" w:rsidP="00006B72">
      <w:pPr>
        <w:pStyle w:val="Tekstzwyky"/>
        <w:rPr>
          <w:rFonts w:ascii="Lato" w:hAnsi="Lato"/>
        </w:rPr>
      </w:pPr>
      <w:r>
        <w:rPr>
          <w:rFonts w:ascii="Lato" w:hAnsi="Lato"/>
        </w:rPr>
        <w:tab/>
      </w:r>
      <w:r w:rsidR="00C7771E" w:rsidRPr="00C758B1">
        <w:rPr>
          <w:rFonts w:ascii="Lato" w:hAnsi="Lato"/>
        </w:rPr>
        <w:t xml:space="preserve">Korzyści wynikające z budowy Korytarza Północ–Południe: </w:t>
      </w:r>
    </w:p>
    <w:p w14:paraId="1D93C842" w14:textId="07195BBB" w:rsidR="00B03DBA" w:rsidRPr="00006B72" w:rsidRDefault="00C7771E" w:rsidP="00006B72">
      <w:pPr>
        <w:pStyle w:val="TekstWypunktowany"/>
        <w:rPr>
          <w:rFonts w:ascii="Lato" w:hAnsi="Lato"/>
        </w:rPr>
      </w:pPr>
      <w:r w:rsidRPr="00006B72">
        <w:rPr>
          <w:rFonts w:ascii="Lato" w:hAnsi="Lato"/>
        </w:rPr>
        <w:t>niezakłócone i realizowane w odpowiednich ilościach dostawy gazu ziemnego do odbiorców krajowych</w:t>
      </w:r>
      <w:r w:rsidR="00FA3B37" w:rsidRPr="00C758B1">
        <w:rPr>
          <w:rFonts w:ascii="Lato" w:hAnsi="Lato"/>
        </w:rPr>
        <w:t>;</w:t>
      </w:r>
    </w:p>
    <w:p w14:paraId="49764E83" w14:textId="72E0D6B8" w:rsidR="00B03DBA" w:rsidRPr="00006B72" w:rsidRDefault="00C7771E" w:rsidP="00006B72">
      <w:pPr>
        <w:pStyle w:val="TekstWypunktowany"/>
        <w:rPr>
          <w:rFonts w:ascii="Lato" w:hAnsi="Lato"/>
        </w:rPr>
      </w:pPr>
      <w:r w:rsidRPr="00006B72">
        <w:rPr>
          <w:rFonts w:ascii="Lato" w:hAnsi="Lato"/>
        </w:rPr>
        <w:t>poprawa bezpieczeństwa funkcjonowania krajowej sieci przesyłowej oraz wzrost przepustowości systemu przesyłowego</w:t>
      </w:r>
      <w:r w:rsidR="00FA3B37" w:rsidRPr="00C758B1">
        <w:rPr>
          <w:rFonts w:ascii="Lato" w:hAnsi="Lato"/>
        </w:rPr>
        <w:t>;</w:t>
      </w:r>
    </w:p>
    <w:p w14:paraId="5AAEDCD1" w14:textId="77777777" w:rsidR="00B03DBA" w:rsidRPr="00006B72" w:rsidRDefault="00C7771E" w:rsidP="00006B72">
      <w:pPr>
        <w:pStyle w:val="TekstWypunktowany"/>
        <w:rPr>
          <w:rFonts w:ascii="Lato" w:hAnsi="Lato"/>
        </w:rPr>
      </w:pPr>
      <w:r w:rsidRPr="00006B72">
        <w:rPr>
          <w:rFonts w:ascii="Lato" w:hAnsi="Lato"/>
        </w:rPr>
        <w:t>rozwój rynku gazu ziemnego poprzez zwiększenie wolumenu dostaw do odbiorców z nowych gazociągów;</w:t>
      </w:r>
    </w:p>
    <w:p w14:paraId="015A26FB" w14:textId="369A3D1E" w:rsidR="00B03DBA" w:rsidRPr="00006B72" w:rsidRDefault="00C7771E" w:rsidP="00006B72">
      <w:pPr>
        <w:pStyle w:val="TekstWypunktowany"/>
        <w:rPr>
          <w:rFonts w:ascii="Lato" w:hAnsi="Lato"/>
        </w:rPr>
      </w:pPr>
      <w:r w:rsidRPr="00006B72">
        <w:rPr>
          <w:rFonts w:ascii="Lato" w:hAnsi="Lato"/>
        </w:rPr>
        <w:t>umożliwienie eksportu i/lub importu gazu z sąsiednich krajów: Słowacja, Czechy, Ukraina, Litwa, Dania</w:t>
      </w:r>
      <w:r w:rsidR="00FA3B37" w:rsidRPr="00C758B1">
        <w:rPr>
          <w:rFonts w:ascii="Lato" w:hAnsi="Lato"/>
        </w:rPr>
        <w:t>;</w:t>
      </w:r>
    </w:p>
    <w:p w14:paraId="7A96119E" w14:textId="56276D81" w:rsidR="00B03DBA" w:rsidRPr="00006B72" w:rsidRDefault="00C7771E" w:rsidP="00006B72">
      <w:pPr>
        <w:pStyle w:val="TekstWypunktowany"/>
        <w:rPr>
          <w:rFonts w:ascii="Lato" w:hAnsi="Lato"/>
        </w:rPr>
      </w:pPr>
      <w:r w:rsidRPr="00006B72">
        <w:rPr>
          <w:rFonts w:ascii="Lato" w:hAnsi="Lato"/>
        </w:rPr>
        <w:t>zwiększenie stopnia integracji regionalnych rynków gazu ziemnego</w:t>
      </w:r>
      <w:r w:rsidR="00FA3B37" w:rsidRPr="00C758B1">
        <w:rPr>
          <w:rFonts w:ascii="Lato" w:hAnsi="Lato"/>
        </w:rPr>
        <w:t>;</w:t>
      </w:r>
    </w:p>
    <w:p w14:paraId="6A2EE191" w14:textId="5E37F4AE" w:rsidR="00B03DBA" w:rsidRPr="00006B72" w:rsidRDefault="00C7771E" w:rsidP="00006B72">
      <w:pPr>
        <w:pStyle w:val="TekstWypunktowany"/>
        <w:rPr>
          <w:rFonts w:ascii="Lato" w:hAnsi="Lato"/>
        </w:rPr>
      </w:pPr>
      <w:r w:rsidRPr="00006B72">
        <w:rPr>
          <w:rFonts w:ascii="Lato" w:hAnsi="Lato"/>
        </w:rPr>
        <w:t>zwiększenie stopnia bezpieczeństwa dostaw</w:t>
      </w:r>
      <w:r w:rsidR="006E461F">
        <w:rPr>
          <w:rFonts w:ascii="Lato" w:hAnsi="Lato"/>
        </w:rPr>
        <w:t xml:space="preserve"> gazu ziemnego</w:t>
      </w:r>
      <w:r w:rsidR="00FA3B37" w:rsidRPr="00C758B1">
        <w:rPr>
          <w:rFonts w:ascii="Lato" w:hAnsi="Lato"/>
        </w:rPr>
        <w:t>;</w:t>
      </w:r>
    </w:p>
    <w:p w14:paraId="23907722" w14:textId="48ABF365" w:rsidR="00B03DBA" w:rsidRPr="00006B72" w:rsidRDefault="00C7771E" w:rsidP="00006B72">
      <w:pPr>
        <w:pStyle w:val="TekstWypunktowany"/>
        <w:rPr>
          <w:rFonts w:ascii="Lato" w:hAnsi="Lato"/>
        </w:rPr>
      </w:pPr>
      <w:r w:rsidRPr="00006B72">
        <w:rPr>
          <w:rFonts w:ascii="Lato" w:hAnsi="Lato"/>
        </w:rPr>
        <w:t xml:space="preserve">umożliwienie dostępu do nowych źródeł dostaw </w:t>
      </w:r>
      <w:r w:rsidR="006E461F">
        <w:rPr>
          <w:rFonts w:ascii="Lato" w:hAnsi="Lato"/>
        </w:rPr>
        <w:t xml:space="preserve">gazu ziemnego </w:t>
      </w:r>
      <w:r w:rsidRPr="00006B72">
        <w:rPr>
          <w:rFonts w:ascii="Lato" w:hAnsi="Lato"/>
        </w:rPr>
        <w:t xml:space="preserve">dla państw Europy </w:t>
      </w:r>
      <w:r w:rsidR="00692C40">
        <w:rPr>
          <w:rFonts w:ascii="Lato" w:hAnsi="Lato"/>
        </w:rPr>
        <w:t>Środkowej i Wschodniej</w:t>
      </w:r>
      <w:r w:rsidR="00FA3B37" w:rsidRPr="00C758B1">
        <w:rPr>
          <w:rFonts w:ascii="Lato" w:hAnsi="Lato"/>
        </w:rPr>
        <w:t>;</w:t>
      </w:r>
    </w:p>
    <w:p w14:paraId="1B0A4591" w14:textId="07EFB414" w:rsidR="00FA3B37" w:rsidRPr="007C4730" w:rsidRDefault="00C7771E" w:rsidP="007C4730">
      <w:pPr>
        <w:pStyle w:val="TekstWypunktowany"/>
        <w:rPr>
          <w:rFonts w:ascii="Lato" w:hAnsi="Lato"/>
        </w:rPr>
      </w:pPr>
      <w:r w:rsidRPr="00C758B1">
        <w:rPr>
          <w:rFonts w:ascii="Lato" w:hAnsi="Lato"/>
        </w:rPr>
        <w:t>stworzenie nowe</w:t>
      </w:r>
      <w:r w:rsidR="007C4730">
        <w:rPr>
          <w:rFonts w:ascii="Lato" w:hAnsi="Lato"/>
        </w:rPr>
        <w:t xml:space="preserve">go kierunku dostaw </w:t>
      </w:r>
      <w:r w:rsidRPr="00C758B1">
        <w:rPr>
          <w:rFonts w:ascii="Lato" w:hAnsi="Lato"/>
        </w:rPr>
        <w:t>gazu</w:t>
      </w:r>
      <w:r w:rsidR="007C4730">
        <w:rPr>
          <w:rFonts w:ascii="Lato" w:hAnsi="Lato"/>
        </w:rPr>
        <w:t xml:space="preserve"> ziemnego</w:t>
      </w:r>
      <w:r w:rsidRPr="00C758B1">
        <w:rPr>
          <w:rFonts w:ascii="Lato" w:hAnsi="Lato"/>
        </w:rPr>
        <w:t xml:space="preserve"> w Europie i efektywne wykorzystanie wewnętrznych gazociągów przesyłowych w poszczególnych krajach.</w:t>
      </w:r>
      <w:bookmarkStart w:id="301" w:name="_Toc12953924"/>
    </w:p>
    <w:p w14:paraId="14C24B6D" w14:textId="77777777" w:rsidR="00FB1BA4" w:rsidRDefault="00FB1BA4">
      <w:pPr>
        <w:spacing w:line="259" w:lineRule="auto"/>
        <w:jc w:val="left"/>
        <w:rPr>
          <w:rFonts w:ascii="Lato" w:eastAsiaTheme="majorEastAsia" w:hAnsi="Lato" w:cstheme="majorBidi"/>
          <w:b/>
          <w:sz w:val="28"/>
          <w:szCs w:val="28"/>
        </w:rPr>
      </w:pPr>
      <w:bookmarkStart w:id="302" w:name="_Toc19782959"/>
      <w:r>
        <w:rPr>
          <w:rFonts w:ascii="Lato" w:hAnsi="Lato"/>
          <w:sz w:val="28"/>
          <w:szCs w:val="28"/>
        </w:rPr>
        <w:br w:type="page"/>
      </w:r>
    </w:p>
    <w:p w14:paraId="40DDB816" w14:textId="48F9085A" w:rsidR="00B03DBA" w:rsidRPr="00006B72" w:rsidRDefault="00C7771E" w:rsidP="00006B72">
      <w:pPr>
        <w:pStyle w:val="Rozdzia1"/>
        <w:rPr>
          <w:rFonts w:ascii="Lato" w:hAnsi="Lato"/>
          <w:sz w:val="28"/>
          <w:szCs w:val="28"/>
        </w:rPr>
      </w:pPr>
      <w:bookmarkStart w:id="303" w:name="_Toc142469582"/>
      <w:r w:rsidRPr="00006B72">
        <w:rPr>
          <w:rFonts w:ascii="Lato" w:hAnsi="Lato"/>
          <w:sz w:val="28"/>
          <w:szCs w:val="28"/>
        </w:rPr>
        <w:lastRenderedPageBreak/>
        <w:t>Obowiązki świadczenia usług użyteczności publicznej związane z bezpieczeństwem dostaw</w:t>
      </w:r>
      <w:bookmarkEnd w:id="301"/>
      <w:bookmarkEnd w:id="302"/>
      <w:bookmarkEnd w:id="303"/>
    </w:p>
    <w:p w14:paraId="14EBEA0E" w14:textId="2A17E7EB" w:rsidR="00B03DBA" w:rsidRPr="00006B72" w:rsidRDefault="00C7771E" w:rsidP="00006B72">
      <w:pPr>
        <w:pStyle w:val="Tekstzwyky"/>
        <w:rPr>
          <w:rFonts w:ascii="Lato" w:hAnsi="Lato"/>
        </w:rPr>
      </w:pPr>
      <w:r w:rsidRPr="00C758B1">
        <w:rPr>
          <w:rFonts w:ascii="Lato" w:hAnsi="Lato"/>
        </w:rPr>
        <w:tab/>
        <w:t xml:space="preserve">Obowiązki użyteczności publicznej związane z bezpieczeństwem dostaw gazu ziemnego </w:t>
      </w:r>
      <w:r w:rsidR="00373405">
        <w:rPr>
          <w:rFonts w:ascii="Lato" w:hAnsi="Lato"/>
        </w:rPr>
        <w:t>uregulowano</w:t>
      </w:r>
      <w:r w:rsidRPr="00C758B1">
        <w:rPr>
          <w:rFonts w:ascii="Lato" w:hAnsi="Lato"/>
        </w:rPr>
        <w:t xml:space="preserve"> w dwóch aktach prawnych: ustawie </w:t>
      </w:r>
      <w:r w:rsidR="00692C40">
        <w:rPr>
          <w:rFonts w:ascii="Lato" w:hAnsi="Lato"/>
        </w:rPr>
        <w:t>–</w:t>
      </w:r>
      <w:r w:rsidRPr="00006B72">
        <w:rPr>
          <w:rFonts w:ascii="Lato" w:hAnsi="Lato"/>
        </w:rPr>
        <w:t xml:space="preserve"> Prawo energetyczne oraz </w:t>
      </w:r>
      <w:r w:rsidR="00631250">
        <w:rPr>
          <w:rFonts w:ascii="Lato" w:hAnsi="Lato"/>
        </w:rPr>
        <w:t xml:space="preserve">w </w:t>
      </w:r>
      <w:r w:rsidRPr="00006B72">
        <w:rPr>
          <w:rFonts w:ascii="Lato" w:hAnsi="Lato"/>
        </w:rPr>
        <w:t xml:space="preserve">ustawie o zapasach. </w:t>
      </w:r>
    </w:p>
    <w:p w14:paraId="397EC832" w14:textId="77777777" w:rsidR="00B03DBA" w:rsidRPr="00C758B1" w:rsidRDefault="00C7771E" w:rsidP="00006B72">
      <w:pPr>
        <w:pStyle w:val="Rozdzia2"/>
        <w:rPr>
          <w:rFonts w:ascii="Lato" w:hAnsi="Lato"/>
        </w:rPr>
      </w:pPr>
      <w:bookmarkStart w:id="304" w:name="_Toc12953925"/>
      <w:bookmarkStart w:id="305" w:name="_Toc19782960"/>
      <w:bookmarkStart w:id="306" w:name="_Toc142469583"/>
      <w:r w:rsidRPr="00C758B1">
        <w:rPr>
          <w:rFonts w:ascii="Lato" w:hAnsi="Lato"/>
        </w:rPr>
        <w:t>Ustawa – Prawo energetyczne</w:t>
      </w:r>
      <w:bookmarkEnd w:id="304"/>
      <w:bookmarkEnd w:id="305"/>
      <w:bookmarkEnd w:id="306"/>
      <w:r w:rsidRPr="00C758B1">
        <w:rPr>
          <w:rFonts w:ascii="Lato" w:hAnsi="Lato"/>
        </w:rPr>
        <w:t xml:space="preserve"> </w:t>
      </w:r>
    </w:p>
    <w:p w14:paraId="4FD2E6FA" w14:textId="29007A24" w:rsidR="00B03DBA" w:rsidRPr="00C758B1" w:rsidRDefault="00F069F0" w:rsidP="00F069F0">
      <w:pPr>
        <w:pStyle w:val="Tekstzwyky"/>
        <w:rPr>
          <w:rFonts w:ascii="Lato" w:hAnsi="Lato"/>
        </w:rPr>
      </w:pPr>
      <w:r>
        <w:rPr>
          <w:rFonts w:ascii="Lato" w:hAnsi="Lato"/>
        </w:rPr>
        <w:tab/>
      </w:r>
      <w:r w:rsidR="00C7771E" w:rsidRPr="00C758B1">
        <w:rPr>
          <w:rFonts w:ascii="Lato" w:hAnsi="Lato"/>
        </w:rPr>
        <w:t>Zgodnie z art. 9c ust. 1 pkt 1</w:t>
      </w:r>
      <w:r w:rsidR="00373405">
        <w:rPr>
          <w:rFonts w:ascii="Lato" w:hAnsi="Lato"/>
        </w:rPr>
        <w:t xml:space="preserve"> i </w:t>
      </w:r>
      <w:r w:rsidR="00C7771E" w:rsidRPr="00C758B1">
        <w:rPr>
          <w:rFonts w:ascii="Lato" w:hAnsi="Lato"/>
        </w:rPr>
        <w:t xml:space="preserve">3 ustawy </w:t>
      </w:r>
      <w:r w:rsidR="00631250">
        <w:rPr>
          <w:rFonts w:ascii="Lato" w:hAnsi="Lato"/>
        </w:rPr>
        <w:t xml:space="preserve">- </w:t>
      </w:r>
      <w:r w:rsidR="00C7771E" w:rsidRPr="00006B72">
        <w:rPr>
          <w:rFonts w:ascii="Lato" w:hAnsi="Lato"/>
          <w:iCs/>
        </w:rPr>
        <w:t>Prawo energetyczne</w:t>
      </w:r>
      <w:r w:rsidR="00C7771E" w:rsidRPr="00C758B1">
        <w:rPr>
          <w:rFonts w:ascii="Lato" w:hAnsi="Lato"/>
          <w:i/>
        </w:rPr>
        <w:t xml:space="preserve"> </w:t>
      </w:r>
      <w:r w:rsidR="00C7771E" w:rsidRPr="00C758B1">
        <w:rPr>
          <w:rFonts w:ascii="Lato" w:hAnsi="Lato"/>
        </w:rPr>
        <w:t xml:space="preserve">operator systemu przesyłowego, </w:t>
      </w:r>
      <w:r w:rsidR="00C7771E" w:rsidRPr="00C758B1">
        <w:rPr>
          <w:rFonts w:ascii="Lato" w:hAnsi="Lato"/>
          <w:sz w:val="23"/>
          <w:szCs w:val="23"/>
        </w:rPr>
        <w:t xml:space="preserve">dystrybucyjnego lub operator systemu połączonego gazowego, </w:t>
      </w:r>
      <w:r w:rsidR="00C7771E" w:rsidRPr="00C758B1">
        <w:rPr>
          <w:rFonts w:ascii="Lato" w:hAnsi="Lato"/>
        </w:rPr>
        <w:t xml:space="preserve">odpowiada za bezpieczeństwo dostarczania paliw gazowych. W tym celu </w:t>
      </w:r>
      <w:r w:rsidR="00006B72">
        <w:rPr>
          <w:rFonts w:ascii="Lato" w:hAnsi="Lato"/>
        </w:rPr>
        <w:t>jest z</w:t>
      </w:r>
      <w:r w:rsidR="00C7771E" w:rsidRPr="00C758B1">
        <w:rPr>
          <w:rFonts w:ascii="Lato" w:hAnsi="Lato"/>
        </w:rPr>
        <w:t xml:space="preserve">obowiązany </w:t>
      </w:r>
      <w:r w:rsidR="00006B72">
        <w:rPr>
          <w:rFonts w:ascii="Lato" w:hAnsi="Lato"/>
        </w:rPr>
        <w:t>do:</w:t>
      </w:r>
      <w:r w:rsidR="00C7771E" w:rsidRPr="00C758B1">
        <w:rPr>
          <w:rFonts w:ascii="Lato" w:hAnsi="Lato"/>
        </w:rPr>
        <w:t xml:space="preserve"> zapewni</w:t>
      </w:r>
      <w:r w:rsidR="00006B72">
        <w:rPr>
          <w:rFonts w:ascii="Lato" w:hAnsi="Lato"/>
        </w:rPr>
        <w:t>enia</w:t>
      </w:r>
      <w:r w:rsidR="00C7771E" w:rsidRPr="00C758B1">
        <w:rPr>
          <w:rFonts w:ascii="Lato" w:hAnsi="Lato"/>
        </w:rPr>
        <w:t xml:space="preserve"> bezpieczeństw</w:t>
      </w:r>
      <w:r w:rsidR="00006B72">
        <w:rPr>
          <w:rFonts w:ascii="Lato" w:hAnsi="Lato"/>
        </w:rPr>
        <w:t>a</w:t>
      </w:r>
      <w:r w:rsidR="00C7771E" w:rsidRPr="00C758B1">
        <w:rPr>
          <w:rFonts w:ascii="Lato" w:hAnsi="Lato"/>
        </w:rPr>
        <w:t xml:space="preserve"> funkcjonowania systemu gazowego oraz ciągłoś</w:t>
      </w:r>
      <w:r w:rsidR="00006B72">
        <w:rPr>
          <w:rFonts w:ascii="Lato" w:hAnsi="Lato"/>
        </w:rPr>
        <w:t>ci</w:t>
      </w:r>
      <w:r w:rsidR="00C7771E" w:rsidRPr="00C758B1">
        <w:rPr>
          <w:rFonts w:ascii="Lato" w:hAnsi="Lato"/>
        </w:rPr>
        <w:t xml:space="preserve"> i niezawodnoś</w:t>
      </w:r>
      <w:r w:rsidR="00006B72">
        <w:rPr>
          <w:rFonts w:ascii="Lato" w:hAnsi="Lato"/>
        </w:rPr>
        <w:t>ci</w:t>
      </w:r>
      <w:r w:rsidR="00C7771E" w:rsidRPr="00C758B1">
        <w:rPr>
          <w:rFonts w:ascii="Lato" w:hAnsi="Lato"/>
        </w:rPr>
        <w:t xml:space="preserve"> realizacji zaopatrzenia w paliwa gazowe, przy zachowaniu wymagań jakościowych podczas eksploatacji, konserwacji i remontów sieci, instalacji i urządzeń, wraz z połączeniami z innymi systemami gazowym oraz zapewni</w:t>
      </w:r>
      <w:r w:rsidR="00006B72">
        <w:rPr>
          <w:rFonts w:ascii="Lato" w:hAnsi="Lato"/>
        </w:rPr>
        <w:t>enia</w:t>
      </w:r>
      <w:r w:rsidR="00C7771E" w:rsidRPr="00C758B1">
        <w:rPr>
          <w:rFonts w:ascii="Lato" w:hAnsi="Lato"/>
        </w:rPr>
        <w:t xml:space="preserve"> realizacj</w:t>
      </w:r>
      <w:r w:rsidR="00006B72">
        <w:rPr>
          <w:rFonts w:ascii="Lato" w:hAnsi="Lato"/>
        </w:rPr>
        <w:t>i</w:t>
      </w:r>
      <w:r w:rsidR="00C7771E" w:rsidRPr="00C758B1">
        <w:rPr>
          <w:rFonts w:ascii="Lato" w:hAnsi="Lato"/>
        </w:rPr>
        <w:t xml:space="preserve"> umów z użytkownikami tego systemu. </w:t>
      </w:r>
    </w:p>
    <w:p w14:paraId="68F3E33A" w14:textId="3D1DE006" w:rsidR="00B03DBA" w:rsidRPr="00C758B1" w:rsidRDefault="00C7771E" w:rsidP="00006B72">
      <w:pPr>
        <w:pStyle w:val="Tekstzwyky"/>
        <w:rPr>
          <w:rFonts w:ascii="Lato" w:hAnsi="Lato"/>
        </w:rPr>
      </w:pPr>
      <w:r w:rsidRPr="00C758B1">
        <w:rPr>
          <w:rFonts w:ascii="Lato" w:hAnsi="Lato"/>
        </w:rPr>
        <w:tab/>
        <w:t>Przep</w:t>
      </w:r>
      <w:r w:rsidR="00692C40">
        <w:rPr>
          <w:rFonts w:ascii="Lato" w:hAnsi="Lato"/>
        </w:rPr>
        <w:t xml:space="preserve">is </w:t>
      </w:r>
      <w:r w:rsidRPr="00C758B1">
        <w:rPr>
          <w:rFonts w:ascii="Lato" w:hAnsi="Lato"/>
        </w:rPr>
        <w:t>art. 4 ust. 1 tej ustawy nakłada na p</w:t>
      </w:r>
      <w:r w:rsidRPr="004A3020">
        <w:rPr>
          <w:rFonts w:ascii="Lato" w:hAnsi="Lato"/>
        </w:rPr>
        <w:t>rzedsiębiorstwo energetyczne zajmujące się przesyłaniem lub dystrybucją paliw gazowych</w:t>
      </w:r>
      <w:r w:rsidR="00692C40" w:rsidRPr="004A3020">
        <w:rPr>
          <w:rFonts w:ascii="Lato" w:hAnsi="Lato"/>
        </w:rPr>
        <w:t>, magazynowaniem paliw gazowych, w tym skroplonego gazu ziemnego, skraplaniem gazu ziemnego lub regazyfikacją skroplonego gazu ziemnego,</w:t>
      </w:r>
      <w:r w:rsidRPr="004A3020">
        <w:rPr>
          <w:rFonts w:ascii="Lato" w:hAnsi="Lato"/>
        </w:rPr>
        <w:t xml:space="preserve"> </w:t>
      </w:r>
      <w:r w:rsidRPr="00C758B1">
        <w:rPr>
          <w:rFonts w:ascii="Lato" w:hAnsi="Lato"/>
        </w:rPr>
        <w:t>obowiązek utrzymywania zdolności urządzeń, instalacji i sieci do realizacji zaopatrzenia w paliwa gazowe w sposób ciągły i niezawodny, przy zachowaniu obowiązujących wymagań jakościowych.</w:t>
      </w:r>
    </w:p>
    <w:p w14:paraId="6F61232D" w14:textId="1A025AB8" w:rsidR="00B03DBA" w:rsidRPr="00C758B1" w:rsidRDefault="00C7771E" w:rsidP="00006B72">
      <w:pPr>
        <w:pStyle w:val="Tekstzwyky"/>
        <w:rPr>
          <w:rFonts w:ascii="Lato" w:hAnsi="Lato"/>
        </w:rPr>
      </w:pPr>
      <w:r w:rsidRPr="00C758B1">
        <w:rPr>
          <w:rFonts w:ascii="Lato" w:hAnsi="Lato"/>
        </w:rPr>
        <w:tab/>
        <w:t>Bezpieczeństwo dostarczania paliw gazowych jest również zapewnione przez sposób, w jaki przedsiębiorstwa energetyczne</w:t>
      </w:r>
      <w:r w:rsidRPr="004A3020">
        <w:rPr>
          <w:rFonts w:ascii="Lato" w:hAnsi="Lato"/>
        </w:rPr>
        <w:t xml:space="preserve"> zajmujące się przesyłaniem lub dystrybucją paliw gazowych </w:t>
      </w:r>
      <w:r w:rsidRPr="00C758B1">
        <w:rPr>
          <w:rFonts w:ascii="Lato" w:hAnsi="Lato"/>
        </w:rPr>
        <w:t xml:space="preserve">planują rozwój swoich systemów. Opracowywany przez te przedsiębiorstwa zgodnie z przepisem art. 16 ustawy – </w:t>
      </w:r>
      <w:r w:rsidRPr="00006B72">
        <w:rPr>
          <w:rFonts w:ascii="Lato" w:hAnsi="Lato"/>
          <w:iCs/>
        </w:rPr>
        <w:t>Prawo energetyczne</w:t>
      </w:r>
      <w:r w:rsidRPr="00C758B1">
        <w:rPr>
          <w:rFonts w:ascii="Lato" w:hAnsi="Lato"/>
          <w:i/>
        </w:rPr>
        <w:t xml:space="preserve"> </w:t>
      </w:r>
      <w:r w:rsidRPr="00C758B1">
        <w:rPr>
          <w:rFonts w:ascii="Lato" w:hAnsi="Lato"/>
        </w:rPr>
        <w:t xml:space="preserve">plan rozwoju w zakresie zaspokojenia obecnego i przyszłego zapotrzebowania na paliwa gazowe </w:t>
      </w:r>
      <w:r w:rsidRPr="004A3020">
        <w:rPr>
          <w:rFonts w:ascii="Lato" w:hAnsi="Lato"/>
        </w:rPr>
        <w:t xml:space="preserve">dla obszaru swojego działania, </w:t>
      </w:r>
      <w:r w:rsidR="00373405" w:rsidRPr="004A3020">
        <w:rPr>
          <w:rFonts w:ascii="Lato" w:hAnsi="Lato"/>
        </w:rPr>
        <w:t xml:space="preserve">który </w:t>
      </w:r>
      <w:r w:rsidRPr="00C758B1">
        <w:rPr>
          <w:rFonts w:ascii="Lato" w:hAnsi="Lato"/>
        </w:rPr>
        <w:t>w szczególności</w:t>
      </w:r>
      <w:r w:rsidR="00373405" w:rsidRPr="00373405">
        <w:rPr>
          <w:rFonts w:ascii="Lato" w:hAnsi="Lato"/>
        </w:rPr>
        <w:t xml:space="preserve"> </w:t>
      </w:r>
      <w:r w:rsidR="00373405" w:rsidRPr="00C758B1">
        <w:rPr>
          <w:rFonts w:ascii="Lato" w:hAnsi="Lato"/>
        </w:rPr>
        <w:t>obejmuje</w:t>
      </w:r>
      <w:r w:rsidRPr="00C758B1">
        <w:rPr>
          <w:rFonts w:ascii="Lato" w:hAnsi="Lato"/>
        </w:rPr>
        <w:t>:</w:t>
      </w:r>
    </w:p>
    <w:p w14:paraId="7C8F5FE4" w14:textId="7D54BDC7" w:rsidR="00B03DBA" w:rsidRPr="00006B72" w:rsidRDefault="00C7771E" w:rsidP="00006B72">
      <w:pPr>
        <w:pStyle w:val="TekstWypunktowany"/>
        <w:rPr>
          <w:rFonts w:ascii="Lato" w:hAnsi="Lato"/>
        </w:rPr>
      </w:pPr>
      <w:r w:rsidRPr="00006B72">
        <w:rPr>
          <w:rFonts w:ascii="Lato" w:hAnsi="Lato"/>
        </w:rPr>
        <w:t>przewidywany zakres dostarczania paliw gazowych</w:t>
      </w:r>
      <w:r w:rsidR="00ED53AC" w:rsidRPr="00C758B1">
        <w:rPr>
          <w:rFonts w:ascii="Lato" w:hAnsi="Lato"/>
        </w:rPr>
        <w:t>;</w:t>
      </w:r>
    </w:p>
    <w:p w14:paraId="235EB96C" w14:textId="37016B50" w:rsidR="00B03DBA" w:rsidRPr="00006B72" w:rsidRDefault="00C7771E" w:rsidP="00006B72">
      <w:pPr>
        <w:pStyle w:val="TekstWypunktowany"/>
        <w:rPr>
          <w:rFonts w:ascii="Lato" w:hAnsi="Lato"/>
        </w:rPr>
      </w:pPr>
      <w:r w:rsidRPr="00006B72">
        <w:rPr>
          <w:rFonts w:ascii="Lato" w:hAnsi="Lato"/>
        </w:rPr>
        <w:t>przedsięwzięcia w zakresie modernizacji, rozbudowy albo budowy sieci oraz planowanych nowych źródeł paliw gazowych</w:t>
      </w:r>
      <w:r w:rsidR="00ED53AC" w:rsidRPr="00C758B1">
        <w:rPr>
          <w:rFonts w:ascii="Lato" w:hAnsi="Lato"/>
        </w:rPr>
        <w:t>;</w:t>
      </w:r>
    </w:p>
    <w:p w14:paraId="03FC2700" w14:textId="635C1C2B" w:rsidR="00B03DBA" w:rsidRPr="00006B72" w:rsidRDefault="00C7771E" w:rsidP="00006B72">
      <w:pPr>
        <w:pStyle w:val="TekstWypunktowany"/>
        <w:rPr>
          <w:rFonts w:ascii="Lato" w:hAnsi="Lato"/>
        </w:rPr>
      </w:pPr>
      <w:r w:rsidRPr="00006B72">
        <w:rPr>
          <w:rFonts w:ascii="Lato" w:hAnsi="Lato"/>
        </w:rPr>
        <w:t>przedsięwzięcia w zakresie modernizacji, rozbudowy lub budowy połączeń z systemami gazowymi innych państw</w:t>
      </w:r>
      <w:r w:rsidR="00ED53AC" w:rsidRPr="00C758B1">
        <w:rPr>
          <w:rFonts w:ascii="Lato" w:hAnsi="Lato"/>
        </w:rPr>
        <w:t>.</w:t>
      </w:r>
    </w:p>
    <w:p w14:paraId="7B70D867" w14:textId="205B6EE1" w:rsidR="00B03DBA" w:rsidRPr="004A3020" w:rsidRDefault="00C7771E" w:rsidP="00006B72">
      <w:pPr>
        <w:pStyle w:val="Tekstzwyky"/>
        <w:rPr>
          <w:rFonts w:ascii="Lato" w:hAnsi="Lato"/>
        </w:rPr>
      </w:pPr>
      <w:r w:rsidRPr="00C758B1">
        <w:rPr>
          <w:rFonts w:ascii="Lato" w:hAnsi="Lato"/>
        </w:rPr>
        <w:tab/>
        <w:t xml:space="preserve">Plan operatora systemu przesyłowego gazowego sporządzany jest na 10 lat, a operatora systemu dystrybucyjnego gazowego na 5 lat. </w:t>
      </w:r>
      <w:r w:rsidRPr="004A3020">
        <w:rPr>
          <w:rFonts w:ascii="Lato" w:hAnsi="Lato"/>
        </w:rPr>
        <w:t>W planach uwzględnia się</w:t>
      </w:r>
      <w:r w:rsidR="00373405" w:rsidRPr="004A3020">
        <w:rPr>
          <w:rFonts w:ascii="Lato" w:hAnsi="Lato"/>
        </w:rPr>
        <w:t xml:space="preserve"> </w:t>
      </w:r>
      <w:r w:rsidRPr="004A3020">
        <w:rPr>
          <w:rFonts w:ascii="Lato" w:hAnsi="Lato"/>
        </w:rPr>
        <w:t xml:space="preserve">zapotrzebowanie na nowe zdolności w systemie przesyłowym lub dystrybucyjnym zgłoszone przez podmioty przyłączone do sieci lub podmioty ubiegające się o przyłączenie do sieci. </w:t>
      </w:r>
      <w:r w:rsidRPr="00C758B1">
        <w:rPr>
          <w:rFonts w:ascii="Lato" w:hAnsi="Lato"/>
        </w:rPr>
        <w:t xml:space="preserve">Plany sporządzane są w ścisłej współpracy </w:t>
      </w:r>
      <w:r w:rsidR="00373405">
        <w:rPr>
          <w:rFonts w:ascii="Lato" w:hAnsi="Lato"/>
        </w:rPr>
        <w:t xml:space="preserve">z </w:t>
      </w:r>
      <w:r w:rsidRPr="00C758B1">
        <w:rPr>
          <w:rFonts w:ascii="Lato" w:hAnsi="Lato"/>
        </w:rPr>
        <w:t>zainteresowany</w:t>
      </w:r>
      <w:r w:rsidR="00373405">
        <w:rPr>
          <w:rFonts w:ascii="Lato" w:hAnsi="Lato"/>
        </w:rPr>
        <w:t>mi</w:t>
      </w:r>
      <w:r w:rsidRPr="00C758B1">
        <w:rPr>
          <w:rFonts w:ascii="Lato" w:hAnsi="Lato"/>
        </w:rPr>
        <w:t xml:space="preserve"> podmiot</w:t>
      </w:r>
      <w:r w:rsidR="00373405">
        <w:rPr>
          <w:rFonts w:ascii="Lato" w:hAnsi="Lato"/>
        </w:rPr>
        <w:t>ami, tj. z</w:t>
      </w:r>
      <w:r w:rsidRPr="00C758B1">
        <w:rPr>
          <w:rFonts w:ascii="Lato" w:hAnsi="Lato"/>
        </w:rPr>
        <w:t xml:space="preserve"> podmiotami przyłączonymi do sieci, gminami oraz w przypadku planu przedsiębiorstw energetycznych zajmujących się przesyłaniem paliw gazowych samorządem województwa, na obszarze którego planowana jest realizacja przedsięwzięcia inwestycyjnego.</w:t>
      </w:r>
    </w:p>
    <w:p w14:paraId="332AEA78" w14:textId="195AA1AF" w:rsidR="00B03DBA" w:rsidRPr="00C758B1" w:rsidRDefault="00C7771E" w:rsidP="00006B72">
      <w:pPr>
        <w:pStyle w:val="Tekstzwyky"/>
        <w:rPr>
          <w:rFonts w:ascii="Lato" w:hAnsi="Lato"/>
        </w:rPr>
      </w:pPr>
      <w:r w:rsidRPr="00C758B1">
        <w:rPr>
          <w:rFonts w:ascii="Lato" w:hAnsi="Lato"/>
        </w:rPr>
        <w:lastRenderedPageBreak/>
        <w:tab/>
        <w:t xml:space="preserve">Na podstawie art. 32 ust. 3 ustawy - </w:t>
      </w:r>
      <w:r w:rsidRPr="0066096C">
        <w:rPr>
          <w:rFonts w:ascii="Lato" w:hAnsi="Lato"/>
          <w:iCs/>
        </w:rPr>
        <w:t>Prawo energetyczne</w:t>
      </w:r>
      <w:r w:rsidRPr="00C758B1">
        <w:rPr>
          <w:rFonts w:ascii="Lato" w:hAnsi="Lato"/>
          <w:i/>
        </w:rPr>
        <w:t xml:space="preserve"> </w:t>
      </w:r>
      <w:r w:rsidRPr="00C758B1">
        <w:rPr>
          <w:rFonts w:ascii="Lato" w:hAnsi="Lato"/>
        </w:rPr>
        <w:t xml:space="preserve">wydane zostało rozporządzenie Rady Ministrów </w:t>
      </w:r>
      <w:r w:rsidR="00DE0CA2">
        <w:rPr>
          <w:rFonts w:ascii="Lato" w:hAnsi="Lato"/>
        </w:rPr>
        <w:t xml:space="preserve">z dnia 24 kwietnia 2017 r. </w:t>
      </w:r>
      <w:r w:rsidRPr="00C758B1">
        <w:rPr>
          <w:rFonts w:ascii="Lato" w:hAnsi="Lato"/>
          <w:i/>
        </w:rPr>
        <w:t>w sprawie minimalnego poziomu dywersyfikacji dostaw gazu</w:t>
      </w:r>
      <w:r w:rsidR="00DE0CA2">
        <w:rPr>
          <w:rFonts w:ascii="Lato" w:hAnsi="Lato"/>
          <w:iCs/>
        </w:rPr>
        <w:t xml:space="preserve"> (Dz. U. z 2017 r. poz. 902)</w:t>
      </w:r>
      <w:r w:rsidRPr="00C758B1">
        <w:rPr>
          <w:rFonts w:ascii="Lato" w:hAnsi="Lato"/>
        </w:rPr>
        <w:t>, w którym określon</w:t>
      </w:r>
      <w:r w:rsidR="0066096C">
        <w:rPr>
          <w:rFonts w:ascii="Lato" w:hAnsi="Lato"/>
        </w:rPr>
        <w:t>o</w:t>
      </w:r>
      <w:r w:rsidRPr="00C758B1">
        <w:rPr>
          <w:rFonts w:ascii="Lato" w:hAnsi="Lato"/>
        </w:rPr>
        <w:t xml:space="preserve"> maksymalny udział gazu </w:t>
      </w:r>
      <w:r w:rsidR="0066096C">
        <w:rPr>
          <w:rFonts w:ascii="Lato" w:hAnsi="Lato"/>
        </w:rPr>
        <w:t xml:space="preserve">ziemnego </w:t>
      </w:r>
      <w:r w:rsidRPr="00C758B1">
        <w:rPr>
          <w:rFonts w:ascii="Lato" w:hAnsi="Lato"/>
        </w:rPr>
        <w:t xml:space="preserve">importowanego z jednego </w:t>
      </w:r>
      <w:r w:rsidR="00615E21">
        <w:rPr>
          <w:rFonts w:ascii="Lato" w:hAnsi="Lato"/>
        </w:rPr>
        <w:t>źródła</w:t>
      </w:r>
      <w:r w:rsidRPr="00C758B1">
        <w:rPr>
          <w:rFonts w:ascii="Lato" w:hAnsi="Lato"/>
        </w:rPr>
        <w:t xml:space="preserve">, w stosunku do całkowitej wielkości gazu importowanego w danym roku. </w:t>
      </w:r>
    </w:p>
    <w:p w14:paraId="1071CB99" w14:textId="006207F7" w:rsidR="00B03DBA" w:rsidRPr="00C758B1" w:rsidRDefault="00C7771E" w:rsidP="00006B72">
      <w:pPr>
        <w:pStyle w:val="Tekstzwyky"/>
        <w:rPr>
          <w:rFonts w:ascii="Lato" w:hAnsi="Lato"/>
        </w:rPr>
      </w:pPr>
      <w:r w:rsidRPr="00C758B1">
        <w:rPr>
          <w:rFonts w:ascii="Lato" w:hAnsi="Lato"/>
        </w:rPr>
        <w:tab/>
      </w:r>
      <w:r w:rsidR="0066096C">
        <w:rPr>
          <w:rFonts w:ascii="Lato" w:hAnsi="Lato"/>
        </w:rPr>
        <w:t xml:space="preserve">Zobowiązanie </w:t>
      </w:r>
      <w:r w:rsidRPr="00C758B1">
        <w:rPr>
          <w:rFonts w:ascii="Lato" w:hAnsi="Lato"/>
        </w:rPr>
        <w:t xml:space="preserve">do świadczenia usługi publicznej w zakresie bezpieczeństwa dostaw gazu ziemnego </w:t>
      </w:r>
      <w:r w:rsidR="0066096C">
        <w:rPr>
          <w:rFonts w:ascii="Lato" w:hAnsi="Lato"/>
        </w:rPr>
        <w:t xml:space="preserve">określa </w:t>
      </w:r>
      <w:r w:rsidRPr="00C758B1">
        <w:rPr>
          <w:rFonts w:ascii="Lato" w:hAnsi="Lato"/>
        </w:rPr>
        <w:t>również art. 40 ust. 1 ww.</w:t>
      </w:r>
      <w:r w:rsidR="0066096C">
        <w:rPr>
          <w:rFonts w:ascii="Lato" w:hAnsi="Lato"/>
        </w:rPr>
        <w:t xml:space="preserve"> ustawy</w:t>
      </w:r>
      <w:r w:rsidRPr="00C758B1">
        <w:rPr>
          <w:rFonts w:ascii="Lato" w:hAnsi="Lato"/>
        </w:rPr>
        <w:t xml:space="preserve">, zgodnie z którym: </w:t>
      </w:r>
      <w:r w:rsidRPr="00C758B1">
        <w:rPr>
          <w:rFonts w:ascii="Lato" w:hAnsi="Lato"/>
          <w:i/>
        </w:rPr>
        <w:t>Prezes URE może nakazać przedsiębiorstwu energetycznemu, pomimo wygaśnięcia koncesji, dalsze prowadzenie działalności objętej koncesją przez okres nie dłuższy niż 2 lata, jeżeli wymaga tego interes społeczny</w:t>
      </w:r>
      <w:r w:rsidRPr="00C758B1">
        <w:rPr>
          <w:rFonts w:ascii="Lato" w:hAnsi="Lato"/>
        </w:rPr>
        <w:t xml:space="preserve">. Wskazać należy, że ewentualne straty ponoszone z tego tytułu przez przedsiębiorstwo pokrywane są przez Skarb Państwa w wysokości ograniczonej do uzasadnionych kosztów działalności określonej w koncesji, przy zachowaniu należytej staranności. </w:t>
      </w:r>
    </w:p>
    <w:p w14:paraId="789C636D" w14:textId="77777777" w:rsidR="00B03DBA" w:rsidRPr="00C758B1" w:rsidRDefault="00C7771E" w:rsidP="00006B72">
      <w:pPr>
        <w:pStyle w:val="Rozdzia2"/>
        <w:rPr>
          <w:rFonts w:ascii="Lato" w:hAnsi="Lato"/>
        </w:rPr>
      </w:pPr>
      <w:bookmarkStart w:id="307" w:name="_Toc12953926"/>
      <w:bookmarkStart w:id="308" w:name="_Toc19782961"/>
      <w:bookmarkStart w:id="309" w:name="_Toc142469584"/>
      <w:r w:rsidRPr="00C758B1">
        <w:rPr>
          <w:rFonts w:ascii="Lato" w:hAnsi="Lato"/>
        </w:rPr>
        <w:t>Ustawa o zapasach</w:t>
      </w:r>
      <w:bookmarkEnd w:id="307"/>
      <w:bookmarkEnd w:id="308"/>
      <w:bookmarkEnd w:id="309"/>
    </w:p>
    <w:p w14:paraId="229F4B4E" w14:textId="6774DE59" w:rsidR="00B03DBA" w:rsidRPr="00C758B1" w:rsidRDefault="00C7771E" w:rsidP="00006B72">
      <w:pPr>
        <w:pStyle w:val="Tekstzwyky"/>
        <w:rPr>
          <w:rFonts w:ascii="Lato" w:hAnsi="Lato"/>
        </w:rPr>
      </w:pPr>
      <w:r w:rsidRPr="00C758B1">
        <w:rPr>
          <w:rFonts w:ascii="Lato" w:hAnsi="Lato"/>
        </w:rPr>
        <w:tab/>
        <w:t xml:space="preserve">W ustawie o zapasach </w:t>
      </w:r>
      <w:r w:rsidR="00597EB5">
        <w:rPr>
          <w:rFonts w:ascii="Lato" w:hAnsi="Lato"/>
        </w:rPr>
        <w:t>określono</w:t>
      </w:r>
      <w:r w:rsidRPr="00C758B1">
        <w:rPr>
          <w:rFonts w:ascii="Lato" w:hAnsi="Lato"/>
        </w:rPr>
        <w:t xml:space="preserve"> obowiązki użyteczności publicznej związane z zapewnieniem bezpieczeństwa dostaw</w:t>
      </w:r>
      <w:r w:rsidR="00597EB5">
        <w:rPr>
          <w:rFonts w:ascii="Lato" w:hAnsi="Lato"/>
        </w:rPr>
        <w:t xml:space="preserve"> gazu ziemnego</w:t>
      </w:r>
      <w:r w:rsidR="0066096C">
        <w:rPr>
          <w:rFonts w:ascii="Lato" w:hAnsi="Lato"/>
        </w:rPr>
        <w:t xml:space="preserve">, przy czym </w:t>
      </w:r>
      <w:r w:rsidRPr="00C758B1">
        <w:rPr>
          <w:rFonts w:ascii="Lato" w:hAnsi="Lato"/>
        </w:rPr>
        <w:t>w przypadku wystąpienia zakłóceń w dostawach lub nieprzewidzianego wzrostu zużycia gazu ziemnego, w</w:t>
      </w:r>
      <w:r w:rsidR="00597EB5">
        <w:rPr>
          <w:rFonts w:ascii="Lato" w:hAnsi="Lato"/>
        </w:rPr>
        <w:t xml:space="preserve"> </w:t>
      </w:r>
      <w:r w:rsidRPr="00C758B1">
        <w:rPr>
          <w:rFonts w:ascii="Lato" w:hAnsi="Lato"/>
        </w:rPr>
        <w:t xml:space="preserve">pierwszej kolejności, przed rozpoczęciem stosowania środków </w:t>
      </w:r>
      <w:r w:rsidR="00615E21">
        <w:rPr>
          <w:rFonts w:ascii="Lato" w:hAnsi="Lato"/>
        </w:rPr>
        <w:t>nierynkowych</w:t>
      </w:r>
      <w:r w:rsidRPr="00C758B1">
        <w:rPr>
          <w:rFonts w:ascii="Lato" w:hAnsi="Lato"/>
        </w:rPr>
        <w:t xml:space="preserve">, przedsiębiorstwa energetyczne są zobowiązane do wykorzystania dostępnych środków o charakterze rynkowym. Środki </w:t>
      </w:r>
      <w:r w:rsidR="00F1036D">
        <w:rPr>
          <w:rFonts w:ascii="Lato" w:hAnsi="Lato"/>
        </w:rPr>
        <w:t>rynkowe</w:t>
      </w:r>
      <w:r w:rsidR="00F1036D" w:rsidRPr="00C758B1">
        <w:rPr>
          <w:rFonts w:ascii="Lato" w:hAnsi="Lato"/>
        </w:rPr>
        <w:t xml:space="preserve"> </w:t>
      </w:r>
      <w:r w:rsidRPr="00C758B1">
        <w:rPr>
          <w:rFonts w:ascii="Lato" w:hAnsi="Lato"/>
        </w:rPr>
        <w:t xml:space="preserve">mogą w szczególności obejmować </w:t>
      </w:r>
      <w:r w:rsidR="00615E21">
        <w:rPr>
          <w:rFonts w:ascii="Lato" w:hAnsi="Lato"/>
        </w:rPr>
        <w:t>zwiększenie</w:t>
      </w:r>
      <w:r w:rsidR="00615E21" w:rsidRPr="00C758B1">
        <w:rPr>
          <w:rFonts w:ascii="Lato" w:hAnsi="Lato"/>
        </w:rPr>
        <w:t xml:space="preserve"> </w:t>
      </w:r>
      <w:r w:rsidRPr="00C758B1">
        <w:rPr>
          <w:rFonts w:ascii="Lato" w:hAnsi="Lato"/>
        </w:rPr>
        <w:t>dostaw gazu ziemnego</w:t>
      </w:r>
      <w:r w:rsidR="00615E21">
        <w:rPr>
          <w:rFonts w:ascii="Lato" w:hAnsi="Lato"/>
        </w:rPr>
        <w:t>,</w:t>
      </w:r>
      <w:r w:rsidRPr="00C758B1">
        <w:rPr>
          <w:rFonts w:ascii="Lato" w:hAnsi="Lato"/>
        </w:rPr>
        <w:t xml:space="preserve"> ograniczenia w poborze </w:t>
      </w:r>
      <w:r w:rsidR="0066096C">
        <w:rPr>
          <w:rFonts w:ascii="Lato" w:hAnsi="Lato"/>
        </w:rPr>
        <w:t xml:space="preserve">gazu ziemnego </w:t>
      </w:r>
      <w:r w:rsidRPr="00C758B1">
        <w:rPr>
          <w:rFonts w:ascii="Lato" w:hAnsi="Lato"/>
        </w:rPr>
        <w:t xml:space="preserve">wynikające z umów z odbiorcami (ograniczenia handlowe) i powinny być określone w procedurach postępowania, które zgodnie z przepisem art. 49 ustawy </w:t>
      </w:r>
      <w:r w:rsidRPr="00006B72">
        <w:rPr>
          <w:rFonts w:ascii="Lato" w:hAnsi="Lato"/>
          <w:iCs/>
        </w:rPr>
        <w:t>o zapasach</w:t>
      </w:r>
      <w:r w:rsidRPr="00C758B1">
        <w:rPr>
          <w:rFonts w:ascii="Lato" w:hAnsi="Lato"/>
          <w:i/>
        </w:rPr>
        <w:t xml:space="preserve"> </w:t>
      </w:r>
      <w:r w:rsidRPr="00C758B1">
        <w:rPr>
          <w:rFonts w:ascii="Lato" w:hAnsi="Lato"/>
        </w:rPr>
        <w:t>przedsiębiorstwo energetyczne wykonujące działalność gospodarczą w zakresie obrot</w:t>
      </w:r>
      <w:r w:rsidR="00615E21">
        <w:rPr>
          <w:rFonts w:ascii="Lato" w:hAnsi="Lato"/>
        </w:rPr>
        <w:t>u</w:t>
      </w:r>
      <w:r w:rsidRPr="00C758B1">
        <w:rPr>
          <w:rFonts w:ascii="Lato" w:hAnsi="Lato"/>
        </w:rPr>
        <w:t xml:space="preserve"> gazem ziemnym z zagranicą, podmiot dokonując</w:t>
      </w:r>
      <w:r w:rsidR="00615E21">
        <w:rPr>
          <w:rFonts w:ascii="Lato" w:hAnsi="Lato"/>
        </w:rPr>
        <w:t>y</w:t>
      </w:r>
      <w:r w:rsidRPr="00C758B1">
        <w:rPr>
          <w:rFonts w:ascii="Lato" w:hAnsi="Lato"/>
        </w:rPr>
        <w:t xml:space="preserve"> przywozu gazu ziemnego oraz podmioty zlecające świadczenie usług przesyłania lub dystrybucji gazu ziemnego są obowiązane posiadać. </w:t>
      </w:r>
    </w:p>
    <w:p w14:paraId="5418A8CE" w14:textId="77777777" w:rsidR="00B03DBA" w:rsidRPr="00C758B1" w:rsidRDefault="00C7771E" w:rsidP="00006B72">
      <w:pPr>
        <w:pStyle w:val="Tekstzwyky"/>
        <w:rPr>
          <w:rFonts w:ascii="Lato" w:hAnsi="Lato"/>
        </w:rPr>
      </w:pPr>
      <w:r w:rsidRPr="00C758B1">
        <w:rPr>
          <w:rFonts w:ascii="Lato" w:hAnsi="Lato"/>
        </w:rPr>
        <w:tab/>
        <w:t xml:space="preserve">Procedury postępowania, po ich uzgodnieniu z podmiotami odpowiedzialnymi za ich realizację, w tym odpowiednio z operatorami innych systemów gazowych lub odbiorcami, są przekazywane niezwłocznie operatorowi systemu przesyłowego gazowego lub operatorowi systemu połączonego gazowego. Zaznaczyć należy, że zgodnie z art. 49 ust. 3 ustawy </w:t>
      </w:r>
      <w:r w:rsidRPr="00006B72">
        <w:rPr>
          <w:rFonts w:ascii="Lato" w:hAnsi="Lato"/>
          <w:iCs/>
        </w:rPr>
        <w:t>o zapasach</w:t>
      </w:r>
      <w:r w:rsidRPr="00C758B1">
        <w:rPr>
          <w:rFonts w:ascii="Lato" w:hAnsi="Lato"/>
        </w:rPr>
        <w:t xml:space="preserve">, obowiązek opracowania procedur postępowania nie stosuje się do odbiorców gazu ziemnego w gospodarstwach domowych. </w:t>
      </w:r>
    </w:p>
    <w:p w14:paraId="0C910971" w14:textId="2094BEB2" w:rsidR="00B03DBA" w:rsidRPr="00C758B1" w:rsidRDefault="00C7771E" w:rsidP="00FE6CEA">
      <w:pPr>
        <w:pStyle w:val="Tekstzwyky"/>
        <w:rPr>
          <w:rFonts w:ascii="Lato" w:hAnsi="Lato"/>
        </w:rPr>
      </w:pPr>
      <w:r w:rsidRPr="00C758B1">
        <w:rPr>
          <w:rFonts w:ascii="Lato" w:hAnsi="Lato"/>
        </w:rPr>
        <w:tab/>
      </w:r>
      <w:r w:rsidR="00597EB5">
        <w:rPr>
          <w:rFonts w:ascii="Lato" w:hAnsi="Lato"/>
        </w:rPr>
        <w:t>P</w:t>
      </w:r>
      <w:r w:rsidRPr="00C758B1">
        <w:rPr>
          <w:rFonts w:ascii="Lato" w:hAnsi="Lato"/>
        </w:rPr>
        <w:t xml:space="preserve">rzedsiębiorstwo energetyczne, wykonujące działalność gospodarczą w zakresie obrotu gazem ziemnym z zagranicą i podmioty dokonujące przywozu gazu ziemnego, w celu zapewnienia zaopatrzenia RP w gaz ziemny oraz minimalizacji skutków zagrożenia bezpieczeństwa paliwowego państwa, wystąpienia sytuacji awaryjnej w sieci gazowej lub nieprzewidzianego wzrostu zużycia gazu ziemnego, </w:t>
      </w:r>
      <w:r w:rsidR="00597EB5">
        <w:rPr>
          <w:rFonts w:ascii="Lato" w:hAnsi="Lato"/>
        </w:rPr>
        <w:t xml:space="preserve">są </w:t>
      </w:r>
      <w:r w:rsidRPr="00C758B1">
        <w:rPr>
          <w:rFonts w:ascii="Lato" w:hAnsi="Lato"/>
        </w:rPr>
        <w:t>obowiązane</w:t>
      </w:r>
      <w:r w:rsidR="00597EB5">
        <w:rPr>
          <w:rFonts w:ascii="Lato" w:hAnsi="Lato"/>
        </w:rPr>
        <w:t xml:space="preserve"> </w:t>
      </w:r>
      <w:r w:rsidRPr="00C758B1">
        <w:rPr>
          <w:rFonts w:ascii="Lato" w:hAnsi="Lato"/>
        </w:rPr>
        <w:t>do utrzymywania zapasów obowiązkowych gazu ziemnego</w:t>
      </w:r>
      <w:r w:rsidR="000B51A0">
        <w:rPr>
          <w:rFonts w:ascii="Lato" w:hAnsi="Lato"/>
        </w:rPr>
        <w:t>, co szerzej zostało opisane w rozdziale 5.2.</w:t>
      </w:r>
      <w:r w:rsidRPr="00C758B1">
        <w:rPr>
          <w:rFonts w:ascii="Lato" w:hAnsi="Lato"/>
        </w:rPr>
        <w:t xml:space="preserve"> </w:t>
      </w:r>
    </w:p>
    <w:p w14:paraId="3323F9E3" w14:textId="77777777" w:rsidR="00B03DBA" w:rsidRPr="00C758B1" w:rsidRDefault="00C7771E" w:rsidP="00597EB5">
      <w:pPr>
        <w:pStyle w:val="Tekstzwyky"/>
        <w:rPr>
          <w:rFonts w:ascii="Lato" w:hAnsi="Lato"/>
        </w:rPr>
      </w:pPr>
      <w:r w:rsidRPr="00C758B1">
        <w:rPr>
          <w:rFonts w:ascii="Lato" w:hAnsi="Lato"/>
        </w:rPr>
        <w:lastRenderedPageBreak/>
        <w:tab/>
        <w:t>Zgodnie z art. 25 ust. 6 ww. ustawy w związku z koniecznością utrzymywania zapasów obowiązkowych przedsiębiorstwo energetyczne, wykonujące działalność gospodarczą w zakresie obrotu gazem ziemnym z zagranicą i podmioty dokonujące przywozu gazu ziemnego, są obowiązane poinformować Prezesa URE o zamiarze rozpoczęcia przywozu gazu ziemnego oraz przekazać operatorowi systemu przesyłowego gazowego lub operatorowi systemów połączonych gazowych informacje o miejscu magazynowania zapasów obowiązkowych gazu ziemnego w celu weryfikacji technicznych możliwości dostarczenia tych zapasów do systemu gazowego</w:t>
      </w:r>
      <w:r w:rsidRPr="00C758B1">
        <w:rPr>
          <w:rFonts w:ascii="Lato" w:hAnsi="Lato"/>
          <w:sz w:val="20"/>
          <w:szCs w:val="20"/>
        </w:rPr>
        <w:t xml:space="preserve"> </w:t>
      </w:r>
      <w:r w:rsidRPr="00C758B1">
        <w:rPr>
          <w:rFonts w:ascii="Lato" w:hAnsi="Lato"/>
        </w:rPr>
        <w:t xml:space="preserve">najpóźniej na 30 dni przed dniem rozpoczęcia tego przywozu. </w:t>
      </w:r>
    </w:p>
    <w:p w14:paraId="06363809" w14:textId="1064885E" w:rsidR="00B03DBA" w:rsidRPr="00C758B1" w:rsidRDefault="00C7771E" w:rsidP="00597EB5">
      <w:pPr>
        <w:pStyle w:val="Tekstzwyky"/>
        <w:rPr>
          <w:rFonts w:ascii="Lato" w:hAnsi="Lato"/>
        </w:rPr>
      </w:pPr>
      <w:r w:rsidRPr="00C758B1">
        <w:rPr>
          <w:rFonts w:ascii="Lato" w:hAnsi="Lato"/>
        </w:rPr>
        <w:tab/>
        <w:t>Zgodnie z art. 28 ww. ustawy</w:t>
      </w:r>
      <w:r w:rsidR="00597EB5">
        <w:rPr>
          <w:rFonts w:ascii="Lato" w:hAnsi="Lato"/>
        </w:rPr>
        <w:t>,</w:t>
      </w:r>
      <w:r w:rsidRPr="00C758B1">
        <w:rPr>
          <w:rFonts w:ascii="Lato" w:hAnsi="Lato"/>
        </w:rPr>
        <w:t xml:space="preserve"> zapasy obowiązkowe gazu ziemnego stanowią majątek przedsiębiorstw energetycznych wykonujących działalność gospodarczą w zakresie obrotu gazem ziemnym z zagranicą i podmiotów dokonujących przywozu gazu ziemnego, chyba że stanowią one, na podstawie zawartej umowy, majątek podmiotu przyjmującego zlecenie utrzymywania zapasów obowiązkowych. Co więcej, koszty ponoszone przez przedsiębiorstwa w związku z realizacją tego obowiązku są zaliczane do kosztów uzasadnionych ich działalności w rozumieniu art. 3 pkt 21 ustawy z dnia 10 kwietnia 1997 r. – Prawo energetyczne.</w:t>
      </w:r>
    </w:p>
    <w:p w14:paraId="69105815" w14:textId="61D94E3A" w:rsidR="00B03DBA" w:rsidRPr="00C758B1" w:rsidRDefault="00C7771E" w:rsidP="00597EB5">
      <w:pPr>
        <w:pStyle w:val="Tekstzwyky"/>
        <w:rPr>
          <w:rFonts w:ascii="Lato" w:hAnsi="Lato"/>
        </w:rPr>
      </w:pPr>
      <w:r w:rsidRPr="00C758B1">
        <w:rPr>
          <w:rFonts w:ascii="Lato" w:hAnsi="Lato"/>
        </w:rPr>
        <w:t>Ponadto</w:t>
      </w:r>
      <w:r w:rsidR="00597EB5">
        <w:rPr>
          <w:rFonts w:ascii="Lato" w:hAnsi="Lato"/>
        </w:rPr>
        <w:t xml:space="preserve"> </w:t>
      </w:r>
      <w:r w:rsidRPr="00C758B1">
        <w:rPr>
          <w:rFonts w:ascii="Lato" w:hAnsi="Lato"/>
        </w:rPr>
        <w:t xml:space="preserve">zgodnie z art. 54 ustawy </w:t>
      </w:r>
      <w:r w:rsidRPr="00597EB5">
        <w:rPr>
          <w:rFonts w:ascii="Lato" w:hAnsi="Lato"/>
          <w:iCs/>
        </w:rPr>
        <w:t>o zapasach</w:t>
      </w:r>
      <w:r w:rsidRPr="00C758B1">
        <w:rPr>
          <w:rFonts w:ascii="Lato" w:hAnsi="Lato"/>
        </w:rPr>
        <w:t xml:space="preserve">, w przypadku: </w:t>
      </w:r>
    </w:p>
    <w:p w14:paraId="330FFAEA" w14:textId="7BD03884" w:rsidR="00B03DBA" w:rsidRPr="00597EB5" w:rsidRDefault="00C7771E" w:rsidP="00597EB5">
      <w:pPr>
        <w:pStyle w:val="TekstWypunktowany"/>
        <w:rPr>
          <w:rFonts w:ascii="Lato" w:hAnsi="Lato"/>
        </w:rPr>
      </w:pPr>
      <w:r w:rsidRPr="00597EB5">
        <w:rPr>
          <w:rFonts w:ascii="Lato" w:hAnsi="Lato"/>
        </w:rPr>
        <w:t>zagrożenia bezpieczeństwa paliwowego państw</w:t>
      </w:r>
      <w:r w:rsidR="00ED53AC" w:rsidRPr="00597EB5">
        <w:rPr>
          <w:rFonts w:ascii="Lato" w:hAnsi="Lato"/>
        </w:rPr>
        <w:t>a</w:t>
      </w:r>
      <w:r w:rsidR="00ED53AC" w:rsidRPr="00C758B1">
        <w:rPr>
          <w:rFonts w:ascii="Lato" w:hAnsi="Lato"/>
        </w:rPr>
        <w:t>;</w:t>
      </w:r>
    </w:p>
    <w:p w14:paraId="0719C252" w14:textId="7E150CE5" w:rsidR="00B03DBA" w:rsidRPr="00597EB5" w:rsidRDefault="00C7771E" w:rsidP="00597EB5">
      <w:pPr>
        <w:pStyle w:val="TekstWypunktowany"/>
        <w:rPr>
          <w:rFonts w:ascii="Lato" w:hAnsi="Lato"/>
        </w:rPr>
      </w:pPr>
      <w:r w:rsidRPr="00597EB5">
        <w:rPr>
          <w:rFonts w:ascii="Lato" w:hAnsi="Lato"/>
        </w:rPr>
        <w:t>nieprzewidzianego wzrostu zużycia gazu ziemnego przez odbiorców</w:t>
      </w:r>
      <w:r w:rsidR="00ED53AC" w:rsidRPr="00C758B1">
        <w:rPr>
          <w:rFonts w:ascii="Lato" w:hAnsi="Lato"/>
        </w:rPr>
        <w:t>;</w:t>
      </w:r>
    </w:p>
    <w:p w14:paraId="02407911" w14:textId="089CB198" w:rsidR="00B03DBA" w:rsidRPr="00597EB5" w:rsidRDefault="00C7771E" w:rsidP="00597EB5">
      <w:pPr>
        <w:pStyle w:val="TekstWypunktowany"/>
        <w:rPr>
          <w:rFonts w:ascii="Lato" w:hAnsi="Lato"/>
        </w:rPr>
      </w:pPr>
      <w:r w:rsidRPr="00597EB5">
        <w:rPr>
          <w:rFonts w:ascii="Lato" w:hAnsi="Lato"/>
        </w:rPr>
        <w:t>wystąpienia zakłóceń w przywozie gazu ziemnego</w:t>
      </w:r>
      <w:r w:rsidR="00ED53AC" w:rsidRPr="00C758B1">
        <w:rPr>
          <w:rFonts w:ascii="Lato" w:hAnsi="Lato"/>
        </w:rPr>
        <w:t>;</w:t>
      </w:r>
    </w:p>
    <w:p w14:paraId="7E713A45" w14:textId="7E55C631" w:rsidR="00B03DBA" w:rsidRPr="00597EB5" w:rsidRDefault="00C7771E" w:rsidP="00597EB5">
      <w:pPr>
        <w:pStyle w:val="TekstWypunktowany"/>
        <w:rPr>
          <w:rFonts w:ascii="Lato" w:hAnsi="Lato"/>
        </w:rPr>
      </w:pPr>
      <w:r w:rsidRPr="00597EB5">
        <w:rPr>
          <w:rFonts w:ascii="Lato" w:hAnsi="Lato"/>
        </w:rPr>
        <w:t>awarii w sieciach operatorów systemów gazowych</w:t>
      </w:r>
      <w:r w:rsidR="00ED53AC" w:rsidRPr="00C758B1">
        <w:rPr>
          <w:rFonts w:ascii="Lato" w:hAnsi="Lato"/>
        </w:rPr>
        <w:t>;</w:t>
      </w:r>
    </w:p>
    <w:p w14:paraId="58D552A4" w14:textId="3BA14BEC" w:rsidR="00B03DBA" w:rsidRPr="00597EB5" w:rsidRDefault="00C7771E" w:rsidP="00597EB5">
      <w:pPr>
        <w:pStyle w:val="TekstWypunktowany"/>
        <w:rPr>
          <w:rFonts w:ascii="Lato" w:hAnsi="Lato"/>
        </w:rPr>
      </w:pPr>
      <w:r w:rsidRPr="00597EB5">
        <w:rPr>
          <w:rFonts w:ascii="Lato" w:hAnsi="Lato"/>
        </w:rPr>
        <w:t>zagrożenia bezpieczeństwa funkcjonowania sieci gazowych</w:t>
      </w:r>
      <w:r w:rsidR="00ED53AC" w:rsidRPr="00C758B1">
        <w:rPr>
          <w:rFonts w:ascii="Lato" w:hAnsi="Lato"/>
        </w:rPr>
        <w:t>;</w:t>
      </w:r>
    </w:p>
    <w:p w14:paraId="0AD04BCD" w14:textId="35EA7BF8" w:rsidR="00B03DBA" w:rsidRPr="00597EB5" w:rsidRDefault="00C7771E" w:rsidP="00597EB5">
      <w:pPr>
        <w:pStyle w:val="TekstWypunktowany"/>
        <w:rPr>
          <w:rFonts w:ascii="Lato" w:hAnsi="Lato"/>
        </w:rPr>
      </w:pPr>
      <w:r w:rsidRPr="00597EB5">
        <w:rPr>
          <w:rFonts w:ascii="Lato" w:hAnsi="Lato"/>
        </w:rPr>
        <w:t>zagrożenia bezpieczeństwa osób</w:t>
      </w:r>
      <w:r w:rsidR="00ED53AC" w:rsidRPr="00C758B1">
        <w:rPr>
          <w:rFonts w:ascii="Lato" w:hAnsi="Lato"/>
        </w:rPr>
        <w:t>;</w:t>
      </w:r>
    </w:p>
    <w:p w14:paraId="73F8B25D" w14:textId="7FA2ADC2" w:rsidR="00B03DBA" w:rsidRPr="00597EB5" w:rsidRDefault="00C7771E" w:rsidP="00597EB5">
      <w:pPr>
        <w:pStyle w:val="TekstWypunktowany"/>
        <w:rPr>
          <w:rFonts w:ascii="Lato" w:hAnsi="Lato"/>
        </w:rPr>
      </w:pPr>
      <w:r w:rsidRPr="00597EB5">
        <w:rPr>
          <w:rFonts w:ascii="Lato" w:hAnsi="Lato"/>
        </w:rPr>
        <w:t>zagrożenia wystąpieniem znacznych strat materialnych</w:t>
      </w:r>
      <w:r w:rsidR="00ED53AC" w:rsidRPr="00C758B1">
        <w:rPr>
          <w:rFonts w:ascii="Lato" w:hAnsi="Lato"/>
        </w:rPr>
        <w:t>;</w:t>
      </w:r>
    </w:p>
    <w:p w14:paraId="26DF9126" w14:textId="1D03F326" w:rsidR="00B03DBA" w:rsidRPr="00597EB5" w:rsidRDefault="00C7771E" w:rsidP="00597EB5">
      <w:pPr>
        <w:pStyle w:val="TekstWypunktowany"/>
        <w:rPr>
          <w:rFonts w:ascii="Lato" w:hAnsi="Lato"/>
        </w:rPr>
      </w:pPr>
      <w:r w:rsidRPr="00597EB5">
        <w:rPr>
          <w:rFonts w:ascii="Lato" w:hAnsi="Lato"/>
        </w:rPr>
        <w:t>konieczności wypełnienia przez RP zobowiązań międzynarodowych</w:t>
      </w:r>
      <w:r w:rsidR="00DE0CA2">
        <w:rPr>
          <w:rFonts w:ascii="Lato" w:hAnsi="Lato"/>
        </w:rPr>
        <w:t>;</w:t>
      </w:r>
    </w:p>
    <w:p w14:paraId="69D01FEA" w14:textId="2C72EA40" w:rsidR="00B03DBA" w:rsidRPr="00C758B1" w:rsidRDefault="00DE0CA2" w:rsidP="00597EB5">
      <w:pPr>
        <w:pStyle w:val="Tekstzwyky"/>
        <w:rPr>
          <w:rFonts w:ascii="Lato" w:hAnsi="Lato"/>
        </w:rPr>
      </w:pPr>
      <w:r>
        <w:rPr>
          <w:rFonts w:ascii="Lato" w:hAnsi="Lato"/>
        </w:rPr>
        <w:t>n</w:t>
      </w:r>
      <w:r w:rsidR="00C7771E" w:rsidRPr="00C758B1">
        <w:rPr>
          <w:rFonts w:ascii="Lato" w:hAnsi="Lato"/>
        </w:rPr>
        <w:t xml:space="preserve">a terytorium RP lub jego części mogą być wprowadzone na czas oznaczony ograniczenia w poborze gazu ziemnego. Polegają one na ograniczeniu maksymalnego godzinowego i dobowego poboru gazu ziemnego. Środek ten dotyczy tylko odbiorców komercyjnych. Zgodnie z art. 58 ust. 4 ustawy </w:t>
      </w:r>
      <w:r w:rsidR="00C7771E" w:rsidRPr="00597EB5">
        <w:rPr>
          <w:rFonts w:ascii="Lato" w:hAnsi="Lato"/>
          <w:iCs/>
        </w:rPr>
        <w:t>o zapasach</w:t>
      </w:r>
      <w:r w:rsidR="00C7771E" w:rsidRPr="00C758B1">
        <w:rPr>
          <w:rFonts w:ascii="Lato" w:hAnsi="Lato"/>
          <w:i/>
        </w:rPr>
        <w:t xml:space="preserve"> </w:t>
      </w:r>
      <w:r w:rsidR="00C7771E" w:rsidRPr="00C758B1">
        <w:rPr>
          <w:rFonts w:ascii="Lato" w:hAnsi="Lato"/>
        </w:rPr>
        <w:t>ograniczenia wynikające z planów wprowadzania ograniczeń nie mają zastosowania do odbiorców gazu ziemnego w gospodarstwach domowych.</w:t>
      </w:r>
    </w:p>
    <w:p w14:paraId="7658C1E3" w14:textId="77777777" w:rsidR="00B74C14" w:rsidRPr="00C758B1" w:rsidRDefault="00B74C14" w:rsidP="00983C18">
      <w:pPr>
        <w:spacing w:line="276" w:lineRule="auto"/>
        <w:jc w:val="left"/>
        <w:rPr>
          <w:rFonts w:ascii="Lato" w:eastAsiaTheme="majorEastAsia" w:hAnsi="Lato" w:cstheme="majorBidi"/>
          <w:b/>
          <w:sz w:val="32"/>
          <w:szCs w:val="32"/>
        </w:rPr>
      </w:pPr>
      <w:bookmarkStart w:id="310" w:name="_Toc18063901"/>
      <w:bookmarkStart w:id="311" w:name="_Toc12953928"/>
      <w:bookmarkEnd w:id="310"/>
      <w:r w:rsidRPr="00C758B1">
        <w:rPr>
          <w:rFonts w:ascii="Lato" w:hAnsi="Lato"/>
        </w:rPr>
        <w:br w:type="page"/>
      </w:r>
    </w:p>
    <w:p w14:paraId="61BAA77B" w14:textId="7AAFCBD8" w:rsidR="00684B86" w:rsidRPr="00631250" w:rsidRDefault="00684B86" w:rsidP="00931800">
      <w:pPr>
        <w:pStyle w:val="Rozdzia1"/>
        <w:rPr>
          <w:rFonts w:ascii="Lato" w:hAnsi="Lato"/>
          <w:sz w:val="28"/>
          <w:szCs w:val="28"/>
        </w:rPr>
      </w:pPr>
      <w:bookmarkStart w:id="312" w:name="_Toc142469585"/>
      <w:bookmarkStart w:id="313" w:name="_Toc19782962"/>
      <w:r w:rsidRPr="00631250">
        <w:rPr>
          <w:rFonts w:ascii="Lato" w:hAnsi="Lato"/>
          <w:sz w:val="28"/>
          <w:szCs w:val="28"/>
        </w:rPr>
        <w:lastRenderedPageBreak/>
        <w:t>Konsultacje z zainteresowanymi stronami</w:t>
      </w:r>
      <w:bookmarkEnd w:id="312"/>
    </w:p>
    <w:p w14:paraId="0868E503" w14:textId="78C69CAB" w:rsidR="003043BB" w:rsidRPr="00C758B1" w:rsidRDefault="00B74C14" w:rsidP="00931800">
      <w:pPr>
        <w:pStyle w:val="Tekstzwyky"/>
        <w:rPr>
          <w:rFonts w:ascii="Lato" w:hAnsi="Lato"/>
        </w:rPr>
      </w:pPr>
      <w:r w:rsidRPr="00C758B1">
        <w:rPr>
          <w:rFonts w:ascii="Lato" w:hAnsi="Lato"/>
        </w:rPr>
        <w:tab/>
      </w:r>
      <w:r w:rsidR="003043BB" w:rsidRPr="00C758B1">
        <w:rPr>
          <w:rFonts w:ascii="Lato" w:hAnsi="Lato"/>
        </w:rPr>
        <w:t xml:space="preserve">W celu skonsultowania projektów </w:t>
      </w:r>
      <w:r w:rsidR="003043BB" w:rsidRPr="00A856C1">
        <w:rPr>
          <w:rFonts w:ascii="Lato" w:hAnsi="Lato"/>
          <w:i/>
          <w:iCs/>
        </w:rPr>
        <w:t>Planu działań zapobiegawczych</w:t>
      </w:r>
      <w:r w:rsidR="003043BB" w:rsidRPr="00C758B1">
        <w:rPr>
          <w:rFonts w:ascii="Lato" w:hAnsi="Lato"/>
        </w:rPr>
        <w:t xml:space="preserve"> i </w:t>
      </w:r>
      <w:r w:rsidR="003043BB" w:rsidRPr="00A856C1">
        <w:rPr>
          <w:rFonts w:ascii="Lato" w:hAnsi="Lato"/>
          <w:i/>
          <w:iCs/>
        </w:rPr>
        <w:t>Planu na wypadek sytuacji nadzwyczajnej</w:t>
      </w:r>
      <w:r w:rsidR="003043BB" w:rsidRPr="00C758B1">
        <w:rPr>
          <w:rFonts w:ascii="Lato" w:hAnsi="Lato"/>
        </w:rPr>
        <w:t xml:space="preserve"> z jak najszerszym gronem podmiotów działających na polskim rynku gazu ziemnego i umożliwienia zgłaszania uwag do projektów, na stronie internetowej Ministerstwa </w:t>
      </w:r>
      <w:r w:rsidR="007509B9">
        <w:rPr>
          <w:rFonts w:ascii="Lato" w:hAnsi="Lato"/>
        </w:rPr>
        <w:t>Klimatu i Środowiska</w:t>
      </w:r>
      <w:r w:rsidR="007509B9" w:rsidRPr="00C758B1">
        <w:rPr>
          <w:rFonts w:ascii="Lato" w:hAnsi="Lato"/>
        </w:rPr>
        <w:t xml:space="preserve"> </w:t>
      </w:r>
      <w:r w:rsidR="003043BB" w:rsidRPr="00C758B1">
        <w:rPr>
          <w:rFonts w:ascii="Lato" w:hAnsi="Lato"/>
        </w:rPr>
        <w:t>ogłoszon</w:t>
      </w:r>
      <w:r w:rsidR="00266298">
        <w:rPr>
          <w:rFonts w:ascii="Lato" w:hAnsi="Lato"/>
        </w:rPr>
        <w:t>o</w:t>
      </w:r>
      <w:r w:rsidR="003043BB" w:rsidRPr="00C758B1">
        <w:rPr>
          <w:rFonts w:ascii="Lato" w:hAnsi="Lato"/>
        </w:rPr>
        <w:t xml:space="preserve"> komunikat o </w:t>
      </w:r>
      <w:r w:rsidR="00266298">
        <w:rPr>
          <w:rFonts w:ascii="Lato" w:hAnsi="Lato"/>
        </w:rPr>
        <w:t>prowadzeniu</w:t>
      </w:r>
      <w:r w:rsidR="003043BB" w:rsidRPr="00C758B1">
        <w:rPr>
          <w:rFonts w:ascii="Lato" w:hAnsi="Lato"/>
        </w:rPr>
        <w:t xml:space="preserve"> konsultacji społecznych. </w:t>
      </w:r>
    </w:p>
    <w:p w14:paraId="4CBBAD7C" w14:textId="5BFB3333" w:rsidR="00A856C1" w:rsidRDefault="00B74C14" w:rsidP="00A856C1">
      <w:pPr>
        <w:pStyle w:val="Tekstzwyky"/>
        <w:rPr>
          <w:rFonts w:ascii="Lato" w:hAnsi="Lato"/>
        </w:rPr>
      </w:pPr>
      <w:r w:rsidRPr="00C758B1">
        <w:rPr>
          <w:rFonts w:ascii="Lato" w:hAnsi="Lato"/>
        </w:rPr>
        <w:tab/>
      </w:r>
    </w:p>
    <w:p w14:paraId="23D54D5B" w14:textId="6405E670" w:rsidR="00212DC5" w:rsidRPr="00C758B1" w:rsidRDefault="00931800" w:rsidP="00931800">
      <w:pPr>
        <w:pStyle w:val="Tekstzwyky"/>
        <w:rPr>
          <w:rFonts w:ascii="Lato" w:hAnsi="Lato"/>
        </w:rPr>
      </w:pPr>
      <w:r>
        <w:rPr>
          <w:rFonts w:ascii="Lato" w:hAnsi="Lato"/>
        </w:rPr>
        <w:br w:type="page"/>
      </w:r>
    </w:p>
    <w:p w14:paraId="613173FC" w14:textId="01E60336" w:rsidR="00B03DBA" w:rsidRPr="00631250" w:rsidRDefault="00C7771E" w:rsidP="00931800">
      <w:pPr>
        <w:pStyle w:val="Rozdzia1"/>
        <w:rPr>
          <w:rFonts w:ascii="Lato" w:hAnsi="Lato"/>
          <w:sz w:val="28"/>
          <w:szCs w:val="28"/>
        </w:rPr>
      </w:pPr>
      <w:bookmarkStart w:id="314" w:name="_Toc142469586"/>
      <w:r w:rsidRPr="00631250">
        <w:rPr>
          <w:rFonts w:ascii="Lato" w:hAnsi="Lato"/>
          <w:sz w:val="28"/>
          <w:szCs w:val="28"/>
        </w:rPr>
        <w:lastRenderedPageBreak/>
        <w:t>Wymiar regionalny</w:t>
      </w:r>
      <w:bookmarkEnd w:id="311"/>
      <w:bookmarkEnd w:id="313"/>
      <w:r w:rsidRPr="00631250">
        <w:rPr>
          <w:rFonts w:ascii="Lato" w:hAnsi="Lato"/>
          <w:sz w:val="28"/>
          <w:szCs w:val="28"/>
        </w:rPr>
        <w:t xml:space="preserve"> </w:t>
      </w:r>
      <w:r w:rsidR="00FE6CEA">
        <w:rPr>
          <w:rFonts w:ascii="Lato" w:hAnsi="Lato"/>
          <w:sz w:val="28"/>
          <w:szCs w:val="28"/>
        </w:rPr>
        <w:t>– grupy ryzyka</w:t>
      </w:r>
      <w:bookmarkEnd w:id="314"/>
    </w:p>
    <w:p w14:paraId="65D3F2F7" w14:textId="6051E7A5" w:rsidR="00A274CA" w:rsidRPr="0066096C" w:rsidRDefault="00A274CA" w:rsidP="00931800">
      <w:pPr>
        <w:pStyle w:val="Akapitzlist"/>
        <w:spacing w:line="276" w:lineRule="auto"/>
        <w:ind w:left="0" w:firstLine="708"/>
        <w:rPr>
          <w:rFonts w:ascii="Lato" w:hAnsi="Lato"/>
          <w:szCs w:val="24"/>
        </w:rPr>
      </w:pPr>
      <w:r w:rsidRPr="00C758B1">
        <w:rPr>
          <w:rFonts w:ascii="Lato" w:hAnsi="Lato"/>
        </w:rPr>
        <w:t xml:space="preserve">W celu zagwarantowania państwom członkowskim dostępu do informacji, które umożliwią zapobieganie lub zareagowanie na potencjalne zakłócenia w dostawach gazu ziemnego w momencie ich wystąpienia, utworzono efektywny system komunikacji oraz wymiany informacji pomiędzy organami właściwymi państw członkowskich w danej </w:t>
      </w:r>
      <w:r w:rsidRPr="0066096C">
        <w:rPr>
          <w:rFonts w:ascii="Lato" w:hAnsi="Lato"/>
          <w:szCs w:val="24"/>
        </w:rPr>
        <w:t>grupie ryzyka.</w:t>
      </w:r>
    </w:p>
    <w:p w14:paraId="0F1CD80F" w14:textId="6A69C465" w:rsidR="00A274CA" w:rsidRPr="0066096C" w:rsidRDefault="0066096C" w:rsidP="0066096C">
      <w:pPr>
        <w:pStyle w:val="Akapitzlist"/>
        <w:spacing w:line="276" w:lineRule="auto"/>
        <w:ind w:left="0" w:firstLine="360"/>
        <w:rPr>
          <w:rFonts w:ascii="Lato" w:hAnsi="Lato"/>
          <w:szCs w:val="24"/>
        </w:rPr>
      </w:pPr>
      <w:r w:rsidRPr="0066096C">
        <w:rPr>
          <w:rFonts w:ascii="Lato" w:hAnsi="Lato"/>
          <w:szCs w:val="24"/>
        </w:rPr>
        <w:t xml:space="preserve">Polska do 2022 r. była członkiem białoruskiej i ukraińskiej grupy ryzyka. Do białoruskiej grupy ryzyka, poza Polską należą: Belgia, </w:t>
      </w:r>
      <w:r w:rsidR="004A400B">
        <w:rPr>
          <w:rFonts w:ascii="Lato" w:hAnsi="Lato"/>
          <w:szCs w:val="24"/>
        </w:rPr>
        <w:t>Czechy,</w:t>
      </w:r>
      <w:r w:rsidRPr="0066096C">
        <w:rPr>
          <w:rFonts w:ascii="Lato" w:hAnsi="Lato"/>
          <w:szCs w:val="24"/>
        </w:rPr>
        <w:t xml:space="preserve"> Dania, Niemcy, Estonia, Łotwa, Litwa, Luksemburg, Niderlandy, Słowacja, Finlandia oraz Szwecja, natomiast do ukraińskiej grupy ryzyka należą: Bułgaria, </w:t>
      </w:r>
      <w:r w:rsidR="004A400B">
        <w:rPr>
          <w:rFonts w:ascii="Lato" w:hAnsi="Lato"/>
          <w:szCs w:val="24"/>
        </w:rPr>
        <w:t>Czechy</w:t>
      </w:r>
      <w:r w:rsidRPr="0066096C">
        <w:rPr>
          <w:rFonts w:ascii="Lato" w:hAnsi="Lato"/>
          <w:szCs w:val="24"/>
        </w:rPr>
        <w:t xml:space="preserve"> Dania, Niemcy, Grecja, Chorwacja, Włochy, Luksemburg, Węgry, Austria, Rumunia, Słowenia, Słowacja oraz Szwecja. W 2022 r. skutkiem realizacji inwestycji zwiększających bezpieczeństwo polskiego systemu gazowego Polska dołączyła do nowych grup ryzyka wskazanych w załączniku nr 1 do rozporządzenia 2017/1938. W wyniku budowy połączenia międzysystemowego Polska-Litwa, Polska dołączyła do północno-wschodniej grupy ryzyka, związanej z dostawami gazu z kierunku wschodniego, do której należą również: </w:t>
      </w:r>
      <w:r w:rsidR="004A400B">
        <w:rPr>
          <w:rFonts w:ascii="Lato" w:hAnsi="Lato"/>
          <w:szCs w:val="24"/>
        </w:rPr>
        <w:t>Czechy,</w:t>
      </w:r>
      <w:r w:rsidRPr="0066096C">
        <w:rPr>
          <w:rFonts w:ascii="Lato" w:hAnsi="Lato"/>
          <w:szCs w:val="24"/>
        </w:rPr>
        <w:t xml:space="preserve"> Dania, Niemcy, Estonia, Łotwa, Litwa, Słowacja, Finlandia oraz Szwecja. Natomiast w wyniku budowy gazociągu Baltic Pipe, łączącego polski system gazowy przez Danię z złożami Norweskiego Szelfu Kontynentalnego, Polska stała się członkiem grup ryzyka ze względu na dostawy z Morza Północnego, tj. norweskiej i duńskiej grupy ryzyka. Do norweskiej grupy ryzyka oprócz Polski należą: Belgia, Dania, Niemcy, Irlandia, Hiszpania, Francja, Włochy, Luksemburg, Niderlandy, Portugalia i Szwecja a do duńskiej grupy ryzyka: Dania, Niemcy, Luksemburg, Niderlandy i Szwecja. </w:t>
      </w:r>
    </w:p>
    <w:p w14:paraId="6ECC2DD2" w14:textId="728CB038" w:rsidR="00A274CA" w:rsidRPr="00C758B1" w:rsidRDefault="00A274CA" w:rsidP="00983C18">
      <w:pPr>
        <w:pStyle w:val="Rozdzia2"/>
        <w:rPr>
          <w:rFonts w:ascii="Lato" w:hAnsi="Lato"/>
        </w:rPr>
      </w:pPr>
      <w:bookmarkStart w:id="315" w:name="_Toc142469587"/>
      <w:r w:rsidRPr="00C758B1">
        <w:rPr>
          <w:rFonts w:ascii="Lato" w:hAnsi="Lato"/>
        </w:rPr>
        <w:t>Środki przyjmowane w poszczególnych stanach kryzysowych</w:t>
      </w:r>
      <w:bookmarkEnd w:id="315"/>
    </w:p>
    <w:p w14:paraId="0E21333F" w14:textId="77777777" w:rsidR="00A274CA" w:rsidRPr="00C758B1" w:rsidRDefault="00A274CA" w:rsidP="00A856C1">
      <w:pPr>
        <w:spacing w:before="240" w:after="120" w:line="276" w:lineRule="auto"/>
        <w:rPr>
          <w:rFonts w:ascii="Lato" w:hAnsi="Lato"/>
          <w:b/>
          <w:bCs/>
        </w:rPr>
      </w:pPr>
      <w:r w:rsidRPr="00C758B1">
        <w:rPr>
          <w:rFonts w:ascii="Lato" w:hAnsi="Lato"/>
          <w:b/>
          <w:bCs/>
        </w:rPr>
        <w:t xml:space="preserve">Stan wczesnego ostrzeżenia </w:t>
      </w:r>
    </w:p>
    <w:p w14:paraId="2AB7C3A4" w14:textId="77777777" w:rsidR="00A274CA" w:rsidRPr="00C758B1" w:rsidRDefault="00A274CA" w:rsidP="00A856C1">
      <w:pPr>
        <w:spacing w:line="276" w:lineRule="auto"/>
        <w:contextualSpacing/>
        <w:rPr>
          <w:rFonts w:ascii="Lato" w:hAnsi="Lato"/>
        </w:rPr>
      </w:pPr>
      <w:r w:rsidRPr="00C758B1">
        <w:rPr>
          <w:rFonts w:ascii="Lato" w:hAnsi="Lato"/>
        </w:rPr>
        <w:tab/>
        <w:t>Ogłoszenie stanu wczesnego ostrzeżenia następuje w momencie, gdy istnieją konkretne, poważne i wiarygodne informacje, że może wystąpić zdarzenie, które może spowodować znaczne pogorszenie sytuacji w zakresie dostaw gazu ziemnego i może doprowadzić do uruchomienia stanu alarmowego lub stanu nadzwyczajnego.</w:t>
      </w:r>
    </w:p>
    <w:p w14:paraId="66D9368E" w14:textId="77777777" w:rsidR="00A274CA" w:rsidRPr="00C758B1" w:rsidRDefault="00A274CA" w:rsidP="00A856C1">
      <w:pPr>
        <w:spacing w:line="276" w:lineRule="auto"/>
        <w:contextualSpacing/>
        <w:rPr>
          <w:rFonts w:ascii="Lato" w:hAnsi="Lato"/>
        </w:rPr>
      </w:pPr>
      <w:r w:rsidRPr="00C758B1">
        <w:rPr>
          <w:rFonts w:ascii="Lato" w:hAnsi="Lato"/>
        </w:rPr>
        <w:tab/>
        <w:t>Właściwy organ państwa członkowskiego, które ogłosiło stan wczesnego ostrzeżenia, powinien niezwłocznie poinformować wszystkie pozostałe państwa członkowskie należące do grupy ryzyka o wprowadzeniu tego stanu, a także o każdym wdrożonym środku lub środku, który ma zostać wdrożony, w celu zaradzenia skutkom zakłócenia w dostawach gazu ziemnego.</w:t>
      </w:r>
    </w:p>
    <w:p w14:paraId="360EC678" w14:textId="77777777" w:rsidR="00A274CA" w:rsidRPr="00C758B1" w:rsidRDefault="00A274CA" w:rsidP="00983C18">
      <w:pPr>
        <w:spacing w:line="276" w:lineRule="auto"/>
        <w:rPr>
          <w:rFonts w:ascii="Lato" w:hAnsi="Lato"/>
        </w:rPr>
      </w:pPr>
      <w:r w:rsidRPr="00C758B1">
        <w:rPr>
          <w:rFonts w:ascii="Lato" w:hAnsi="Lato"/>
        </w:rPr>
        <w:tab/>
        <w:t>Właściwy organ powinien zgłaszać wszelkie zmiany w sytuacji w systemie gazowym ze wskazaniem wszystkich przyjętych lub wstrzymanych środków, jeżeli takie istnieją.</w:t>
      </w:r>
    </w:p>
    <w:p w14:paraId="3B78EB1C" w14:textId="77777777" w:rsidR="00BB583E" w:rsidRDefault="00BB583E" w:rsidP="00A856C1">
      <w:pPr>
        <w:spacing w:after="120" w:line="276" w:lineRule="auto"/>
        <w:rPr>
          <w:rFonts w:ascii="Lato" w:hAnsi="Lato"/>
          <w:b/>
        </w:rPr>
      </w:pPr>
    </w:p>
    <w:p w14:paraId="6FE0BE1C" w14:textId="416ADBA4" w:rsidR="00A274CA" w:rsidRPr="00C758B1" w:rsidRDefault="00A274CA" w:rsidP="00A856C1">
      <w:pPr>
        <w:spacing w:after="120" w:line="276" w:lineRule="auto"/>
        <w:rPr>
          <w:rFonts w:ascii="Lato" w:hAnsi="Lato"/>
          <w:b/>
          <w:sz w:val="22"/>
        </w:rPr>
      </w:pPr>
      <w:r w:rsidRPr="00C758B1">
        <w:rPr>
          <w:rFonts w:ascii="Lato" w:hAnsi="Lato"/>
          <w:b/>
        </w:rPr>
        <w:lastRenderedPageBreak/>
        <w:t>Stan alarmowy</w:t>
      </w:r>
    </w:p>
    <w:p w14:paraId="1BEA342E" w14:textId="221A9E74" w:rsidR="00A274CA" w:rsidRPr="00C758B1" w:rsidRDefault="00A274CA" w:rsidP="00A856C1">
      <w:pPr>
        <w:spacing w:after="0" w:line="276" w:lineRule="auto"/>
        <w:rPr>
          <w:rFonts w:ascii="Lato" w:hAnsi="Lato"/>
        </w:rPr>
      </w:pPr>
      <w:r w:rsidRPr="00C758B1">
        <w:rPr>
          <w:rFonts w:ascii="Lato" w:hAnsi="Lato"/>
        </w:rPr>
        <w:tab/>
        <w:t>Stan alarmowy jest ogłaszany w przypadku</w:t>
      </w:r>
      <w:r w:rsidR="00771E96">
        <w:rPr>
          <w:rFonts w:ascii="Lato" w:hAnsi="Lato"/>
        </w:rPr>
        <w:t>,</w:t>
      </w:r>
      <w:r w:rsidRPr="00C758B1">
        <w:rPr>
          <w:rFonts w:ascii="Lato" w:hAnsi="Lato"/>
        </w:rPr>
        <w:t xml:space="preserve"> gdy wystąpi zakłócenie w dostawach lub nadzwyczajnie wysokie zapotrzebowanie na gaz ziemny, które prowadzi do znacznego pogorszenia sytuacji w zakresie dostaw, ale rynek nadal jest w stanie poradzić sobie z tym zakłóceniem lub sprostać zapotrzebowaniu bez potrzeby stosowania środków nierynkowych.</w:t>
      </w:r>
    </w:p>
    <w:p w14:paraId="02E093DE" w14:textId="197F9D60" w:rsidR="00A274CA" w:rsidRPr="00C758B1" w:rsidRDefault="00A274CA" w:rsidP="00A856C1">
      <w:pPr>
        <w:spacing w:after="0" w:line="276" w:lineRule="auto"/>
        <w:rPr>
          <w:rFonts w:ascii="Lato" w:hAnsi="Lato"/>
        </w:rPr>
      </w:pPr>
      <w:r w:rsidRPr="00C758B1">
        <w:rPr>
          <w:rFonts w:ascii="Lato" w:hAnsi="Lato"/>
        </w:rPr>
        <w:tab/>
        <w:t xml:space="preserve">Właściwy organ państwa członkowskiego, które ogłosiło stan alarmowy, powinien niezwłocznie poinformować wszystkie pozostałe państwa członkowskie należące do </w:t>
      </w:r>
      <w:r w:rsidR="00AD18AB">
        <w:rPr>
          <w:rFonts w:ascii="Lato" w:hAnsi="Lato"/>
        </w:rPr>
        <w:t xml:space="preserve">danej </w:t>
      </w:r>
      <w:r w:rsidRPr="00C758B1">
        <w:rPr>
          <w:rFonts w:ascii="Lato" w:hAnsi="Lato"/>
        </w:rPr>
        <w:t>grupy ryzyka o wprowadzeniu tego stanu, a także o każdym wdrożonym środku lub środku, który ma zostać wdrożony, w celu zaradzenia skutkom zakłócenia w dostawach gazu ziemnego.</w:t>
      </w:r>
    </w:p>
    <w:p w14:paraId="7C95663D" w14:textId="77777777" w:rsidR="00A274CA" w:rsidRPr="00C758B1" w:rsidRDefault="00A274CA" w:rsidP="00983C18">
      <w:pPr>
        <w:spacing w:line="276" w:lineRule="auto"/>
        <w:ind w:firstLine="426"/>
        <w:rPr>
          <w:rFonts w:ascii="Lato" w:hAnsi="Lato"/>
        </w:rPr>
      </w:pPr>
      <w:r w:rsidRPr="00C758B1">
        <w:rPr>
          <w:rFonts w:ascii="Lato" w:hAnsi="Lato"/>
        </w:rPr>
        <w:tab/>
        <w:t>Właściwy organ powinien zgłaszać wszelkie zmiany w sytuacji w systemie gazowym ze wskazaniem wszystkich przyjętych lub wstrzymanych środków, jeżeli takie istnieją.</w:t>
      </w:r>
    </w:p>
    <w:p w14:paraId="0A803404" w14:textId="3C6A7916" w:rsidR="00A274CA" w:rsidRPr="00C758B1" w:rsidRDefault="00A274CA" w:rsidP="00A856C1">
      <w:pPr>
        <w:spacing w:after="120" w:line="276" w:lineRule="auto"/>
        <w:rPr>
          <w:rFonts w:ascii="Lato" w:hAnsi="Lato"/>
          <w:b/>
          <w:sz w:val="22"/>
        </w:rPr>
      </w:pPr>
      <w:r w:rsidRPr="00C758B1">
        <w:rPr>
          <w:rFonts w:ascii="Lato" w:hAnsi="Lato"/>
          <w:b/>
        </w:rPr>
        <w:t>Stan nadzwyczajny</w:t>
      </w:r>
    </w:p>
    <w:p w14:paraId="73583F9D" w14:textId="69BDFA2A" w:rsidR="00A274CA" w:rsidRPr="00C758B1" w:rsidRDefault="00A274CA" w:rsidP="00A856C1">
      <w:pPr>
        <w:spacing w:line="276" w:lineRule="auto"/>
        <w:contextualSpacing/>
        <w:rPr>
          <w:rFonts w:ascii="Lato" w:hAnsi="Lato"/>
        </w:rPr>
      </w:pPr>
      <w:r w:rsidRPr="00C758B1">
        <w:rPr>
          <w:rFonts w:ascii="Lato" w:hAnsi="Lato"/>
        </w:rPr>
        <w:tab/>
        <w:t>Stan nadzwyczajny jest ogłaszany w przypadku</w:t>
      </w:r>
      <w:r w:rsidR="00C14150">
        <w:rPr>
          <w:rFonts w:ascii="Lato" w:hAnsi="Lato"/>
        </w:rPr>
        <w:t>,</w:t>
      </w:r>
      <w:r w:rsidRPr="00C758B1">
        <w:rPr>
          <w:rFonts w:ascii="Lato" w:hAnsi="Lato"/>
        </w:rPr>
        <w:t xml:space="preserve"> gdy zastosowano wszystkie stosowne środki rynkowe, ale dostawy gazu ziemnego są</w:t>
      </w:r>
      <w:r w:rsidR="00A856C1">
        <w:rPr>
          <w:rFonts w:ascii="Lato" w:hAnsi="Lato"/>
        </w:rPr>
        <w:t xml:space="preserve"> </w:t>
      </w:r>
      <w:r w:rsidRPr="00C758B1">
        <w:rPr>
          <w:rFonts w:ascii="Lato" w:hAnsi="Lato"/>
        </w:rPr>
        <w:t>niewystarczające do zaspokojenia pozostałego zapotrzebowania na gaz ziemny, tak że jest konieczne wprowadzenie środków nierynkowych.</w:t>
      </w:r>
    </w:p>
    <w:p w14:paraId="1B8D52CA" w14:textId="2D28DEE4" w:rsidR="00A274CA" w:rsidRPr="00C758B1" w:rsidRDefault="00A274CA" w:rsidP="00A856C1">
      <w:pPr>
        <w:spacing w:line="276" w:lineRule="auto"/>
        <w:contextualSpacing/>
        <w:rPr>
          <w:rFonts w:ascii="Lato" w:hAnsi="Lato"/>
        </w:rPr>
      </w:pPr>
      <w:r w:rsidRPr="00C758B1">
        <w:rPr>
          <w:rFonts w:ascii="Lato" w:hAnsi="Lato"/>
        </w:rPr>
        <w:tab/>
        <w:t xml:space="preserve">Właściwy organ państwa członkowskiego, które ogłosiło stan nadzwyczajny, powinien niezwłocznie poinformować wszystkie pozostałe państwa członkowskie należące do </w:t>
      </w:r>
      <w:r w:rsidR="00AD18AB">
        <w:rPr>
          <w:rFonts w:ascii="Lato" w:hAnsi="Lato"/>
        </w:rPr>
        <w:t xml:space="preserve">danej </w:t>
      </w:r>
      <w:r w:rsidRPr="00C758B1">
        <w:rPr>
          <w:rFonts w:ascii="Lato" w:hAnsi="Lato"/>
        </w:rPr>
        <w:t>grupy ryzyka o wprowadzeniu tego stanu, a także o każdym wdrożonym środku lub środku, który ma zostać wdrożony, w celu zaradzenia skutkom zakłócenia w dostawach gazu ziemnego.</w:t>
      </w:r>
    </w:p>
    <w:p w14:paraId="17ADC077" w14:textId="77777777" w:rsidR="00A274CA" w:rsidRPr="00C758B1" w:rsidRDefault="00A274CA" w:rsidP="00A856C1">
      <w:pPr>
        <w:spacing w:line="276" w:lineRule="auto"/>
        <w:contextualSpacing/>
        <w:rPr>
          <w:rFonts w:ascii="Lato" w:hAnsi="Lato"/>
        </w:rPr>
      </w:pPr>
      <w:r w:rsidRPr="00C758B1">
        <w:rPr>
          <w:rFonts w:ascii="Lato" w:hAnsi="Lato"/>
        </w:rPr>
        <w:tab/>
        <w:t>Właściwy organ powinien zgłaszać wszelkie zmiany w sytuacji w systemie gazowym ze wskazaniem wszystkich przyjętych lub zaprzestanych środków, jeżeli takie istnieją. Środki nierynkowe muszą być dodatkowo wprowadzone w celu, w szczególności, zabezpieczenia dostaw gazu do odbiorców chronionych zgodnie z art. 6 rozporządzenia 2017/1938.</w:t>
      </w:r>
    </w:p>
    <w:p w14:paraId="7FBD47BB" w14:textId="60015C41" w:rsidR="00CE63C5" w:rsidRDefault="00A274CA" w:rsidP="00983C18">
      <w:pPr>
        <w:spacing w:line="276" w:lineRule="auto"/>
        <w:rPr>
          <w:rFonts w:ascii="Lato" w:hAnsi="Lato"/>
        </w:rPr>
      </w:pPr>
      <w:r w:rsidRPr="00C758B1">
        <w:rPr>
          <w:rFonts w:ascii="Lato" w:hAnsi="Lato"/>
        </w:rPr>
        <w:tab/>
        <w:t>Zgodnie z art. 11 ust. 7 rozporządzenia 2017/1938 podczas stanu nadzwyczajnego, na wniosek odpowiedniego operatora systemu przesyłowego energii elektrycznej lub gazu ziemnego, państwo członkowskie może podjąć decyzję o priorytetowym traktowaniu dostaw gazu ziemnego, do niektórych kluczowych elektrowni względem dostaw gazu ziemnego do niektórych kategorii odbiorców chronionych. W związku z powyższym, w poniższej tabeli zestawiono wykaz polskich kluczowych elektrowni i elektrociepłowni wraz z maksymalnym dobowym zużyciem gazu ziemnego przez te jednostki.</w:t>
      </w:r>
    </w:p>
    <w:p w14:paraId="2F3D2073" w14:textId="77777777" w:rsidR="00CE63C5" w:rsidRDefault="00CE63C5">
      <w:pPr>
        <w:spacing w:line="259" w:lineRule="auto"/>
        <w:jc w:val="left"/>
        <w:rPr>
          <w:rFonts w:ascii="Lato" w:hAnsi="Lato"/>
        </w:rPr>
      </w:pPr>
      <w:r>
        <w:rPr>
          <w:rFonts w:ascii="Lato" w:hAnsi="Lato"/>
        </w:rPr>
        <w:br w:type="page"/>
      </w:r>
    </w:p>
    <w:p w14:paraId="1358F790" w14:textId="67199703" w:rsidR="00A274CA" w:rsidRPr="00A856C1" w:rsidRDefault="00A274CA" w:rsidP="00A856C1">
      <w:pPr>
        <w:pStyle w:val="Legenda"/>
        <w:keepNext/>
        <w:spacing w:after="120" w:line="276" w:lineRule="auto"/>
        <w:rPr>
          <w:rFonts w:ascii="Lato" w:eastAsia="Malgun Gothic" w:hAnsi="Lato"/>
          <w:b w:val="0"/>
          <w:bCs w:val="0"/>
          <w:iCs/>
          <w:color w:val="000000" w:themeColor="text1"/>
          <w:sz w:val="22"/>
          <w:szCs w:val="22"/>
        </w:rPr>
      </w:pPr>
      <w:r w:rsidRPr="00A856C1">
        <w:rPr>
          <w:rFonts w:ascii="Lato" w:eastAsia="Malgun Gothic" w:hAnsi="Lato"/>
          <w:bCs w:val="0"/>
          <w:iCs/>
          <w:color w:val="000000" w:themeColor="text1"/>
          <w:sz w:val="22"/>
          <w:szCs w:val="22"/>
        </w:rPr>
        <w:lastRenderedPageBreak/>
        <w:t xml:space="preserve">Tabela </w:t>
      </w:r>
      <w:r w:rsidR="002C139B">
        <w:rPr>
          <w:rFonts w:ascii="Lato" w:eastAsia="Malgun Gothic" w:hAnsi="Lato"/>
          <w:bCs w:val="0"/>
          <w:iCs/>
          <w:color w:val="000000" w:themeColor="text1"/>
          <w:sz w:val="22"/>
          <w:szCs w:val="22"/>
        </w:rPr>
        <w:t>11</w:t>
      </w:r>
      <w:r w:rsidR="00AD18AB">
        <w:rPr>
          <w:rFonts w:ascii="Lato" w:eastAsia="Malgun Gothic" w:hAnsi="Lato"/>
          <w:bCs w:val="0"/>
          <w:iCs/>
          <w:color w:val="000000" w:themeColor="text1"/>
          <w:sz w:val="22"/>
          <w:szCs w:val="22"/>
        </w:rPr>
        <w:t>.</w:t>
      </w:r>
      <w:r w:rsidRPr="00A856C1">
        <w:rPr>
          <w:rFonts w:ascii="Lato" w:eastAsia="Malgun Gothic" w:hAnsi="Lato"/>
          <w:bCs w:val="0"/>
          <w:iCs/>
          <w:color w:val="000000" w:themeColor="text1"/>
          <w:sz w:val="22"/>
          <w:szCs w:val="22"/>
        </w:rPr>
        <w:t xml:space="preserve"> Zu</w:t>
      </w:r>
      <w:r w:rsidRPr="00A856C1">
        <w:rPr>
          <w:rFonts w:ascii="Lato" w:eastAsia="Malgun Gothic" w:hAnsi="Lato" w:cs="Calibri"/>
          <w:bCs w:val="0"/>
          <w:iCs/>
          <w:color w:val="000000" w:themeColor="text1"/>
          <w:sz w:val="22"/>
          <w:szCs w:val="22"/>
        </w:rPr>
        <w:t>ż</w:t>
      </w:r>
      <w:r w:rsidRPr="00A856C1">
        <w:rPr>
          <w:rFonts w:ascii="Lato" w:eastAsia="Malgun Gothic" w:hAnsi="Lato"/>
          <w:bCs w:val="0"/>
          <w:iCs/>
          <w:color w:val="000000" w:themeColor="text1"/>
          <w:sz w:val="22"/>
          <w:szCs w:val="22"/>
        </w:rPr>
        <w:t>ycie gazu ziemnego przez elektrownie i elektrociep</w:t>
      </w:r>
      <w:r w:rsidRPr="00A856C1">
        <w:rPr>
          <w:rFonts w:ascii="Lato" w:eastAsia="Malgun Gothic" w:hAnsi="Lato" w:cs="Malgun Gothic"/>
          <w:bCs w:val="0"/>
          <w:iCs/>
          <w:color w:val="000000" w:themeColor="text1"/>
          <w:sz w:val="22"/>
          <w:szCs w:val="22"/>
        </w:rPr>
        <w:t>ł</w:t>
      </w:r>
      <w:r w:rsidRPr="00A856C1">
        <w:rPr>
          <w:rFonts w:ascii="Lato" w:eastAsia="Malgun Gothic" w:hAnsi="Lato"/>
          <w:bCs w:val="0"/>
          <w:iCs/>
          <w:color w:val="000000" w:themeColor="text1"/>
          <w:sz w:val="22"/>
          <w:szCs w:val="22"/>
        </w:rPr>
        <w:t>ownie</w:t>
      </w:r>
    </w:p>
    <w:tbl>
      <w:tblPr>
        <w:tblStyle w:val="Tabela-Siatka1"/>
        <w:tblW w:w="8931" w:type="dxa"/>
        <w:jc w:val="center"/>
        <w:tblLayout w:type="fixed"/>
        <w:tblLook w:val="04A0" w:firstRow="1" w:lastRow="0" w:firstColumn="1" w:lastColumn="0" w:noHBand="0" w:noVBand="1"/>
      </w:tblPr>
      <w:tblGrid>
        <w:gridCol w:w="1702"/>
        <w:gridCol w:w="1984"/>
        <w:gridCol w:w="1843"/>
        <w:gridCol w:w="1418"/>
        <w:gridCol w:w="1984"/>
      </w:tblGrid>
      <w:tr w:rsidR="006330A8" w:rsidRPr="0064664A" w14:paraId="536E4076" w14:textId="77777777">
        <w:trPr>
          <w:trHeight w:val="704"/>
          <w:jc w:val="center"/>
        </w:trPr>
        <w:tc>
          <w:tcPr>
            <w:tcW w:w="1702" w:type="dxa"/>
            <w:vMerge w:val="restart"/>
            <w:tcBorders>
              <w:bottom w:val="single" w:sz="4" w:space="0" w:color="auto"/>
            </w:tcBorders>
            <w:vAlign w:val="center"/>
          </w:tcPr>
          <w:p w14:paraId="034EE0D9" w14:textId="77777777" w:rsidR="006330A8" w:rsidRPr="00DD5712" w:rsidRDefault="006330A8">
            <w:pPr>
              <w:spacing w:line="276" w:lineRule="auto"/>
              <w:jc w:val="center"/>
              <w:rPr>
                <w:rFonts w:ascii="Lato" w:eastAsia="Malgun Gothic" w:hAnsi="Lato"/>
                <w:b/>
                <w:bCs/>
                <w:sz w:val="16"/>
                <w:szCs w:val="16"/>
              </w:rPr>
            </w:pPr>
            <w:r w:rsidRPr="00DD5712">
              <w:rPr>
                <w:rFonts w:ascii="Lato" w:eastAsia="Malgun Gothic" w:hAnsi="Lato"/>
                <w:b/>
                <w:bCs/>
                <w:sz w:val="16"/>
                <w:szCs w:val="16"/>
              </w:rPr>
              <w:t>Jednostka</w:t>
            </w:r>
          </w:p>
        </w:tc>
        <w:tc>
          <w:tcPr>
            <w:tcW w:w="1984" w:type="dxa"/>
            <w:vMerge w:val="restart"/>
            <w:tcBorders>
              <w:bottom w:val="single" w:sz="4" w:space="0" w:color="auto"/>
            </w:tcBorders>
            <w:vAlign w:val="center"/>
          </w:tcPr>
          <w:p w14:paraId="041497B6" w14:textId="35A45629" w:rsidR="006330A8" w:rsidRPr="00DD5712" w:rsidRDefault="006330A8">
            <w:pPr>
              <w:spacing w:line="276" w:lineRule="auto"/>
              <w:jc w:val="center"/>
              <w:rPr>
                <w:rFonts w:ascii="Lato" w:eastAsia="Malgun Gothic" w:hAnsi="Lato"/>
                <w:b/>
                <w:bCs/>
                <w:sz w:val="16"/>
                <w:szCs w:val="16"/>
              </w:rPr>
            </w:pPr>
            <w:r w:rsidRPr="00DD5712">
              <w:rPr>
                <w:rFonts w:ascii="Lato" w:eastAsia="Malgun Gothic" w:hAnsi="Lato"/>
                <w:b/>
                <w:bCs/>
                <w:sz w:val="16"/>
                <w:szCs w:val="16"/>
              </w:rPr>
              <w:t>Rodzaj paliw gazow</w:t>
            </w:r>
            <w:r w:rsidR="00E270EB">
              <w:rPr>
                <w:rFonts w:ascii="Lato" w:eastAsia="Malgun Gothic" w:hAnsi="Lato"/>
                <w:b/>
                <w:bCs/>
                <w:sz w:val="16"/>
                <w:szCs w:val="16"/>
              </w:rPr>
              <w:t>ych</w:t>
            </w:r>
          </w:p>
        </w:tc>
        <w:tc>
          <w:tcPr>
            <w:tcW w:w="1843" w:type="dxa"/>
            <w:vMerge w:val="restart"/>
            <w:tcBorders>
              <w:bottom w:val="single" w:sz="4" w:space="0" w:color="auto"/>
            </w:tcBorders>
            <w:vAlign w:val="center"/>
          </w:tcPr>
          <w:p w14:paraId="250CE169" w14:textId="77777777" w:rsidR="006330A8" w:rsidRPr="00DD5712" w:rsidRDefault="006330A8">
            <w:pPr>
              <w:spacing w:line="276" w:lineRule="auto"/>
              <w:jc w:val="center"/>
              <w:rPr>
                <w:rFonts w:ascii="Lato" w:eastAsia="Malgun Gothic" w:hAnsi="Lato"/>
                <w:b/>
                <w:bCs/>
                <w:sz w:val="16"/>
                <w:szCs w:val="16"/>
              </w:rPr>
            </w:pPr>
            <w:r w:rsidRPr="00DD5712">
              <w:rPr>
                <w:rFonts w:ascii="Lato" w:eastAsia="Malgun Gothic" w:hAnsi="Lato"/>
                <w:b/>
                <w:bCs/>
                <w:sz w:val="16"/>
                <w:szCs w:val="16"/>
              </w:rPr>
              <w:t>Rodzaj jednostki wytwórczej</w:t>
            </w:r>
          </w:p>
        </w:tc>
        <w:tc>
          <w:tcPr>
            <w:tcW w:w="1418" w:type="dxa"/>
            <w:tcBorders>
              <w:bottom w:val="single" w:sz="4" w:space="0" w:color="auto"/>
            </w:tcBorders>
            <w:vAlign w:val="center"/>
          </w:tcPr>
          <w:p w14:paraId="7A303DC4" w14:textId="77777777" w:rsidR="006330A8" w:rsidRPr="00DD5712" w:rsidRDefault="006330A8">
            <w:pPr>
              <w:spacing w:line="276" w:lineRule="auto"/>
              <w:jc w:val="center"/>
              <w:rPr>
                <w:rFonts w:ascii="Lato" w:eastAsia="Malgun Gothic" w:hAnsi="Lato"/>
                <w:b/>
                <w:bCs/>
                <w:sz w:val="16"/>
                <w:szCs w:val="16"/>
              </w:rPr>
            </w:pPr>
            <w:r w:rsidRPr="00DD5712">
              <w:rPr>
                <w:rFonts w:ascii="Lato" w:eastAsia="Malgun Gothic" w:hAnsi="Lato"/>
                <w:b/>
                <w:bCs/>
                <w:sz w:val="16"/>
                <w:szCs w:val="16"/>
              </w:rPr>
              <w:t>Moc osiągalna</w:t>
            </w:r>
          </w:p>
        </w:tc>
        <w:tc>
          <w:tcPr>
            <w:tcW w:w="1984" w:type="dxa"/>
            <w:vMerge w:val="restart"/>
            <w:tcBorders>
              <w:bottom w:val="single" w:sz="4" w:space="0" w:color="auto"/>
            </w:tcBorders>
            <w:vAlign w:val="center"/>
          </w:tcPr>
          <w:p w14:paraId="27BE87D8" w14:textId="77777777" w:rsidR="006330A8" w:rsidRPr="00DD5712" w:rsidRDefault="006330A8">
            <w:pPr>
              <w:spacing w:line="276" w:lineRule="auto"/>
              <w:jc w:val="center"/>
              <w:rPr>
                <w:rFonts w:ascii="Lato" w:eastAsia="Malgun Gothic" w:hAnsi="Lato"/>
                <w:b/>
                <w:bCs/>
                <w:sz w:val="16"/>
                <w:szCs w:val="16"/>
              </w:rPr>
            </w:pPr>
            <w:r w:rsidRPr="00DD5712">
              <w:rPr>
                <w:rFonts w:ascii="Lato" w:eastAsia="Malgun Gothic" w:hAnsi="Lato"/>
                <w:b/>
                <w:bCs/>
                <w:sz w:val="16"/>
                <w:szCs w:val="16"/>
              </w:rPr>
              <w:t>Maksymalne dobowe zużycie gazu ziemnego w 2022 r. [tys. m³]</w:t>
            </w:r>
          </w:p>
        </w:tc>
      </w:tr>
      <w:tr w:rsidR="006330A8" w:rsidRPr="0064664A" w14:paraId="0F3E4518" w14:textId="77777777">
        <w:trPr>
          <w:trHeight w:val="395"/>
          <w:jc w:val="center"/>
        </w:trPr>
        <w:tc>
          <w:tcPr>
            <w:tcW w:w="1702" w:type="dxa"/>
            <w:vMerge/>
            <w:tcBorders>
              <w:bottom w:val="single" w:sz="4" w:space="0" w:color="auto"/>
            </w:tcBorders>
            <w:vAlign w:val="center"/>
          </w:tcPr>
          <w:p w14:paraId="47ABC449" w14:textId="77777777" w:rsidR="006330A8" w:rsidRPr="00DD5712" w:rsidRDefault="006330A8">
            <w:pPr>
              <w:spacing w:line="276" w:lineRule="auto"/>
              <w:jc w:val="center"/>
              <w:rPr>
                <w:rFonts w:ascii="Lato" w:hAnsi="Lato" w:cs="Arial"/>
                <w:b/>
                <w:bCs/>
                <w:sz w:val="16"/>
                <w:szCs w:val="16"/>
              </w:rPr>
            </w:pPr>
          </w:p>
        </w:tc>
        <w:tc>
          <w:tcPr>
            <w:tcW w:w="1984" w:type="dxa"/>
            <w:vMerge/>
            <w:tcBorders>
              <w:bottom w:val="single" w:sz="4" w:space="0" w:color="auto"/>
            </w:tcBorders>
            <w:vAlign w:val="center"/>
          </w:tcPr>
          <w:p w14:paraId="2396010F" w14:textId="77777777" w:rsidR="006330A8" w:rsidRPr="00DD5712" w:rsidRDefault="006330A8">
            <w:pPr>
              <w:spacing w:line="276" w:lineRule="auto"/>
              <w:jc w:val="center"/>
              <w:rPr>
                <w:rFonts w:ascii="Lato" w:hAnsi="Lato" w:cs="Arial"/>
                <w:b/>
                <w:bCs/>
                <w:sz w:val="16"/>
                <w:szCs w:val="16"/>
              </w:rPr>
            </w:pPr>
          </w:p>
        </w:tc>
        <w:tc>
          <w:tcPr>
            <w:tcW w:w="1843" w:type="dxa"/>
            <w:vMerge/>
            <w:tcBorders>
              <w:bottom w:val="single" w:sz="4" w:space="0" w:color="auto"/>
            </w:tcBorders>
            <w:vAlign w:val="center"/>
          </w:tcPr>
          <w:p w14:paraId="4CB35C70" w14:textId="77777777" w:rsidR="006330A8" w:rsidRPr="00DD5712" w:rsidRDefault="006330A8">
            <w:pPr>
              <w:spacing w:line="276" w:lineRule="auto"/>
              <w:jc w:val="center"/>
              <w:rPr>
                <w:rFonts w:ascii="Lato" w:eastAsia="Malgun Gothic" w:hAnsi="Lato"/>
                <w:b/>
                <w:bCs/>
                <w:sz w:val="16"/>
                <w:szCs w:val="16"/>
              </w:rPr>
            </w:pPr>
          </w:p>
        </w:tc>
        <w:tc>
          <w:tcPr>
            <w:tcW w:w="1418" w:type="dxa"/>
            <w:tcBorders>
              <w:bottom w:val="single" w:sz="4" w:space="0" w:color="auto"/>
            </w:tcBorders>
            <w:vAlign w:val="center"/>
          </w:tcPr>
          <w:p w14:paraId="17EE132D" w14:textId="77777777" w:rsidR="006330A8" w:rsidRPr="00DD5712" w:rsidRDefault="006330A8">
            <w:pPr>
              <w:spacing w:line="276" w:lineRule="auto"/>
              <w:jc w:val="center"/>
              <w:rPr>
                <w:rFonts w:ascii="Lato" w:eastAsia="Malgun Gothic" w:hAnsi="Lato"/>
                <w:b/>
                <w:bCs/>
                <w:sz w:val="16"/>
                <w:szCs w:val="16"/>
              </w:rPr>
            </w:pPr>
            <w:r w:rsidRPr="00DD5712">
              <w:rPr>
                <w:rFonts w:ascii="Lato" w:eastAsia="Malgun Gothic" w:hAnsi="Lato"/>
                <w:b/>
                <w:bCs/>
                <w:sz w:val="16"/>
                <w:szCs w:val="16"/>
              </w:rPr>
              <w:t>[MW]</w:t>
            </w:r>
          </w:p>
        </w:tc>
        <w:tc>
          <w:tcPr>
            <w:tcW w:w="1984" w:type="dxa"/>
            <w:vMerge/>
            <w:tcBorders>
              <w:bottom w:val="single" w:sz="4" w:space="0" w:color="auto"/>
            </w:tcBorders>
            <w:vAlign w:val="center"/>
          </w:tcPr>
          <w:p w14:paraId="23625AB3" w14:textId="77777777" w:rsidR="006330A8" w:rsidRPr="00DD5712" w:rsidRDefault="006330A8">
            <w:pPr>
              <w:spacing w:line="276" w:lineRule="auto"/>
              <w:jc w:val="center"/>
              <w:rPr>
                <w:rFonts w:ascii="Lato" w:eastAsia="Malgun Gothic" w:hAnsi="Lato"/>
                <w:b/>
                <w:bCs/>
                <w:sz w:val="16"/>
                <w:szCs w:val="16"/>
              </w:rPr>
            </w:pPr>
          </w:p>
        </w:tc>
      </w:tr>
      <w:tr w:rsidR="006330A8" w:rsidRPr="0064664A" w14:paraId="237276CB" w14:textId="77777777">
        <w:trPr>
          <w:trHeight w:val="315"/>
          <w:jc w:val="center"/>
        </w:trPr>
        <w:tc>
          <w:tcPr>
            <w:tcW w:w="1702" w:type="dxa"/>
            <w:vAlign w:val="center"/>
          </w:tcPr>
          <w:p w14:paraId="62ED68CE"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EC Płock</w:t>
            </w:r>
          </w:p>
        </w:tc>
        <w:tc>
          <w:tcPr>
            <w:tcW w:w="1984" w:type="dxa"/>
            <w:vAlign w:val="center"/>
          </w:tcPr>
          <w:p w14:paraId="48DAA4CA"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06F0C030"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JWCD</w:t>
            </w:r>
          </w:p>
        </w:tc>
        <w:tc>
          <w:tcPr>
            <w:tcW w:w="1418" w:type="dxa"/>
            <w:vAlign w:val="center"/>
          </w:tcPr>
          <w:p w14:paraId="5D09AD01"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630</w:t>
            </w:r>
          </w:p>
        </w:tc>
        <w:tc>
          <w:tcPr>
            <w:tcW w:w="1984" w:type="dxa"/>
            <w:vAlign w:val="center"/>
          </w:tcPr>
          <w:p w14:paraId="573EE8B6"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2 282</w:t>
            </w:r>
          </w:p>
        </w:tc>
      </w:tr>
      <w:tr w:rsidR="006330A8" w:rsidRPr="0064664A" w14:paraId="0A182DF6" w14:textId="77777777">
        <w:trPr>
          <w:trHeight w:val="333"/>
          <w:jc w:val="center"/>
        </w:trPr>
        <w:tc>
          <w:tcPr>
            <w:tcW w:w="1702" w:type="dxa"/>
            <w:vAlign w:val="center"/>
          </w:tcPr>
          <w:p w14:paraId="79441A11"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Rzeszów -Pasywna</w:t>
            </w:r>
          </w:p>
        </w:tc>
        <w:tc>
          <w:tcPr>
            <w:tcW w:w="1984" w:type="dxa"/>
            <w:vAlign w:val="center"/>
          </w:tcPr>
          <w:p w14:paraId="44A8F397"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2095B39C"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2A1833A7"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101</w:t>
            </w:r>
          </w:p>
        </w:tc>
        <w:tc>
          <w:tcPr>
            <w:tcW w:w="1984" w:type="dxa"/>
            <w:vAlign w:val="center"/>
          </w:tcPr>
          <w:p w14:paraId="7D82482F"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609</w:t>
            </w:r>
          </w:p>
        </w:tc>
      </w:tr>
      <w:tr w:rsidR="006330A8" w:rsidRPr="0064664A" w14:paraId="66FB6F49" w14:textId="77777777">
        <w:trPr>
          <w:trHeight w:val="315"/>
          <w:jc w:val="center"/>
        </w:trPr>
        <w:tc>
          <w:tcPr>
            <w:tcW w:w="1702" w:type="dxa"/>
            <w:vAlign w:val="center"/>
          </w:tcPr>
          <w:p w14:paraId="5CA7E5A5"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Toruń</w:t>
            </w:r>
          </w:p>
        </w:tc>
        <w:tc>
          <w:tcPr>
            <w:tcW w:w="1984" w:type="dxa"/>
            <w:vAlign w:val="center"/>
          </w:tcPr>
          <w:p w14:paraId="3021DC62"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1E107598"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787C0176"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101</w:t>
            </w:r>
          </w:p>
        </w:tc>
        <w:tc>
          <w:tcPr>
            <w:tcW w:w="1984" w:type="dxa"/>
            <w:vAlign w:val="center"/>
          </w:tcPr>
          <w:p w14:paraId="48510361"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999</w:t>
            </w:r>
          </w:p>
        </w:tc>
      </w:tr>
      <w:tr w:rsidR="006330A8" w:rsidRPr="0064664A" w14:paraId="2E4A1DF5" w14:textId="77777777">
        <w:trPr>
          <w:trHeight w:val="333"/>
          <w:jc w:val="center"/>
        </w:trPr>
        <w:tc>
          <w:tcPr>
            <w:tcW w:w="1702" w:type="dxa"/>
            <w:vAlign w:val="center"/>
          </w:tcPr>
          <w:p w14:paraId="56E9358F"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Włocławek</w:t>
            </w:r>
          </w:p>
        </w:tc>
        <w:tc>
          <w:tcPr>
            <w:tcW w:w="1984" w:type="dxa"/>
            <w:vAlign w:val="center"/>
          </w:tcPr>
          <w:p w14:paraId="4BB89A52"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040520CC"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JWCD</w:t>
            </w:r>
          </w:p>
        </w:tc>
        <w:tc>
          <w:tcPr>
            <w:tcW w:w="1418" w:type="dxa"/>
            <w:vAlign w:val="center"/>
          </w:tcPr>
          <w:p w14:paraId="53C7DFE4"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465</w:t>
            </w:r>
          </w:p>
        </w:tc>
        <w:tc>
          <w:tcPr>
            <w:tcW w:w="1984" w:type="dxa"/>
            <w:vAlign w:val="center"/>
          </w:tcPr>
          <w:p w14:paraId="35E506FE"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1 743</w:t>
            </w:r>
          </w:p>
        </w:tc>
      </w:tr>
      <w:tr w:rsidR="006330A8" w:rsidRPr="0064664A" w14:paraId="0B56CF55" w14:textId="77777777">
        <w:trPr>
          <w:trHeight w:val="315"/>
          <w:jc w:val="center"/>
        </w:trPr>
        <w:tc>
          <w:tcPr>
            <w:tcW w:w="1702" w:type="dxa"/>
            <w:vAlign w:val="center"/>
          </w:tcPr>
          <w:p w14:paraId="6C6C181E"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Wrotków -Pasywna</w:t>
            </w:r>
          </w:p>
        </w:tc>
        <w:tc>
          <w:tcPr>
            <w:tcW w:w="1984" w:type="dxa"/>
            <w:vAlign w:val="center"/>
          </w:tcPr>
          <w:p w14:paraId="09E6281E"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5D9DCC0E"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09AA2808"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231</w:t>
            </w:r>
          </w:p>
        </w:tc>
        <w:tc>
          <w:tcPr>
            <w:tcW w:w="1984" w:type="dxa"/>
            <w:vAlign w:val="center"/>
          </w:tcPr>
          <w:p w14:paraId="5FCE6072"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1 089</w:t>
            </w:r>
          </w:p>
        </w:tc>
      </w:tr>
      <w:tr w:rsidR="006330A8" w:rsidRPr="0064664A" w14:paraId="438BD5D3" w14:textId="77777777">
        <w:trPr>
          <w:trHeight w:val="315"/>
          <w:jc w:val="center"/>
        </w:trPr>
        <w:tc>
          <w:tcPr>
            <w:tcW w:w="1702" w:type="dxa"/>
            <w:vAlign w:val="center"/>
          </w:tcPr>
          <w:p w14:paraId="1C5CA229"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Zielona Góra - Pasywna</w:t>
            </w:r>
          </w:p>
        </w:tc>
        <w:tc>
          <w:tcPr>
            <w:tcW w:w="1984" w:type="dxa"/>
            <w:vAlign w:val="center"/>
          </w:tcPr>
          <w:p w14:paraId="28C5ADCD"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zaazotowany</w:t>
            </w:r>
          </w:p>
        </w:tc>
        <w:tc>
          <w:tcPr>
            <w:tcW w:w="1843" w:type="dxa"/>
            <w:vAlign w:val="center"/>
          </w:tcPr>
          <w:p w14:paraId="42A96013"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76D78121"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188</w:t>
            </w:r>
          </w:p>
        </w:tc>
        <w:tc>
          <w:tcPr>
            <w:tcW w:w="1984" w:type="dxa"/>
            <w:vAlign w:val="center"/>
          </w:tcPr>
          <w:p w14:paraId="4481D316"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1 241</w:t>
            </w:r>
          </w:p>
        </w:tc>
      </w:tr>
      <w:tr w:rsidR="006330A8" w:rsidRPr="0064664A" w14:paraId="334A2B95" w14:textId="77777777">
        <w:trPr>
          <w:trHeight w:val="333"/>
          <w:jc w:val="center"/>
        </w:trPr>
        <w:tc>
          <w:tcPr>
            <w:tcW w:w="1702" w:type="dxa"/>
            <w:vAlign w:val="center"/>
          </w:tcPr>
          <w:p w14:paraId="6696C988"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Żerań 2</w:t>
            </w:r>
          </w:p>
        </w:tc>
        <w:tc>
          <w:tcPr>
            <w:tcW w:w="1984" w:type="dxa"/>
            <w:vAlign w:val="center"/>
          </w:tcPr>
          <w:p w14:paraId="41BE43FE"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3B433C18"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JWCD</w:t>
            </w:r>
          </w:p>
        </w:tc>
        <w:tc>
          <w:tcPr>
            <w:tcW w:w="1418" w:type="dxa"/>
            <w:vAlign w:val="center"/>
          </w:tcPr>
          <w:p w14:paraId="1D652FE0"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496</w:t>
            </w:r>
          </w:p>
        </w:tc>
        <w:tc>
          <w:tcPr>
            <w:tcW w:w="1984" w:type="dxa"/>
            <w:vAlign w:val="center"/>
          </w:tcPr>
          <w:p w14:paraId="4DEA5EF8"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2 359</w:t>
            </w:r>
          </w:p>
        </w:tc>
      </w:tr>
      <w:tr w:rsidR="006330A8" w:rsidRPr="0064664A" w14:paraId="4116D3FC" w14:textId="77777777">
        <w:trPr>
          <w:trHeight w:val="315"/>
          <w:jc w:val="center"/>
        </w:trPr>
        <w:tc>
          <w:tcPr>
            <w:tcW w:w="1702" w:type="dxa"/>
            <w:vAlign w:val="center"/>
          </w:tcPr>
          <w:p w14:paraId="3F76C4A7" w14:textId="77777777" w:rsidR="006330A8" w:rsidRPr="00DD5712" w:rsidRDefault="006330A8" w:rsidP="005D73BF">
            <w:pPr>
              <w:spacing w:line="276" w:lineRule="auto"/>
              <w:jc w:val="center"/>
              <w:rPr>
                <w:rFonts w:ascii="Lato" w:eastAsia="Malgun Gothic" w:hAnsi="Lato"/>
                <w:sz w:val="16"/>
                <w:szCs w:val="16"/>
              </w:rPr>
            </w:pPr>
            <w:r w:rsidRPr="00DD5712">
              <w:rPr>
                <w:rFonts w:ascii="Lato" w:hAnsi="Lato" w:cs="Arial"/>
                <w:sz w:val="16"/>
                <w:szCs w:val="16"/>
              </w:rPr>
              <w:t>Gorzów</w:t>
            </w:r>
          </w:p>
        </w:tc>
        <w:tc>
          <w:tcPr>
            <w:tcW w:w="1984" w:type="dxa"/>
            <w:vAlign w:val="center"/>
          </w:tcPr>
          <w:p w14:paraId="4A63061F"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zaazotowany</w:t>
            </w:r>
          </w:p>
        </w:tc>
        <w:tc>
          <w:tcPr>
            <w:tcW w:w="1843" w:type="dxa"/>
            <w:vAlign w:val="center"/>
          </w:tcPr>
          <w:p w14:paraId="53EEA9BA"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05F235F1"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70</w:t>
            </w:r>
          </w:p>
        </w:tc>
        <w:tc>
          <w:tcPr>
            <w:tcW w:w="1984" w:type="dxa"/>
            <w:vMerge w:val="restart"/>
            <w:vAlign w:val="center"/>
          </w:tcPr>
          <w:p w14:paraId="380C0B35"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1 348</w:t>
            </w:r>
          </w:p>
        </w:tc>
      </w:tr>
      <w:tr w:rsidR="006330A8" w:rsidRPr="0064664A" w14:paraId="206B58FB" w14:textId="77777777">
        <w:trPr>
          <w:trHeight w:val="315"/>
          <w:jc w:val="center"/>
        </w:trPr>
        <w:tc>
          <w:tcPr>
            <w:tcW w:w="1702" w:type="dxa"/>
            <w:vAlign w:val="center"/>
          </w:tcPr>
          <w:p w14:paraId="23CF3B52"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EC Gorzów</w:t>
            </w:r>
          </w:p>
        </w:tc>
        <w:tc>
          <w:tcPr>
            <w:tcW w:w="1984" w:type="dxa"/>
            <w:vAlign w:val="center"/>
          </w:tcPr>
          <w:p w14:paraId="60238B49"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zaazotowany oraz wysokometanowy</w:t>
            </w:r>
          </w:p>
        </w:tc>
        <w:tc>
          <w:tcPr>
            <w:tcW w:w="1843" w:type="dxa"/>
            <w:vAlign w:val="center"/>
          </w:tcPr>
          <w:p w14:paraId="4EA348D5"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692E00FF"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138</w:t>
            </w:r>
          </w:p>
        </w:tc>
        <w:tc>
          <w:tcPr>
            <w:tcW w:w="1984" w:type="dxa"/>
            <w:vMerge/>
            <w:vAlign w:val="center"/>
          </w:tcPr>
          <w:p w14:paraId="24E92CE0" w14:textId="77777777" w:rsidR="006330A8" w:rsidRPr="00DD5712" w:rsidRDefault="006330A8">
            <w:pPr>
              <w:spacing w:line="276" w:lineRule="auto"/>
              <w:jc w:val="center"/>
              <w:rPr>
                <w:rFonts w:ascii="Lato" w:eastAsia="Malgun Gothic" w:hAnsi="Lato"/>
                <w:sz w:val="16"/>
                <w:szCs w:val="16"/>
              </w:rPr>
            </w:pPr>
          </w:p>
        </w:tc>
      </w:tr>
      <w:tr w:rsidR="006330A8" w:rsidRPr="0064664A" w14:paraId="34592F45" w14:textId="77777777">
        <w:trPr>
          <w:trHeight w:val="315"/>
          <w:jc w:val="center"/>
        </w:trPr>
        <w:tc>
          <w:tcPr>
            <w:tcW w:w="1702" w:type="dxa"/>
            <w:vAlign w:val="center"/>
          </w:tcPr>
          <w:p w14:paraId="51415339" w14:textId="77777777" w:rsidR="006330A8" w:rsidRPr="00DD5712" w:rsidRDefault="006330A8">
            <w:pPr>
              <w:spacing w:line="276" w:lineRule="auto"/>
              <w:jc w:val="center"/>
              <w:rPr>
                <w:rFonts w:ascii="Lato" w:hAnsi="Lato" w:cs="Arial"/>
                <w:sz w:val="16"/>
                <w:szCs w:val="16"/>
              </w:rPr>
            </w:pPr>
            <w:r w:rsidRPr="00DD5712">
              <w:rPr>
                <w:rFonts w:ascii="Lato" w:hAnsi="Lato" w:cs="Arial"/>
                <w:sz w:val="16"/>
                <w:szCs w:val="16"/>
              </w:rPr>
              <w:t>Nowa Sarzyna - Pasywna</w:t>
            </w:r>
          </w:p>
        </w:tc>
        <w:tc>
          <w:tcPr>
            <w:tcW w:w="1984" w:type="dxa"/>
            <w:vAlign w:val="center"/>
          </w:tcPr>
          <w:p w14:paraId="52229AD5"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149AB127"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nJWCD</w:t>
            </w:r>
          </w:p>
        </w:tc>
        <w:tc>
          <w:tcPr>
            <w:tcW w:w="1418" w:type="dxa"/>
            <w:vAlign w:val="center"/>
          </w:tcPr>
          <w:p w14:paraId="0D8ADB7F"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129</w:t>
            </w:r>
          </w:p>
        </w:tc>
        <w:tc>
          <w:tcPr>
            <w:tcW w:w="1984" w:type="dxa"/>
            <w:vAlign w:val="center"/>
          </w:tcPr>
          <w:p w14:paraId="23133EB3"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590</w:t>
            </w:r>
          </w:p>
        </w:tc>
      </w:tr>
      <w:tr w:rsidR="006330A8" w:rsidRPr="0064664A" w14:paraId="034F5884" w14:textId="77777777">
        <w:trPr>
          <w:trHeight w:val="315"/>
          <w:jc w:val="center"/>
        </w:trPr>
        <w:tc>
          <w:tcPr>
            <w:tcW w:w="1702" w:type="dxa"/>
            <w:vAlign w:val="center"/>
          </w:tcPr>
          <w:p w14:paraId="5C774687" w14:textId="77777777" w:rsidR="006330A8" w:rsidRPr="00DD5712" w:rsidRDefault="006330A8">
            <w:pPr>
              <w:spacing w:line="276" w:lineRule="auto"/>
              <w:jc w:val="center"/>
              <w:rPr>
                <w:rFonts w:ascii="Lato" w:hAnsi="Lato" w:cs="Arial"/>
                <w:sz w:val="16"/>
                <w:szCs w:val="16"/>
              </w:rPr>
            </w:pPr>
            <w:r w:rsidRPr="00DD5712">
              <w:rPr>
                <w:rFonts w:ascii="Lato" w:hAnsi="Lato" w:cs="Arial"/>
                <w:sz w:val="16"/>
                <w:szCs w:val="16"/>
              </w:rPr>
              <w:t>Stalowa Wola 4</w:t>
            </w:r>
          </w:p>
        </w:tc>
        <w:tc>
          <w:tcPr>
            <w:tcW w:w="1984" w:type="dxa"/>
            <w:vAlign w:val="center"/>
          </w:tcPr>
          <w:p w14:paraId="66D9886D"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Gaz ziemny wysokometanowy</w:t>
            </w:r>
          </w:p>
        </w:tc>
        <w:tc>
          <w:tcPr>
            <w:tcW w:w="1843" w:type="dxa"/>
            <w:vAlign w:val="center"/>
          </w:tcPr>
          <w:p w14:paraId="4253A034" w14:textId="77777777" w:rsidR="006330A8" w:rsidRPr="00DD5712" w:rsidRDefault="006330A8">
            <w:pPr>
              <w:spacing w:line="276" w:lineRule="auto"/>
              <w:jc w:val="center"/>
              <w:rPr>
                <w:rFonts w:ascii="Lato" w:eastAsia="Malgun Gothic" w:hAnsi="Lato"/>
                <w:sz w:val="16"/>
                <w:szCs w:val="16"/>
              </w:rPr>
            </w:pPr>
            <w:r w:rsidRPr="00DD5712">
              <w:rPr>
                <w:rFonts w:ascii="Lato" w:hAnsi="Lato" w:cs="Arial"/>
                <w:sz w:val="16"/>
                <w:szCs w:val="16"/>
              </w:rPr>
              <w:t>JWCD</w:t>
            </w:r>
          </w:p>
        </w:tc>
        <w:tc>
          <w:tcPr>
            <w:tcW w:w="1418" w:type="dxa"/>
            <w:vAlign w:val="center"/>
          </w:tcPr>
          <w:p w14:paraId="1D35C63B"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450</w:t>
            </w:r>
          </w:p>
        </w:tc>
        <w:tc>
          <w:tcPr>
            <w:tcW w:w="1984" w:type="dxa"/>
            <w:vAlign w:val="center"/>
          </w:tcPr>
          <w:p w14:paraId="33028905" w14:textId="77777777" w:rsidR="006330A8" w:rsidRPr="00DD5712" w:rsidRDefault="006330A8">
            <w:pPr>
              <w:spacing w:line="276" w:lineRule="auto"/>
              <w:jc w:val="center"/>
              <w:rPr>
                <w:rFonts w:ascii="Lato" w:eastAsia="Malgun Gothic" w:hAnsi="Lato"/>
                <w:sz w:val="16"/>
                <w:szCs w:val="16"/>
              </w:rPr>
            </w:pPr>
            <w:r w:rsidRPr="00DD5712">
              <w:rPr>
                <w:rFonts w:ascii="Lato" w:eastAsia="Malgun Gothic" w:hAnsi="Lato"/>
                <w:sz w:val="16"/>
                <w:szCs w:val="16"/>
              </w:rPr>
              <w:t>1 539</w:t>
            </w:r>
          </w:p>
        </w:tc>
      </w:tr>
    </w:tbl>
    <w:p w14:paraId="1CD1FBC0" w14:textId="77777777" w:rsidR="006330A8" w:rsidRPr="00DD5712" w:rsidRDefault="006330A8" w:rsidP="00631250">
      <w:pPr>
        <w:spacing w:before="120" w:after="120" w:line="276" w:lineRule="auto"/>
        <w:contextualSpacing/>
        <w:rPr>
          <w:rFonts w:ascii="Lato" w:hAnsi="Lato"/>
          <w:i/>
          <w:iCs/>
          <w:sz w:val="16"/>
          <w:szCs w:val="16"/>
        </w:rPr>
      </w:pPr>
      <w:r w:rsidRPr="00DD5712">
        <w:rPr>
          <w:rFonts w:ascii="Lato" w:hAnsi="Lato"/>
          <w:i/>
          <w:iCs/>
          <w:sz w:val="16"/>
          <w:szCs w:val="16"/>
        </w:rPr>
        <w:t>JWCD – Jednostka wytwórcza centralnie dysponowana</w:t>
      </w:r>
    </w:p>
    <w:p w14:paraId="3A37FF38" w14:textId="0D617C94" w:rsidR="00A274CA" w:rsidRPr="00631250" w:rsidRDefault="006330A8" w:rsidP="00631250">
      <w:pPr>
        <w:spacing w:before="120" w:after="120" w:line="276" w:lineRule="auto"/>
        <w:contextualSpacing/>
        <w:rPr>
          <w:rFonts w:ascii="Lato" w:hAnsi="Lato"/>
          <w:i/>
          <w:iCs/>
          <w:sz w:val="16"/>
          <w:szCs w:val="16"/>
        </w:rPr>
      </w:pPr>
      <w:r w:rsidRPr="00DD5712">
        <w:rPr>
          <w:rFonts w:ascii="Lato" w:hAnsi="Lato"/>
          <w:i/>
          <w:iCs/>
          <w:sz w:val="16"/>
          <w:szCs w:val="16"/>
        </w:rPr>
        <w:t>nJWCD – Jednostka wytwórcza nie będąca jednostką centralnie dysponowaną</w:t>
      </w:r>
    </w:p>
    <w:p w14:paraId="786C30D6" w14:textId="317D19ED" w:rsidR="00B03DBA" w:rsidRPr="00C758B1" w:rsidRDefault="00FE6CEA" w:rsidP="00631250">
      <w:pPr>
        <w:pStyle w:val="Rozdzia2"/>
        <w:spacing w:after="120"/>
        <w:rPr>
          <w:rFonts w:ascii="Lato" w:hAnsi="Lato"/>
        </w:rPr>
      </w:pPr>
      <w:bookmarkStart w:id="316" w:name="_Toc140489042"/>
      <w:bookmarkStart w:id="317" w:name="_Toc140581034"/>
      <w:bookmarkStart w:id="318" w:name="_Toc140489043"/>
      <w:bookmarkStart w:id="319" w:name="_Toc140581035"/>
      <w:bookmarkStart w:id="320" w:name="_Toc140489044"/>
      <w:bookmarkStart w:id="321" w:name="_Toc140581036"/>
      <w:bookmarkStart w:id="322" w:name="_Toc140489062"/>
      <w:bookmarkStart w:id="323" w:name="_Toc140581054"/>
      <w:bookmarkStart w:id="324" w:name="_Toc142469588"/>
      <w:bookmarkEnd w:id="316"/>
      <w:bookmarkEnd w:id="317"/>
      <w:bookmarkEnd w:id="318"/>
      <w:bookmarkEnd w:id="319"/>
      <w:bookmarkEnd w:id="320"/>
      <w:bookmarkEnd w:id="321"/>
      <w:bookmarkEnd w:id="322"/>
      <w:bookmarkEnd w:id="323"/>
      <w:r>
        <w:rPr>
          <w:rFonts w:ascii="Lato" w:hAnsi="Lato"/>
        </w:rPr>
        <w:t>Współpraca w ramach grup ryzyka</w:t>
      </w:r>
      <w:bookmarkEnd w:id="324"/>
    </w:p>
    <w:p w14:paraId="17972B0F" w14:textId="77777777" w:rsidR="00A274CA" w:rsidRDefault="00C7771E" w:rsidP="00983C18">
      <w:pPr>
        <w:pStyle w:val="Tekstzwyky"/>
        <w:rPr>
          <w:rFonts w:ascii="Lato" w:hAnsi="Lato"/>
        </w:rPr>
      </w:pPr>
      <w:r w:rsidRPr="00C758B1">
        <w:rPr>
          <w:rFonts w:ascii="Lato" w:hAnsi="Lato"/>
        </w:rPr>
        <w:tab/>
      </w:r>
      <w:r w:rsidR="00A274CA" w:rsidRPr="00C758B1">
        <w:rPr>
          <w:rFonts w:ascii="Lato" w:hAnsi="Lato"/>
        </w:rPr>
        <w:t xml:space="preserve">Polska jest członkiem białoruskiej, ukraińskiej, północno-wschodniej, duńskiej oraz norweskiej grupy ryzyka. Państwa członkowskie będące członkami każdej z grup ryzyka współpracują ze sobą, a także przekazują informacje mogące mieć wpływ na funkcjonowanie rynku gazu w państwach członkowskich grupy. Aby zapewnić bezpieczeństwo dostaw gazu ziemnego, wprowadzono odpowiednie mechanizmy współpracy obejmujące procedury związane z komunikacją oraz przekazywaniem informacji. </w:t>
      </w:r>
    </w:p>
    <w:p w14:paraId="174FF3AE" w14:textId="5045C33E" w:rsidR="00CE63C5" w:rsidRDefault="00AD18AB" w:rsidP="00983C18">
      <w:pPr>
        <w:pStyle w:val="Tekstzwyky"/>
        <w:rPr>
          <w:rFonts w:ascii="Lato" w:hAnsi="Lato"/>
        </w:rPr>
      </w:pPr>
      <w:r>
        <w:rPr>
          <w:rFonts w:ascii="Lato" w:hAnsi="Lato"/>
        </w:rPr>
        <w:tab/>
      </w:r>
      <w:r w:rsidRPr="00C758B1">
        <w:rPr>
          <w:rFonts w:ascii="Lato" w:hAnsi="Lato"/>
        </w:rPr>
        <w:t>Szybka i skuteczna wymiana informacji między właściwymi organami państw członkowskich należących do grupy ryzyka jest kluczowym elementem radzenia sobie z potencjalnymi konsekwencjami zakłóceń w dostawach w tak zróżnicowanym regionie.</w:t>
      </w:r>
    </w:p>
    <w:p w14:paraId="1F5FFEA9" w14:textId="77777777" w:rsidR="00CE63C5" w:rsidRDefault="00CE63C5">
      <w:pPr>
        <w:spacing w:line="259" w:lineRule="auto"/>
        <w:jc w:val="left"/>
        <w:rPr>
          <w:rFonts w:ascii="Lato" w:hAnsi="Lato" w:cs="Times New Roman"/>
          <w:color w:val="000000" w:themeColor="text1"/>
          <w:szCs w:val="24"/>
        </w:rPr>
      </w:pPr>
      <w:r>
        <w:rPr>
          <w:rFonts w:ascii="Lato" w:hAnsi="Lato"/>
        </w:rPr>
        <w:br w:type="page"/>
      </w:r>
    </w:p>
    <w:p w14:paraId="691913A0" w14:textId="61D0F8EF" w:rsidR="00A274CA" w:rsidRPr="00FA13F0" w:rsidRDefault="00A274CA" w:rsidP="00983C18">
      <w:pPr>
        <w:pStyle w:val="Rozdzia3"/>
        <w:rPr>
          <w:rFonts w:ascii="Lato" w:hAnsi="Lato"/>
        </w:rPr>
      </w:pPr>
      <w:bookmarkStart w:id="325" w:name="_Toc142469589"/>
      <w:r w:rsidRPr="00C758B1">
        <w:rPr>
          <w:rFonts w:ascii="Lato" w:hAnsi="Lato"/>
        </w:rPr>
        <w:lastRenderedPageBreak/>
        <w:t>Mechanizmy współpracy</w:t>
      </w:r>
      <w:bookmarkEnd w:id="325"/>
    </w:p>
    <w:p w14:paraId="2D0D3C4D" w14:textId="79CABB3F" w:rsidR="00A274CA" w:rsidRPr="00C758B1" w:rsidRDefault="00A274CA" w:rsidP="005C1A8A">
      <w:pPr>
        <w:pStyle w:val="Rozdzia4"/>
        <w:spacing w:before="120" w:after="120"/>
        <w:rPr>
          <w:rFonts w:ascii="Lato" w:hAnsi="Lato"/>
        </w:rPr>
      </w:pPr>
      <w:r w:rsidRPr="00C758B1">
        <w:rPr>
          <w:rFonts w:ascii="Lato" w:hAnsi="Lato"/>
        </w:rPr>
        <w:t>Procedury w ramach Systemu Koordynacji Regionalnej ds. gazu</w:t>
      </w:r>
      <w:r w:rsidR="00AD18AB">
        <w:rPr>
          <w:rFonts w:ascii="Lato" w:hAnsi="Lato"/>
        </w:rPr>
        <w:t xml:space="preserve"> </w:t>
      </w:r>
      <w:r w:rsidRPr="00C758B1">
        <w:rPr>
          <w:rFonts w:ascii="Lato" w:hAnsi="Lato"/>
        </w:rPr>
        <w:t xml:space="preserve"> </w:t>
      </w:r>
    </w:p>
    <w:p w14:paraId="60F1023F" w14:textId="77777777" w:rsidR="00A274CA" w:rsidRPr="00C758B1" w:rsidRDefault="00A274CA" w:rsidP="00A856C1">
      <w:pPr>
        <w:spacing w:before="240" w:after="0" w:line="276" w:lineRule="auto"/>
        <w:ind w:firstLine="708"/>
        <w:rPr>
          <w:rFonts w:ascii="Lato" w:hAnsi="Lato"/>
        </w:rPr>
      </w:pPr>
      <w:r w:rsidRPr="00C758B1">
        <w:rPr>
          <w:rFonts w:ascii="Lato" w:hAnsi="Lato"/>
        </w:rPr>
        <w:t>Zgodnie z art. 3 ust. 6 rozporządzenia 2017/1938, rola Systemu Koordynacji Regionalnej do spraw Gazu (ReCo System) ustanowionego przez ENTSOG i składającego się ze stałych grup ekspertów, w celu współpracy i wymiany informacji między operatorami systemów przesyłowych w przypadku wystąpienia sytuacji nadzwyczajnej o zasięgu regionalnym lub unijnym, jest bardzo znacząca. ReCo System uważany jest za środek zapobiegawczy. Każdy środek oferowany przez ReCo System może zostać przyjęty w zależności od skali, w której zdarzenie zostało sklasyfikowane.</w:t>
      </w:r>
    </w:p>
    <w:p w14:paraId="375E71FD" w14:textId="06D94FA7" w:rsidR="00A274CA" w:rsidRPr="00C14150" w:rsidRDefault="00A274CA" w:rsidP="005C1A8A">
      <w:pPr>
        <w:pStyle w:val="Rozdzia4"/>
        <w:spacing w:before="120" w:after="120"/>
        <w:rPr>
          <w:rFonts w:ascii="Lato" w:hAnsi="Lato"/>
          <w:sz w:val="24"/>
          <w:szCs w:val="24"/>
        </w:rPr>
      </w:pPr>
      <w:r w:rsidRPr="00C14150">
        <w:rPr>
          <w:rFonts w:ascii="Lato" w:hAnsi="Lato"/>
          <w:sz w:val="24"/>
          <w:szCs w:val="24"/>
        </w:rPr>
        <w:t xml:space="preserve">Solidarność między państwami członkowskimi </w:t>
      </w:r>
    </w:p>
    <w:p w14:paraId="4AB14444" w14:textId="4F144CEB" w:rsidR="00A274CA" w:rsidRPr="00C758B1" w:rsidRDefault="00A274CA" w:rsidP="005C1A8A">
      <w:pPr>
        <w:spacing w:line="276" w:lineRule="auto"/>
        <w:ind w:firstLine="708"/>
        <w:contextualSpacing/>
        <w:rPr>
          <w:rFonts w:ascii="Lato" w:hAnsi="Lato"/>
        </w:rPr>
      </w:pPr>
      <w:r w:rsidRPr="00C758B1">
        <w:rPr>
          <w:rFonts w:ascii="Lato" w:hAnsi="Lato"/>
        </w:rPr>
        <w:t>Jeżeli państwo członkowskie nie jest w stanie pokryć deficytu w dostawach gazu</w:t>
      </w:r>
      <w:r w:rsidR="00AD18AB">
        <w:rPr>
          <w:rFonts w:ascii="Lato" w:hAnsi="Lato"/>
        </w:rPr>
        <w:t xml:space="preserve"> ziemnego</w:t>
      </w:r>
      <w:r w:rsidRPr="00C758B1">
        <w:rPr>
          <w:rFonts w:ascii="Lato" w:hAnsi="Lato"/>
        </w:rPr>
        <w:t xml:space="preserve"> do swoich odbiorców chronionych w ramach solidarności, mimo wyczerpania wszystkich środków rynkowych i wszystkich innych środków przewidzianych w </w:t>
      </w:r>
      <w:r w:rsidRPr="005C1A8A">
        <w:rPr>
          <w:rFonts w:ascii="Lato" w:hAnsi="Lato"/>
          <w:i/>
          <w:iCs/>
        </w:rPr>
        <w:t>Planie na wypadek sytuacji nadzwyczajnej</w:t>
      </w:r>
      <w:r w:rsidRPr="00C758B1">
        <w:rPr>
          <w:rFonts w:ascii="Lato" w:hAnsi="Lato"/>
        </w:rPr>
        <w:t xml:space="preserve">, zgodnie z przepisami art. 13 rozporządzenia (UE) 2017/1938, właściwy organ tego państwa członkowskiego może zwrócić się o zastosowanie mechanizmu solidarności, zgłaszając wniosek </w:t>
      </w:r>
      <w:r w:rsidR="005C1A8A">
        <w:rPr>
          <w:rFonts w:ascii="Lato" w:hAnsi="Lato"/>
        </w:rPr>
        <w:t xml:space="preserve">do </w:t>
      </w:r>
      <w:r w:rsidRPr="00C758B1">
        <w:rPr>
          <w:rFonts w:ascii="Lato" w:hAnsi="Lato"/>
        </w:rPr>
        <w:t>KE i właściwy</w:t>
      </w:r>
      <w:r w:rsidR="005C1A8A">
        <w:rPr>
          <w:rFonts w:ascii="Lato" w:hAnsi="Lato"/>
        </w:rPr>
        <w:t>ch</w:t>
      </w:r>
      <w:r w:rsidRPr="00C758B1">
        <w:rPr>
          <w:rFonts w:ascii="Lato" w:hAnsi="Lato"/>
        </w:rPr>
        <w:t xml:space="preserve"> organ</w:t>
      </w:r>
      <w:r w:rsidR="005C1A8A">
        <w:rPr>
          <w:rFonts w:ascii="Lato" w:hAnsi="Lato"/>
        </w:rPr>
        <w:t>ów</w:t>
      </w:r>
      <w:r w:rsidRPr="00C758B1">
        <w:rPr>
          <w:rFonts w:ascii="Lato" w:hAnsi="Lato"/>
        </w:rPr>
        <w:t xml:space="preserve"> wszystkich państw członkowskich, z którymi jest bezpośrednio połączony lub połączony jest za pośrednictwem państwa trzeciego.</w:t>
      </w:r>
    </w:p>
    <w:p w14:paraId="5E192060" w14:textId="3FFA2A17" w:rsidR="00A274CA" w:rsidRPr="00C758B1" w:rsidRDefault="00A274CA" w:rsidP="005C1A8A">
      <w:pPr>
        <w:spacing w:line="276" w:lineRule="auto"/>
        <w:contextualSpacing/>
        <w:rPr>
          <w:rFonts w:ascii="Lato" w:hAnsi="Lato"/>
        </w:rPr>
      </w:pPr>
      <w:r w:rsidRPr="00C758B1">
        <w:rPr>
          <w:rFonts w:ascii="Lato" w:hAnsi="Lato"/>
        </w:rPr>
        <w:tab/>
        <w:t xml:space="preserve">Właściwy organ </w:t>
      </w:r>
      <w:r w:rsidR="005C1A8A">
        <w:rPr>
          <w:rFonts w:ascii="Lato" w:hAnsi="Lato"/>
        </w:rPr>
        <w:t xml:space="preserve">państwa wnioskującego </w:t>
      </w:r>
      <w:r w:rsidRPr="00C758B1">
        <w:rPr>
          <w:rFonts w:ascii="Lato" w:hAnsi="Lato"/>
        </w:rPr>
        <w:t>powinien również niezwłocznie poinformować właściwe organy wszystkich państw członkowskich należących do grupy ryzyka o zgłoszonym wniosku.</w:t>
      </w:r>
    </w:p>
    <w:p w14:paraId="086800ED" w14:textId="70A80173" w:rsidR="00A274CA" w:rsidRPr="00C758B1" w:rsidRDefault="005C1A8A" w:rsidP="005C1A8A">
      <w:pPr>
        <w:pStyle w:val="Tekstzwyky"/>
        <w:rPr>
          <w:rFonts w:ascii="Lato" w:hAnsi="Lato"/>
        </w:rPr>
      </w:pPr>
      <w:r>
        <w:rPr>
          <w:rFonts w:ascii="Lato" w:hAnsi="Lato"/>
        </w:rPr>
        <w:br w:type="page"/>
      </w:r>
    </w:p>
    <w:p w14:paraId="5B0EDFE0" w14:textId="4A78F231" w:rsidR="00B03DBA" w:rsidRPr="00631250" w:rsidRDefault="006A139A" w:rsidP="00983C18">
      <w:pPr>
        <w:pStyle w:val="Nagwek1"/>
        <w:numPr>
          <w:ilvl w:val="0"/>
          <w:numId w:val="1"/>
        </w:numPr>
        <w:spacing w:after="240" w:line="276" w:lineRule="auto"/>
        <w:rPr>
          <w:rFonts w:ascii="Lato" w:hAnsi="Lato"/>
          <w:sz w:val="28"/>
          <w:szCs w:val="28"/>
        </w:rPr>
      </w:pPr>
      <w:bookmarkStart w:id="326" w:name="_Toc140489067"/>
      <w:bookmarkStart w:id="327" w:name="_Toc140581059"/>
      <w:bookmarkStart w:id="328" w:name="_Toc140489068"/>
      <w:bookmarkStart w:id="329" w:name="_Toc140581060"/>
      <w:bookmarkStart w:id="330" w:name="_Toc140489069"/>
      <w:bookmarkStart w:id="331" w:name="_Toc140581061"/>
      <w:bookmarkStart w:id="332" w:name="_Toc140489070"/>
      <w:bookmarkStart w:id="333" w:name="_Toc140581062"/>
      <w:bookmarkStart w:id="334" w:name="_Toc140489071"/>
      <w:bookmarkStart w:id="335" w:name="_Toc140581063"/>
      <w:bookmarkStart w:id="336" w:name="_Toc140489072"/>
      <w:bookmarkStart w:id="337" w:name="_Toc140581064"/>
      <w:bookmarkStart w:id="338" w:name="_Toc140489073"/>
      <w:bookmarkStart w:id="339" w:name="_Toc140581065"/>
      <w:bookmarkStart w:id="340" w:name="_Toc140489074"/>
      <w:bookmarkStart w:id="341" w:name="_Toc140581066"/>
      <w:bookmarkStart w:id="342" w:name="_Toc140489075"/>
      <w:bookmarkStart w:id="343" w:name="_Toc140581067"/>
      <w:bookmarkStart w:id="344" w:name="_Toc140489076"/>
      <w:bookmarkStart w:id="345" w:name="_Toc140581068"/>
      <w:bookmarkStart w:id="346" w:name="_Toc140489077"/>
      <w:bookmarkStart w:id="347" w:name="_Toc140581069"/>
      <w:bookmarkStart w:id="348" w:name="_Toc140489078"/>
      <w:bookmarkStart w:id="349" w:name="_Toc140581070"/>
      <w:bookmarkStart w:id="350" w:name="_Toc140489079"/>
      <w:bookmarkStart w:id="351" w:name="_Toc140581071"/>
      <w:bookmarkStart w:id="352" w:name="_Toc140489080"/>
      <w:bookmarkStart w:id="353" w:name="_Toc140581072"/>
      <w:bookmarkStart w:id="354" w:name="_Toc140489081"/>
      <w:bookmarkStart w:id="355" w:name="_Toc140581073"/>
      <w:bookmarkStart w:id="356" w:name="_Toc140489082"/>
      <w:bookmarkStart w:id="357" w:name="_Toc140581074"/>
      <w:bookmarkStart w:id="358" w:name="_Toc140489083"/>
      <w:bookmarkStart w:id="359" w:name="_Toc140581075"/>
      <w:bookmarkStart w:id="360" w:name="_Toc140489084"/>
      <w:bookmarkStart w:id="361" w:name="_Toc140581076"/>
      <w:bookmarkStart w:id="362" w:name="_Toc140489085"/>
      <w:bookmarkStart w:id="363" w:name="_Toc140581077"/>
      <w:bookmarkStart w:id="364" w:name="_Toc140489086"/>
      <w:bookmarkStart w:id="365" w:name="_Toc140581078"/>
      <w:bookmarkStart w:id="366" w:name="_Toc140489087"/>
      <w:bookmarkStart w:id="367" w:name="_Toc140581079"/>
      <w:bookmarkStart w:id="368" w:name="_Toc140489088"/>
      <w:bookmarkStart w:id="369" w:name="_Toc140581080"/>
      <w:bookmarkStart w:id="370" w:name="_Toc140489089"/>
      <w:bookmarkStart w:id="371" w:name="_Toc140581081"/>
      <w:bookmarkStart w:id="372" w:name="_Toc140489090"/>
      <w:bookmarkStart w:id="373" w:name="_Toc140581082"/>
      <w:bookmarkStart w:id="374" w:name="_Toc140489091"/>
      <w:bookmarkStart w:id="375" w:name="_Toc140581083"/>
      <w:bookmarkStart w:id="376" w:name="_Toc140489092"/>
      <w:bookmarkStart w:id="377" w:name="_Toc140581084"/>
      <w:bookmarkStart w:id="378" w:name="_Toc140489093"/>
      <w:bookmarkStart w:id="379" w:name="_Toc140581085"/>
      <w:bookmarkStart w:id="380" w:name="_Toc140489096"/>
      <w:bookmarkStart w:id="381" w:name="_Toc140581088"/>
      <w:bookmarkStart w:id="382" w:name="_Toc140489097"/>
      <w:bookmarkStart w:id="383" w:name="_Toc140581089"/>
      <w:bookmarkStart w:id="384" w:name="_Toc140489098"/>
      <w:bookmarkStart w:id="385" w:name="_Toc140581090"/>
      <w:bookmarkStart w:id="386" w:name="_Toc140489151"/>
      <w:bookmarkStart w:id="387" w:name="_Toc140581143"/>
      <w:bookmarkStart w:id="388" w:name="_Toc140489152"/>
      <w:bookmarkStart w:id="389" w:name="_Toc140581144"/>
      <w:bookmarkStart w:id="390" w:name="_Toc140489153"/>
      <w:bookmarkStart w:id="391" w:name="_Toc140581145"/>
      <w:bookmarkStart w:id="392" w:name="_Toc140489154"/>
      <w:bookmarkStart w:id="393" w:name="_Toc140581146"/>
      <w:bookmarkStart w:id="394" w:name="_Toc140489155"/>
      <w:bookmarkStart w:id="395" w:name="_Toc140581147"/>
      <w:bookmarkStart w:id="396" w:name="_Toc140489156"/>
      <w:bookmarkStart w:id="397" w:name="_Toc140581148"/>
      <w:bookmarkStart w:id="398" w:name="_Toc140489157"/>
      <w:bookmarkStart w:id="399" w:name="_Toc140581149"/>
      <w:bookmarkStart w:id="400" w:name="_Toc140489158"/>
      <w:bookmarkStart w:id="401" w:name="_Toc140581150"/>
      <w:bookmarkStart w:id="402" w:name="_Toc140489159"/>
      <w:bookmarkStart w:id="403" w:name="_Toc140581151"/>
      <w:bookmarkStart w:id="404" w:name="_Toc140489181"/>
      <w:bookmarkStart w:id="405" w:name="_Toc140581173"/>
      <w:bookmarkStart w:id="406" w:name="_Toc140489182"/>
      <w:bookmarkStart w:id="407" w:name="_Toc140581174"/>
      <w:bookmarkStart w:id="408" w:name="_Toc140489183"/>
      <w:bookmarkStart w:id="409" w:name="_Toc140581175"/>
      <w:bookmarkStart w:id="410" w:name="_Toc140489184"/>
      <w:bookmarkStart w:id="411" w:name="_Toc140581176"/>
      <w:bookmarkStart w:id="412" w:name="_Toc140489185"/>
      <w:bookmarkStart w:id="413" w:name="_Toc140581177"/>
      <w:bookmarkStart w:id="414" w:name="_Toc140489186"/>
      <w:bookmarkStart w:id="415" w:name="_Toc140581178"/>
      <w:bookmarkStart w:id="416" w:name="_Toc140489187"/>
      <w:bookmarkStart w:id="417" w:name="_Toc140581179"/>
      <w:bookmarkStart w:id="418" w:name="_Toc140489188"/>
      <w:bookmarkStart w:id="419" w:name="_Toc140581180"/>
      <w:bookmarkStart w:id="420" w:name="_Toc140489189"/>
      <w:bookmarkStart w:id="421" w:name="_Toc140581181"/>
      <w:bookmarkStart w:id="422" w:name="_Toc140489190"/>
      <w:bookmarkStart w:id="423" w:name="_Toc140581182"/>
      <w:bookmarkStart w:id="424" w:name="_Toc140489191"/>
      <w:bookmarkStart w:id="425" w:name="_Toc140581183"/>
      <w:bookmarkStart w:id="426" w:name="_Toc140489192"/>
      <w:bookmarkStart w:id="427" w:name="_Toc140581184"/>
      <w:bookmarkStart w:id="428" w:name="_Toc140489193"/>
      <w:bookmarkStart w:id="429" w:name="_Toc140581185"/>
      <w:bookmarkStart w:id="430" w:name="_Toc140489194"/>
      <w:bookmarkStart w:id="431" w:name="_Toc140581186"/>
      <w:bookmarkStart w:id="432" w:name="_Toc140489195"/>
      <w:bookmarkStart w:id="433" w:name="_Toc140581187"/>
      <w:bookmarkStart w:id="434" w:name="_Toc140489196"/>
      <w:bookmarkStart w:id="435" w:name="_Toc140581188"/>
      <w:bookmarkStart w:id="436" w:name="_Toc140489197"/>
      <w:bookmarkStart w:id="437" w:name="_Toc140581189"/>
      <w:bookmarkStart w:id="438" w:name="_Toc140489198"/>
      <w:bookmarkStart w:id="439" w:name="_Toc140581190"/>
      <w:bookmarkStart w:id="440" w:name="_Toc140489199"/>
      <w:bookmarkStart w:id="441" w:name="_Toc140581191"/>
      <w:bookmarkStart w:id="442" w:name="_Toc140489200"/>
      <w:bookmarkStart w:id="443" w:name="_Toc140581192"/>
      <w:bookmarkStart w:id="444" w:name="_Toc140489201"/>
      <w:bookmarkStart w:id="445" w:name="_Toc140581193"/>
      <w:bookmarkStart w:id="446" w:name="_Toc140489202"/>
      <w:bookmarkStart w:id="447" w:name="_Toc140581194"/>
      <w:bookmarkStart w:id="448" w:name="_Toc140489203"/>
      <w:bookmarkStart w:id="449" w:name="_Toc140581195"/>
      <w:bookmarkStart w:id="450" w:name="_Toc140489204"/>
      <w:bookmarkStart w:id="451" w:name="_Toc140581196"/>
      <w:bookmarkStart w:id="452" w:name="_Toc140489205"/>
      <w:bookmarkStart w:id="453" w:name="_Toc140581197"/>
      <w:bookmarkStart w:id="454" w:name="_Toc140489206"/>
      <w:bookmarkStart w:id="455" w:name="_Toc140581198"/>
      <w:bookmarkStart w:id="456" w:name="_Toc140489207"/>
      <w:bookmarkStart w:id="457" w:name="_Toc140581199"/>
      <w:bookmarkStart w:id="458" w:name="_Toc140489208"/>
      <w:bookmarkStart w:id="459" w:name="_Toc140581200"/>
      <w:bookmarkStart w:id="460" w:name="_Toc140489209"/>
      <w:bookmarkStart w:id="461" w:name="_Toc140581201"/>
      <w:bookmarkStart w:id="462" w:name="_Toc140489210"/>
      <w:bookmarkStart w:id="463" w:name="_Toc140581202"/>
      <w:bookmarkStart w:id="464" w:name="_Toc140489211"/>
      <w:bookmarkStart w:id="465" w:name="_Toc140581203"/>
      <w:bookmarkStart w:id="466" w:name="_Toc140489212"/>
      <w:bookmarkStart w:id="467" w:name="_Toc140581204"/>
      <w:bookmarkStart w:id="468" w:name="_Toc140489213"/>
      <w:bookmarkStart w:id="469" w:name="_Toc140581205"/>
      <w:bookmarkStart w:id="470" w:name="_Toc140489214"/>
      <w:bookmarkStart w:id="471" w:name="_Toc140581206"/>
      <w:bookmarkStart w:id="472" w:name="_Toc140489217"/>
      <w:bookmarkStart w:id="473" w:name="_Toc140581209"/>
      <w:bookmarkStart w:id="474" w:name="_Toc140489218"/>
      <w:bookmarkStart w:id="475" w:name="_Toc140581210"/>
      <w:bookmarkStart w:id="476" w:name="_Toc140489219"/>
      <w:bookmarkStart w:id="477" w:name="_Toc140581211"/>
      <w:bookmarkStart w:id="478" w:name="_Toc140489220"/>
      <w:bookmarkStart w:id="479" w:name="_Toc140581212"/>
      <w:bookmarkStart w:id="480" w:name="_Toc140489221"/>
      <w:bookmarkStart w:id="481" w:name="_Toc140581213"/>
      <w:bookmarkStart w:id="482" w:name="_Toc140489274"/>
      <w:bookmarkStart w:id="483" w:name="_Toc140581266"/>
      <w:bookmarkStart w:id="484" w:name="_Toc140489275"/>
      <w:bookmarkStart w:id="485" w:name="_Toc140581267"/>
      <w:bookmarkStart w:id="486" w:name="_Toc140489276"/>
      <w:bookmarkStart w:id="487" w:name="_Toc140581268"/>
      <w:bookmarkStart w:id="488" w:name="_Toc140489277"/>
      <w:bookmarkStart w:id="489" w:name="_Toc140581269"/>
      <w:bookmarkStart w:id="490" w:name="_Toc140489278"/>
      <w:bookmarkStart w:id="491" w:name="_Toc140581270"/>
      <w:bookmarkStart w:id="492" w:name="_Toc140489279"/>
      <w:bookmarkStart w:id="493" w:name="_Toc140581271"/>
      <w:bookmarkStart w:id="494" w:name="_Toc140489280"/>
      <w:bookmarkStart w:id="495" w:name="_Toc140581272"/>
      <w:bookmarkStart w:id="496" w:name="_Toc140489281"/>
      <w:bookmarkStart w:id="497" w:name="_Toc140581273"/>
      <w:bookmarkStart w:id="498" w:name="_Toc140489282"/>
      <w:bookmarkStart w:id="499" w:name="_Toc140581274"/>
      <w:bookmarkStart w:id="500" w:name="_Toc140489283"/>
      <w:bookmarkStart w:id="501" w:name="_Toc140581275"/>
      <w:bookmarkStart w:id="502" w:name="_Toc140489284"/>
      <w:bookmarkStart w:id="503" w:name="_Toc140581276"/>
      <w:bookmarkStart w:id="504" w:name="_Toc140489285"/>
      <w:bookmarkStart w:id="505" w:name="_Toc140581277"/>
      <w:bookmarkStart w:id="506" w:name="_Toc140489286"/>
      <w:bookmarkStart w:id="507" w:name="_Toc140581278"/>
      <w:bookmarkStart w:id="508" w:name="_Toc140489287"/>
      <w:bookmarkStart w:id="509" w:name="_Toc140581279"/>
      <w:bookmarkStart w:id="510" w:name="_Toc142469590"/>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sidRPr="00631250">
        <w:rPr>
          <w:rFonts w:ascii="Lato" w:hAnsi="Lato"/>
          <w:sz w:val="28"/>
          <w:szCs w:val="28"/>
        </w:rPr>
        <w:lastRenderedPageBreak/>
        <w:t>Sprawozdawczość</w:t>
      </w:r>
      <w:bookmarkEnd w:id="510"/>
    </w:p>
    <w:p w14:paraId="3BDD0477" w14:textId="153AEEE2" w:rsidR="006A139A" w:rsidRPr="00C758B1" w:rsidRDefault="00935443" w:rsidP="005C1A8A">
      <w:pPr>
        <w:pStyle w:val="Tekstzwyky"/>
        <w:rPr>
          <w:rFonts w:ascii="Lato" w:hAnsi="Lato"/>
        </w:rPr>
      </w:pPr>
      <w:r w:rsidRPr="00C758B1">
        <w:rPr>
          <w:rFonts w:ascii="Lato" w:hAnsi="Lato"/>
        </w:rPr>
        <w:tab/>
      </w:r>
      <w:r w:rsidR="006A139A" w:rsidRPr="00C758B1">
        <w:rPr>
          <w:rFonts w:ascii="Lato" w:hAnsi="Lato"/>
        </w:rPr>
        <w:t xml:space="preserve">Podmioty realizujące działania wskazane w tabeli 18 niniejszego Planu, zobowiązane są do składania </w:t>
      </w:r>
      <w:r w:rsidR="00AD18AB">
        <w:rPr>
          <w:rFonts w:ascii="Lato" w:hAnsi="Lato"/>
        </w:rPr>
        <w:t xml:space="preserve">ministrowi właściwemu do spraw energii </w:t>
      </w:r>
      <w:r w:rsidR="006A139A" w:rsidRPr="00C758B1">
        <w:rPr>
          <w:rFonts w:ascii="Lato" w:hAnsi="Lato"/>
        </w:rPr>
        <w:t xml:space="preserve">kwartalnych sprawozdań z realizacji działań służących poprawie bezpieczeństwa dostaw gazu ziemnego. Sprawozdania te zawierają harmonogram prac, przewidywany termin zakończenia inwestycji, zagrożenia dla realizacji inwestycji zidentyfikowane przez podmiot realizujący oraz jej wpływ na scenariusze kryzysowe zidentyfikowane w aktualnej </w:t>
      </w:r>
      <w:r w:rsidR="006A139A" w:rsidRPr="005C1A8A">
        <w:rPr>
          <w:rFonts w:ascii="Lato" w:hAnsi="Lato"/>
          <w:i/>
          <w:iCs/>
        </w:rPr>
        <w:t>Ocenie ryzyka</w:t>
      </w:r>
      <w:r w:rsidR="006A139A" w:rsidRPr="00C758B1">
        <w:rPr>
          <w:rFonts w:ascii="Lato" w:hAnsi="Lato"/>
        </w:rPr>
        <w:t xml:space="preserve"> oraz </w:t>
      </w:r>
      <w:r w:rsidR="006A139A" w:rsidRPr="005C1A8A">
        <w:rPr>
          <w:rFonts w:ascii="Lato" w:hAnsi="Lato"/>
          <w:i/>
          <w:iCs/>
        </w:rPr>
        <w:t>Planie działań zapobiegawczych</w:t>
      </w:r>
      <w:r w:rsidR="006A139A" w:rsidRPr="00C758B1">
        <w:rPr>
          <w:rFonts w:ascii="Lato" w:hAnsi="Lato"/>
        </w:rPr>
        <w:t>.</w:t>
      </w:r>
    </w:p>
    <w:p w14:paraId="3F540425" w14:textId="76D9AB4E" w:rsidR="006A139A" w:rsidRPr="00C758B1" w:rsidRDefault="00935443" w:rsidP="005C1A8A">
      <w:pPr>
        <w:pStyle w:val="Tekstzwyky"/>
        <w:rPr>
          <w:rFonts w:ascii="Lato" w:hAnsi="Lato"/>
        </w:rPr>
      </w:pPr>
      <w:r w:rsidRPr="00C758B1">
        <w:rPr>
          <w:rFonts w:ascii="Lato" w:hAnsi="Lato"/>
        </w:rPr>
        <w:tab/>
      </w:r>
      <w:r w:rsidR="006A139A" w:rsidRPr="00C758B1">
        <w:rPr>
          <w:rFonts w:ascii="Lato" w:hAnsi="Lato"/>
        </w:rPr>
        <w:t xml:space="preserve">Ponadto do dnia 1 września każdego roku operator systemu przesyłowego w porozumieniu z </w:t>
      </w:r>
      <w:r w:rsidR="00C14150">
        <w:rPr>
          <w:rFonts w:ascii="Lato" w:hAnsi="Lato"/>
        </w:rPr>
        <w:t>przedsiębiorstwami</w:t>
      </w:r>
      <w:r w:rsidR="006A139A" w:rsidRPr="00C758B1">
        <w:rPr>
          <w:rFonts w:ascii="Lato" w:hAnsi="Lato"/>
        </w:rPr>
        <w:t xml:space="preserve"> dokonującymi przywozu gazu ziemnego na terytorium Polski przygotowuje dla organu właściwego raport dotyczący przygotowania systemu gazowego do sezonu zimowego z uwzględnieniem analizy pokrycia szczytowego zapotrzebowania na gaz ziemny w warunkach bezawaryjnych.</w:t>
      </w:r>
    </w:p>
    <w:p w14:paraId="64AF7F5F" w14:textId="77777777" w:rsidR="00B03DBA" w:rsidRPr="00C758B1" w:rsidRDefault="00B03DBA" w:rsidP="00983C18">
      <w:pPr>
        <w:spacing w:line="276" w:lineRule="auto"/>
        <w:rPr>
          <w:rFonts w:ascii="Lato" w:hAnsi="Lato"/>
        </w:rPr>
      </w:pPr>
    </w:p>
    <w:sectPr w:rsidR="00B03DBA" w:rsidRPr="00C758B1" w:rsidSect="00B03DBA">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D34AD" w14:textId="77777777" w:rsidR="00164A38" w:rsidRDefault="00164A38">
      <w:pPr>
        <w:spacing w:after="0"/>
      </w:pPr>
      <w:r>
        <w:separator/>
      </w:r>
    </w:p>
  </w:endnote>
  <w:endnote w:type="continuationSeparator" w:id="0">
    <w:p w14:paraId="215F0EAE" w14:textId="77777777" w:rsidR="00164A38" w:rsidRDefault="00164A38">
      <w:pPr>
        <w:spacing w:after="0"/>
      </w:pPr>
      <w:r>
        <w:continuationSeparator/>
      </w:r>
    </w:p>
  </w:endnote>
  <w:endnote w:type="continuationNotice" w:id="1">
    <w:p w14:paraId="10CF0D1E" w14:textId="77777777" w:rsidR="00164A38" w:rsidRDefault="00164A3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EE"/>
    <w:family w:val="roman"/>
    <w:pitch w:val="variable"/>
    <w:sig w:usb0="E00006FF" w:usb1="420024FF" w:usb2="02000000" w:usb3="00000000" w:csb0="0000019F" w:csb1="00000000"/>
  </w:font>
  <w:font w:name="Lato">
    <w:panose1 w:val="020F0502020204030203"/>
    <w:charset w:val="EE"/>
    <w:family w:val="swiss"/>
    <w:pitch w:val="variable"/>
    <w:sig w:usb0="800000AF" w:usb1="4000604A" w:usb2="00000000" w:usb3="00000000" w:csb0="00000093" w:csb1="00000000"/>
  </w:font>
  <w:font w:name="EUAlbertina">
    <w:altName w:val="EU Albertina"/>
    <w:panose1 w:val="00000000000000000000"/>
    <w:charset w:val="EE"/>
    <w:family w:val="roman"/>
    <w:notTrueType/>
    <w:pitch w:val="default"/>
    <w:sig w:usb0="00000005" w:usb1="00000000" w:usb2="00000000" w:usb3="00000000" w:csb0="00000002" w:csb1="00000000"/>
  </w:font>
  <w:font w:name="Century Gothic">
    <w:panose1 w:val="020B0502020202020204"/>
    <w:charset w:val="EE"/>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Helv">
    <w:panose1 w:val="020B0604020202030204"/>
    <w:charset w:val="00"/>
    <w:family w:val="swiss"/>
    <w:pitch w:val="variable"/>
    <w:sig w:usb0="00000003" w:usb1="00000000" w:usb2="00000000" w:usb3="00000000" w:csb0="00000001" w:csb1="00000000"/>
  </w:font>
  <w:font w:name="TimesNewRomanPSMT">
    <w:altName w:val="Times New Roman"/>
    <w:charset w:val="00"/>
    <w:family w:val="auto"/>
    <w:pitch w:val="variable"/>
    <w:sig w:usb0="00000000" w:usb1="C0007841"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796554"/>
      <w:docPartObj>
        <w:docPartGallery w:val="Page Numbers (Bottom of Page)"/>
        <w:docPartUnique/>
      </w:docPartObj>
    </w:sdtPr>
    <w:sdtEndPr>
      <w:rPr>
        <w:rFonts w:ascii="Century Gothic" w:hAnsi="Century Gothic"/>
        <w:sz w:val="20"/>
        <w:szCs w:val="20"/>
      </w:rPr>
    </w:sdtEndPr>
    <w:sdtContent>
      <w:p w14:paraId="210D68D1" w14:textId="77777777" w:rsidR="006E2831" w:rsidRPr="00F523DE" w:rsidRDefault="006E2831">
        <w:pPr>
          <w:pStyle w:val="Stopka"/>
          <w:jc w:val="center"/>
          <w:rPr>
            <w:rFonts w:ascii="Century Gothic" w:hAnsi="Century Gothic"/>
            <w:sz w:val="20"/>
            <w:szCs w:val="20"/>
          </w:rPr>
        </w:pPr>
        <w:r w:rsidRPr="00F523DE">
          <w:rPr>
            <w:rFonts w:ascii="Century Gothic" w:hAnsi="Century Gothic"/>
            <w:sz w:val="20"/>
            <w:szCs w:val="20"/>
          </w:rPr>
          <w:fldChar w:fldCharType="begin"/>
        </w:r>
        <w:r w:rsidRPr="00F523DE">
          <w:rPr>
            <w:rFonts w:ascii="Century Gothic" w:hAnsi="Century Gothic"/>
            <w:sz w:val="20"/>
            <w:szCs w:val="20"/>
          </w:rPr>
          <w:instrText>PAGE   \* MERGEFORMAT</w:instrText>
        </w:r>
        <w:r w:rsidRPr="00F523DE">
          <w:rPr>
            <w:rFonts w:ascii="Century Gothic" w:hAnsi="Century Gothic"/>
            <w:sz w:val="20"/>
            <w:szCs w:val="20"/>
          </w:rPr>
          <w:fldChar w:fldCharType="separate"/>
        </w:r>
        <w:r w:rsidRPr="00F523DE">
          <w:rPr>
            <w:rFonts w:ascii="Century Gothic" w:hAnsi="Century Gothic"/>
            <w:noProof/>
            <w:sz w:val="20"/>
            <w:szCs w:val="20"/>
          </w:rPr>
          <w:t>2</w:t>
        </w:r>
        <w:r w:rsidRPr="00F523DE">
          <w:rPr>
            <w:rFonts w:ascii="Century Gothic" w:hAnsi="Century Gothic"/>
            <w:sz w:val="20"/>
            <w:szCs w:val="20"/>
          </w:rPr>
          <w:fldChar w:fldCharType="end"/>
        </w:r>
      </w:p>
    </w:sdtContent>
  </w:sdt>
  <w:p w14:paraId="1A7AE9E0" w14:textId="77777777" w:rsidR="006E2831" w:rsidRDefault="006E28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73C63D92" w14:textId="77777777" w:rsidTr="25DB566B">
      <w:trPr>
        <w:trHeight w:val="300"/>
      </w:trPr>
      <w:tc>
        <w:tcPr>
          <w:tcW w:w="3070" w:type="dxa"/>
        </w:tcPr>
        <w:p w14:paraId="21AB1E36" w14:textId="6F921C7C" w:rsidR="25DB566B" w:rsidRDefault="25DB566B" w:rsidP="25DB566B">
          <w:pPr>
            <w:pStyle w:val="Nagwek"/>
            <w:ind w:left="-115"/>
          </w:pPr>
        </w:p>
      </w:tc>
      <w:tc>
        <w:tcPr>
          <w:tcW w:w="3070" w:type="dxa"/>
        </w:tcPr>
        <w:p w14:paraId="3CA3F10A" w14:textId="5F87E46A" w:rsidR="25DB566B" w:rsidRDefault="25DB566B" w:rsidP="25DB566B">
          <w:pPr>
            <w:pStyle w:val="Nagwek"/>
            <w:jc w:val="center"/>
          </w:pPr>
        </w:p>
      </w:tc>
      <w:tc>
        <w:tcPr>
          <w:tcW w:w="3070" w:type="dxa"/>
        </w:tcPr>
        <w:p w14:paraId="0A44D1E3" w14:textId="60C37B9D" w:rsidR="25DB566B" w:rsidRDefault="25DB566B" w:rsidP="25DB566B">
          <w:pPr>
            <w:pStyle w:val="Nagwek"/>
            <w:ind w:right="-115"/>
            <w:jc w:val="right"/>
          </w:pPr>
        </w:p>
      </w:tc>
    </w:tr>
  </w:tbl>
  <w:p w14:paraId="4491A288" w14:textId="7AD05DBC" w:rsidR="00B52AF3" w:rsidRDefault="00B52AF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02C136A9" w14:textId="77777777" w:rsidTr="25DB566B">
      <w:trPr>
        <w:trHeight w:val="300"/>
      </w:trPr>
      <w:tc>
        <w:tcPr>
          <w:tcW w:w="3070" w:type="dxa"/>
        </w:tcPr>
        <w:p w14:paraId="47DA5C2E" w14:textId="03AFB88E" w:rsidR="25DB566B" w:rsidRDefault="25DB566B" w:rsidP="25DB566B">
          <w:pPr>
            <w:pStyle w:val="Nagwek"/>
            <w:ind w:left="-115"/>
          </w:pPr>
        </w:p>
      </w:tc>
      <w:tc>
        <w:tcPr>
          <w:tcW w:w="3070" w:type="dxa"/>
        </w:tcPr>
        <w:p w14:paraId="1B7E29B8" w14:textId="4A228A25" w:rsidR="25DB566B" w:rsidRDefault="25DB566B" w:rsidP="25DB566B">
          <w:pPr>
            <w:pStyle w:val="Nagwek"/>
            <w:jc w:val="center"/>
          </w:pPr>
        </w:p>
      </w:tc>
      <w:tc>
        <w:tcPr>
          <w:tcW w:w="3070" w:type="dxa"/>
        </w:tcPr>
        <w:p w14:paraId="22E67F3B" w14:textId="56C58003" w:rsidR="25DB566B" w:rsidRDefault="25DB566B" w:rsidP="25DB566B">
          <w:pPr>
            <w:pStyle w:val="Nagwek"/>
            <w:ind w:right="-115"/>
            <w:jc w:val="right"/>
          </w:pPr>
        </w:p>
      </w:tc>
    </w:tr>
  </w:tbl>
  <w:p w14:paraId="6B612F9A" w14:textId="415A9FB7" w:rsidR="00B52AF3" w:rsidRDefault="00B52AF3">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39E10DEF" w14:textId="77777777" w:rsidTr="25DB566B">
      <w:trPr>
        <w:trHeight w:val="300"/>
      </w:trPr>
      <w:tc>
        <w:tcPr>
          <w:tcW w:w="3070" w:type="dxa"/>
        </w:tcPr>
        <w:p w14:paraId="2BB7083E" w14:textId="11531406" w:rsidR="25DB566B" w:rsidRDefault="25DB566B" w:rsidP="25DB566B">
          <w:pPr>
            <w:pStyle w:val="Nagwek"/>
            <w:ind w:left="-115"/>
          </w:pPr>
        </w:p>
      </w:tc>
      <w:tc>
        <w:tcPr>
          <w:tcW w:w="3070" w:type="dxa"/>
        </w:tcPr>
        <w:p w14:paraId="4F57CF62" w14:textId="7CC48ABA" w:rsidR="25DB566B" w:rsidRDefault="25DB566B" w:rsidP="25DB566B">
          <w:pPr>
            <w:pStyle w:val="Nagwek"/>
            <w:jc w:val="center"/>
          </w:pPr>
        </w:p>
      </w:tc>
      <w:tc>
        <w:tcPr>
          <w:tcW w:w="3070" w:type="dxa"/>
        </w:tcPr>
        <w:p w14:paraId="4647A592" w14:textId="393AFD1A" w:rsidR="25DB566B" w:rsidRDefault="25DB566B" w:rsidP="25DB566B">
          <w:pPr>
            <w:pStyle w:val="Nagwek"/>
            <w:ind w:right="-115"/>
            <w:jc w:val="right"/>
          </w:pPr>
        </w:p>
      </w:tc>
    </w:tr>
  </w:tbl>
  <w:p w14:paraId="74204ED3" w14:textId="6056B445" w:rsidR="00B52AF3" w:rsidRDefault="00B52AF3">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067393E" w14:paraId="086C285F" w14:textId="77777777" w:rsidTr="25DB566B">
      <w:trPr>
        <w:trHeight w:val="300"/>
      </w:trPr>
      <w:tc>
        <w:tcPr>
          <w:tcW w:w="3070" w:type="dxa"/>
        </w:tcPr>
        <w:p w14:paraId="506E22EC" w14:textId="77777777" w:rsidR="0067393E" w:rsidRDefault="0067393E" w:rsidP="25DB566B">
          <w:pPr>
            <w:pStyle w:val="Nagwek"/>
            <w:ind w:left="-115"/>
          </w:pPr>
        </w:p>
      </w:tc>
      <w:tc>
        <w:tcPr>
          <w:tcW w:w="3070" w:type="dxa"/>
        </w:tcPr>
        <w:p w14:paraId="2C3EA774" w14:textId="77777777" w:rsidR="0067393E" w:rsidRDefault="0067393E" w:rsidP="25DB566B">
          <w:pPr>
            <w:pStyle w:val="Nagwek"/>
            <w:jc w:val="center"/>
          </w:pPr>
        </w:p>
      </w:tc>
      <w:tc>
        <w:tcPr>
          <w:tcW w:w="3070" w:type="dxa"/>
        </w:tcPr>
        <w:p w14:paraId="7AAAE04F" w14:textId="77777777" w:rsidR="0067393E" w:rsidRDefault="0067393E" w:rsidP="25DB566B">
          <w:pPr>
            <w:pStyle w:val="Nagwek"/>
            <w:ind w:right="-115"/>
            <w:jc w:val="right"/>
          </w:pPr>
        </w:p>
      </w:tc>
    </w:tr>
  </w:tbl>
  <w:p w14:paraId="385566C1" w14:textId="77777777" w:rsidR="0067393E" w:rsidRDefault="0067393E">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7A817F6D" w14:textId="77777777" w:rsidTr="25DB566B">
      <w:trPr>
        <w:trHeight w:val="300"/>
      </w:trPr>
      <w:tc>
        <w:tcPr>
          <w:tcW w:w="3070" w:type="dxa"/>
        </w:tcPr>
        <w:p w14:paraId="05305C45" w14:textId="57E9F651" w:rsidR="25DB566B" w:rsidRDefault="25DB566B" w:rsidP="25DB566B">
          <w:pPr>
            <w:pStyle w:val="Nagwek"/>
            <w:ind w:left="-115"/>
          </w:pPr>
        </w:p>
      </w:tc>
      <w:tc>
        <w:tcPr>
          <w:tcW w:w="3070" w:type="dxa"/>
        </w:tcPr>
        <w:p w14:paraId="3E2B2DBC" w14:textId="338F5173" w:rsidR="25DB566B" w:rsidRDefault="25DB566B" w:rsidP="25DB566B">
          <w:pPr>
            <w:pStyle w:val="Nagwek"/>
            <w:jc w:val="center"/>
          </w:pPr>
        </w:p>
      </w:tc>
      <w:tc>
        <w:tcPr>
          <w:tcW w:w="3070" w:type="dxa"/>
        </w:tcPr>
        <w:p w14:paraId="788CC9F1" w14:textId="1E183FAB" w:rsidR="25DB566B" w:rsidRDefault="25DB566B" w:rsidP="25DB566B">
          <w:pPr>
            <w:pStyle w:val="Nagwek"/>
            <w:ind w:right="-115"/>
            <w:jc w:val="right"/>
          </w:pPr>
        </w:p>
      </w:tc>
    </w:tr>
  </w:tbl>
  <w:p w14:paraId="30A71C8C" w14:textId="2C0F98F0" w:rsidR="00B52AF3" w:rsidRDefault="00B52AF3">
    <w:pPr>
      <w:pStyle w:val="Stopk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4DA3" w14:textId="77777777" w:rsidR="002E3ED1" w:rsidRDefault="002E3ED1">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462505"/>
      <w:docPartObj>
        <w:docPartGallery w:val="Page Numbers (Bottom of Page)"/>
        <w:docPartUnique/>
      </w:docPartObj>
    </w:sdtPr>
    <w:sdtContent>
      <w:p w14:paraId="3261BEBA" w14:textId="4D294C9E" w:rsidR="00786A20" w:rsidRDefault="00786A20">
        <w:pPr>
          <w:pStyle w:val="Stopka"/>
          <w:jc w:val="center"/>
        </w:pPr>
        <w:r>
          <w:fldChar w:fldCharType="begin"/>
        </w:r>
        <w:r>
          <w:instrText>PAGE   \* MERGEFORMAT</w:instrText>
        </w:r>
        <w:r>
          <w:fldChar w:fldCharType="separate"/>
        </w:r>
        <w:r w:rsidR="0091640B">
          <w:rPr>
            <w:noProof/>
          </w:rPr>
          <w:t>65</w:t>
        </w:r>
        <w:r>
          <w:fldChar w:fldCharType="end"/>
        </w:r>
      </w:p>
    </w:sdtContent>
  </w:sdt>
  <w:p w14:paraId="6ADEC4F4" w14:textId="77777777" w:rsidR="00786A20" w:rsidRDefault="00786A2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F739" w14:textId="77777777" w:rsidR="00786A20" w:rsidRDefault="00786A20">
    <w:pPr>
      <w:pStyle w:val="Stopka"/>
    </w:pPr>
    <w:r>
      <w:tab/>
    </w:r>
    <w:r w:rsidRPr="00914B49">
      <w:rPr>
        <w:color w:val="FFFFFF" w:themeColor="background1"/>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DE2F7" w14:textId="77777777" w:rsidR="00164A38" w:rsidRDefault="00164A38">
      <w:pPr>
        <w:spacing w:after="0"/>
      </w:pPr>
      <w:r>
        <w:separator/>
      </w:r>
    </w:p>
  </w:footnote>
  <w:footnote w:type="continuationSeparator" w:id="0">
    <w:p w14:paraId="7B81C5B5" w14:textId="77777777" w:rsidR="00164A38" w:rsidRDefault="00164A38">
      <w:pPr>
        <w:spacing w:after="0"/>
      </w:pPr>
      <w:r>
        <w:continuationSeparator/>
      </w:r>
    </w:p>
  </w:footnote>
  <w:footnote w:type="continuationNotice" w:id="1">
    <w:p w14:paraId="2CD679A8" w14:textId="77777777" w:rsidR="00164A38" w:rsidRDefault="00164A38">
      <w:pPr>
        <w:spacing w:after="0"/>
      </w:pPr>
    </w:p>
  </w:footnote>
  <w:footnote w:id="2">
    <w:p w14:paraId="2DC40C25" w14:textId="4A715276" w:rsidR="004F42B0" w:rsidRPr="00727892" w:rsidRDefault="004F42B0" w:rsidP="004F42B0">
      <w:pPr>
        <w:pStyle w:val="Tekstprzypisudolnego"/>
        <w:jc w:val="both"/>
        <w:rPr>
          <w:rFonts w:ascii="Lato" w:hAnsi="Lato"/>
          <w:sz w:val="18"/>
          <w:szCs w:val="18"/>
        </w:rPr>
      </w:pPr>
      <w:r w:rsidRPr="00727892">
        <w:rPr>
          <w:rStyle w:val="Odwoanieprzypisudolnego"/>
          <w:rFonts w:ascii="Lato" w:hAnsi="Lato"/>
          <w:sz w:val="18"/>
          <w:szCs w:val="18"/>
        </w:rPr>
        <w:footnoteRef/>
      </w:r>
      <w:r w:rsidRPr="00727892">
        <w:rPr>
          <w:rFonts w:ascii="Lato" w:hAnsi="Lato"/>
          <w:sz w:val="18"/>
          <w:szCs w:val="18"/>
        </w:rPr>
        <w:t xml:space="preserve"> W dniu 2 listopada 2022 r. do Krajowego Rejestru Sądowego </w:t>
      </w:r>
      <w:r w:rsidR="00782DD6">
        <w:rPr>
          <w:rFonts w:ascii="Lato" w:hAnsi="Lato"/>
          <w:sz w:val="18"/>
          <w:szCs w:val="18"/>
        </w:rPr>
        <w:t xml:space="preserve">wpisano </w:t>
      </w:r>
      <w:r w:rsidRPr="00727892">
        <w:rPr>
          <w:rFonts w:ascii="Lato" w:hAnsi="Lato"/>
          <w:sz w:val="18"/>
          <w:szCs w:val="18"/>
        </w:rPr>
        <w:t>połączenie spółki PGNiG S.A. z PKN Orlen S.A. – mając na względzie, że połączenie spółek PGNiG S.A. i PKN Orlen S.A. nastąpiło w IV kw. 2022 r. w niniejszym dokumencie działania prowadzone przez przejętą spółkę prezentowana będzie jeszcze pod nazwą PGNiG S.A.</w:t>
      </w:r>
    </w:p>
  </w:footnote>
  <w:footnote w:id="3">
    <w:p w14:paraId="7E8EFCEE" w14:textId="413B9EEB" w:rsidR="00786A20" w:rsidRPr="00727892" w:rsidRDefault="00786A20" w:rsidP="003043BB">
      <w:pPr>
        <w:pStyle w:val="Tekstprzypisudolnego"/>
        <w:rPr>
          <w:rFonts w:ascii="Lato" w:hAnsi="Lato"/>
          <w:sz w:val="18"/>
          <w:szCs w:val="18"/>
        </w:rPr>
      </w:pPr>
      <w:r w:rsidRPr="00727892">
        <w:rPr>
          <w:rStyle w:val="Odwoanieprzypisudolnego"/>
          <w:rFonts w:ascii="Lato" w:hAnsi="Lato"/>
          <w:sz w:val="18"/>
          <w:szCs w:val="18"/>
        </w:rPr>
        <w:footnoteRef/>
      </w:r>
      <w:r w:rsidRPr="00727892">
        <w:rPr>
          <w:rFonts w:ascii="Lato" w:hAnsi="Lato"/>
          <w:sz w:val="18"/>
          <w:szCs w:val="18"/>
        </w:rPr>
        <w:t xml:space="preserve"> Zdolność odbioru z instalacji magazynowych przy pojemności odpowiadającej wielkości zapasów obowiązkowych</w:t>
      </w:r>
      <w:r w:rsidR="00727892">
        <w:rPr>
          <w:rFonts w:ascii="Lato" w:hAnsi="Lato"/>
          <w:sz w:val="18"/>
          <w:szCs w:val="18"/>
        </w:rPr>
        <w:t>.</w:t>
      </w:r>
    </w:p>
  </w:footnote>
  <w:footnote w:id="4">
    <w:p w14:paraId="2EB04D08" w14:textId="59D30D09" w:rsidR="00086AFF" w:rsidRDefault="00086AFF">
      <w:pPr>
        <w:pStyle w:val="Tekstprzypisudolnego"/>
      </w:pPr>
      <w:r w:rsidRPr="00F9642E">
        <w:rPr>
          <w:rStyle w:val="Odwoanieprzypisudolnego"/>
          <w:rFonts w:ascii="Lato" w:hAnsi="Lato"/>
        </w:rPr>
        <w:footnoteRef/>
      </w:r>
      <w:r w:rsidRPr="00F9642E">
        <w:rPr>
          <w:rFonts w:ascii="Lato" w:hAnsi="Lato"/>
        </w:rPr>
        <w:t xml:space="preserve"> </w:t>
      </w:r>
      <w:r w:rsidRPr="00DB1FF2">
        <w:rPr>
          <w:rFonts w:ascii="Lato" w:hAnsi="Lato"/>
          <w:sz w:val="18"/>
          <w:szCs w:val="18"/>
        </w:rPr>
        <w:t>W okresie od 1 października 2022 do 30 września 2024 r., ze względu na szczególne uwarunkowania związane z sytuacją na rynku gazu wydłużono czas do 50 dni.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8291" w14:textId="77777777" w:rsidR="006E2831" w:rsidRPr="004220D7" w:rsidRDefault="006E2831">
    <w:pPr>
      <w:keepNext/>
      <w:outlineLvl w:val="8"/>
      <w:rPr>
        <w:rFonts w:ascii="Century Gothic" w:hAnsi="Century Gothic"/>
        <w:bCs/>
        <w:sz w:val="20"/>
        <w:szCs w:val="20"/>
      </w:rPr>
    </w:pPr>
  </w:p>
  <w:p w14:paraId="570DD688" w14:textId="77777777" w:rsidR="006E2831" w:rsidRDefault="006E28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2B908752" w14:textId="77777777" w:rsidTr="25DB566B">
      <w:trPr>
        <w:trHeight w:val="300"/>
      </w:trPr>
      <w:tc>
        <w:tcPr>
          <w:tcW w:w="3070" w:type="dxa"/>
        </w:tcPr>
        <w:p w14:paraId="07707FFA" w14:textId="0AA55F4D" w:rsidR="25DB566B" w:rsidRDefault="25DB566B" w:rsidP="25DB566B">
          <w:pPr>
            <w:pStyle w:val="Nagwek"/>
            <w:ind w:left="-115"/>
          </w:pPr>
        </w:p>
      </w:tc>
      <w:tc>
        <w:tcPr>
          <w:tcW w:w="3070" w:type="dxa"/>
        </w:tcPr>
        <w:p w14:paraId="4C987A4F" w14:textId="1C6CE963" w:rsidR="25DB566B" w:rsidRDefault="25DB566B" w:rsidP="25DB566B">
          <w:pPr>
            <w:pStyle w:val="Nagwek"/>
            <w:jc w:val="center"/>
          </w:pPr>
        </w:p>
      </w:tc>
      <w:tc>
        <w:tcPr>
          <w:tcW w:w="3070" w:type="dxa"/>
        </w:tcPr>
        <w:p w14:paraId="7CB60A12" w14:textId="080E703B" w:rsidR="25DB566B" w:rsidRDefault="25DB566B" w:rsidP="25DB566B">
          <w:pPr>
            <w:pStyle w:val="Nagwek"/>
            <w:ind w:right="-115"/>
            <w:jc w:val="right"/>
          </w:pPr>
        </w:p>
      </w:tc>
    </w:tr>
  </w:tbl>
  <w:p w14:paraId="2592E64A" w14:textId="382A6B2A" w:rsidR="00B52AF3" w:rsidRDefault="00B52AF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1EF71291" w14:textId="77777777" w:rsidTr="25DB566B">
      <w:trPr>
        <w:trHeight w:val="300"/>
      </w:trPr>
      <w:tc>
        <w:tcPr>
          <w:tcW w:w="3070" w:type="dxa"/>
        </w:tcPr>
        <w:p w14:paraId="6A27CAB1" w14:textId="1DF2AAD3" w:rsidR="25DB566B" w:rsidRDefault="25DB566B" w:rsidP="25DB566B">
          <w:pPr>
            <w:pStyle w:val="Nagwek"/>
            <w:ind w:left="-115"/>
          </w:pPr>
        </w:p>
      </w:tc>
      <w:tc>
        <w:tcPr>
          <w:tcW w:w="3070" w:type="dxa"/>
        </w:tcPr>
        <w:p w14:paraId="680FAFA5" w14:textId="7C26AD66" w:rsidR="25DB566B" w:rsidRDefault="25DB566B" w:rsidP="25DB566B">
          <w:pPr>
            <w:pStyle w:val="Nagwek"/>
            <w:jc w:val="center"/>
          </w:pPr>
        </w:p>
      </w:tc>
      <w:tc>
        <w:tcPr>
          <w:tcW w:w="3070" w:type="dxa"/>
        </w:tcPr>
        <w:p w14:paraId="08CB57F6" w14:textId="6C492BD5" w:rsidR="25DB566B" w:rsidRDefault="25DB566B" w:rsidP="25DB566B">
          <w:pPr>
            <w:pStyle w:val="Nagwek"/>
            <w:ind w:right="-115"/>
            <w:jc w:val="right"/>
          </w:pPr>
        </w:p>
      </w:tc>
    </w:tr>
  </w:tbl>
  <w:p w14:paraId="0796DD61" w14:textId="04CE02B2" w:rsidR="00B52AF3" w:rsidRDefault="00B52AF3">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2F56AE94" w14:textId="77777777" w:rsidTr="25DB566B">
      <w:trPr>
        <w:trHeight w:val="300"/>
      </w:trPr>
      <w:tc>
        <w:tcPr>
          <w:tcW w:w="3070" w:type="dxa"/>
        </w:tcPr>
        <w:p w14:paraId="4A7E1686" w14:textId="4CCAB254" w:rsidR="25DB566B" w:rsidRDefault="25DB566B" w:rsidP="25DB566B">
          <w:pPr>
            <w:pStyle w:val="Nagwek"/>
            <w:ind w:left="-115"/>
          </w:pPr>
        </w:p>
      </w:tc>
      <w:tc>
        <w:tcPr>
          <w:tcW w:w="3070" w:type="dxa"/>
        </w:tcPr>
        <w:p w14:paraId="0E9FB110" w14:textId="67B84F59" w:rsidR="25DB566B" w:rsidRDefault="25DB566B" w:rsidP="25DB566B">
          <w:pPr>
            <w:pStyle w:val="Nagwek"/>
            <w:jc w:val="center"/>
          </w:pPr>
        </w:p>
      </w:tc>
      <w:tc>
        <w:tcPr>
          <w:tcW w:w="3070" w:type="dxa"/>
        </w:tcPr>
        <w:p w14:paraId="5F62909D" w14:textId="74496DBA" w:rsidR="25DB566B" w:rsidRDefault="25DB566B" w:rsidP="25DB566B">
          <w:pPr>
            <w:pStyle w:val="Nagwek"/>
            <w:ind w:right="-115"/>
            <w:jc w:val="right"/>
          </w:pPr>
        </w:p>
      </w:tc>
    </w:tr>
  </w:tbl>
  <w:p w14:paraId="0EFB9EFF" w14:textId="421C9092" w:rsidR="00B52AF3" w:rsidRDefault="00B52AF3">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067393E" w14:paraId="6963AD29" w14:textId="77777777" w:rsidTr="25DB566B">
      <w:trPr>
        <w:trHeight w:val="300"/>
      </w:trPr>
      <w:tc>
        <w:tcPr>
          <w:tcW w:w="3070" w:type="dxa"/>
        </w:tcPr>
        <w:p w14:paraId="3CE3AB14" w14:textId="77777777" w:rsidR="0067393E" w:rsidRDefault="0067393E" w:rsidP="25DB566B">
          <w:pPr>
            <w:pStyle w:val="Nagwek"/>
            <w:ind w:left="-115"/>
          </w:pPr>
        </w:p>
      </w:tc>
      <w:tc>
        <w:tcPr>
          <w:tcW w:w="3070" w:type="dxa"/>
        </w:tcPr>
        <w:p w14:paraId="0526F290" w14:textId="77777777" w:rsidR="0067393E" w:rsidRDefault="0067393E" w:rsidP="25DB566B">
          <w:pPr>
            <w:pStyle w:val="Nagwek"/>
            <w:jc w:val="center"/>
          </w:pPr>
        </w:p>
      </w:tc>
      <w:tc>
        <w:tcPr>
          <w:tcW w:w="3070" w:type="dxa"/>
        </w:tcPr>
        <w:p w14:paraId="42343F0D" w14:textId="77777777" w:rsidR="0067393E" w:rsidRDefault="0067393E" w:rsidP="25DB566B">
          <w:pPr>
            <w:pStyle w:val="Nagwek"/>
            <w:ind w:right="-115"/>
            <w:jc w:val="right"/>
          </w:pPr>
        </w:p>
      </w:tc>
    </w:tr>
  </w:tbl>
  <w:p w14:paraId="2FF6FD20" w14:textId="77777777" w:rsidR="0067393E" w:rsidRDefault="0067393E">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25DB566B" w14:paraId="4113BF83" w14:textId="77777777" w:rsidTr="25DB566B">
      <w:trPr>
        <w:trHeight w:val="300"/>
      </w:trPr>
      <w:tc>
        <w:tcPr>
          <w:tcW w:w="3070" w:type="dxa"/>
        </w:tcPr>
        <w:p w14:paraId="7195F1A0" w14:textId="2A508236" w:rsidR="25DB566B" w:rsidRDefault="25DB566B" w:rsidP="25DB566B">
          <w:pPr>
            <w:pStyle w:val="Nagwek"/>
            <w:ind w:left="-115"/>
          </w:pPr>
        </w:p>
      </w:tc>
      <w:tc>
        <w:tcPr>
          <w:tcW w:w="3070" w:type="dxa"/>
        </w:tcPr>
        <w:p w14:paraId="3A7D19C7" w14:textId="1E79D1B0" w:rsidR="25DB566B" w:rsidRDefault="25DB566B" w:rsidP="25DB566B">
          <w:pPr>
            <w:pStyle w:val="Nagwek"/>
            <w:jc w:val="center"/>
          </w:pPr>
        </w:p>
      </w:tc>
      <w:tc>
        <w:tcPr>
          <w:tcW w:w="3070" w:type="dxa"/>
        </w:tcPr>
        <w:p w14:paraId="1DEA74E2" w14:textId="591C6F6F" w:rsidR="25DB566B" w:rsidRDefault="25DB566B" w:rsidP="25DB566B">
          <w:pPr>
            <w:pStyle w:val="Nagwek"/>
            <w:ind w:right="-115"/>
            <w:jc w:val="right"/>
          </w:pPr>
        </w:p>
      </w:tc>
    </w:tr>
  </w:tbl>
  <w:p w14:paraId="4F9FA15C" w14:textId="11BAF4CE" w:rsidR="00B52AF3" w:rsidRDefault="00B52AF3">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E61D" w14:textId="77777777" w:rsidR="002E3ED1" w:rsidRDefault="002E3ED1">
    <w:pPr>
      <w:pStyle w:val="Nagwek"/>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2855" w14:textId="77777777" w:rsidR="00786A20" w:rsidRPr="004220D7" w:rsidRDefault="00786A20" w:rsidP="00B03DBA">
    <w:pPr>
      <w:keepNext/>
      <w:outlineLvl w:val="8"/>
      <w:rPr>
        <w:rFonts w:ascii="Century Gothic" w:hAnsi="Century Gothic"/>
        <w:bCs/>
        <w:sz w:val="20"/>
        <w:szCs w:val="20"/>
      </w:rPr>
    </w:pPr>
  </w:p>
  <w:p w14:paraId="3FE312CE" w14:textId="77777777" w:rsidR="00786A20" w:rsidRDefault="00786A2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3625" w14:textId="77777777" w:rsidR="002E3ED1" w:rsidRDefault="002E3ED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4374"/>
    <w:multiLevelType w:val="hybridMultilevel"/>
    <w:tmpl w:val="87DC7E1C"/>
    <w:lvl w:ilvl="0" w:tplc="104A2692">
      <w:start w:val="1"/>
      <w:numFmt w:val="lowerLetter"/>
      <w:lvlText w:val="%1)"/>
      <w:lvlJc w:val="left"/>
      <w:pPr>
        <w:ind w:left="720" w:hanging="360"/>
      </w:pPr>
    </w:lvl>
    <w:lvl w:ilvl="1" w:tplc="03C4EFA0" w:tentative="1">
      <w:start w:val="1"/>
      <w:numFmt w:val="lowerLetter"/>
      <w:lvlText w:val="%2."/>
      <w:lvlJc w:val="left"/>
      <w:pPr>
        <w:ind w:left="1440" w:hanging="360"/>
      </w:pPr>
    </w:lvl>
    <w:lvl w:ilvl="2" w:tplc="7BCEEA32" w:tentative="1">
      <w:start w:val="1"/>
      <w:numFmt w:val="lowerRoman"/>
      <w:lvlText w:val="%3."/>
      <w:lvlJc w:val="right"/>
      <w:pPr>
        <w:ind w:left="2160" w:hanging="180"/>
      </w:pPr>
    </w:lvl>
    <w:lvl w:ilvl="3" w:tplc="FF922E58" w:tentative="1">
      <w:start w:val="1"/>
      <w:numFmt w:val="decimal"/>
      <w:lvlText w:val="%4."/>
      <w:lvlJc w:val="left"/>
      <w:pPr>
        <w:ind w:left="2880" w:hanging="360"/>
      </w:pPr>
    </w:lvl>
    <w:lvl w:ilvl="4" w:tplc="37AAFA7C" w:tentative="1">
      <w:start w:val="1"/>
      <w:numFmt w:val="lowerLetter"/>
      <w:lvlText w:val="%5."/>
      <w:lvlJc w:val="left"/>
      <w:pPr>
        <w:ind w:left="3600" w:hanging="360"/>
      </w:pPr>
    </w:lvl>
    <w:lvl w:ilvl="5" w:tplc="185E0D96" w:tentative="1">
      <w:start w:val="1"/>
      <w:numFmt w:val="lowerRoman"/>
      <w:lvlText w:val="%6."/>
      <w:lvlJc w:val="right"/>
      <w:pPr>
        <w:ind w:left="4320" w:hanging="180"/>
      </w:pPr>
    </w:lvl>
    <w:lvl w:ilvl="6" w:tplc="A38234B4" w:tentative="1">
      <w:start w:val="1"/>
      <w:numFmt w:val="decimal"/>
      <w:lvlText w:val="%7."/>
      <w:lvlJc w:val="left"/>
      <w:pPr>
        <w:ind w:left="5040" w:hanging="360"/>
      </w:pPr>
    </w:lvl>
    <w:lvl w:ilvl="7" w:tplc="5DA2751E" w:tentative="1">
      <w:start w:val="1"/>
      <w:numFmt w:val="lowerLetter"/>
      <w:lvlText w:val="%8."/>
      <w:lvlJc w:val="left"/>
      <w:pPr>
        <w:ind w:left="5760" w:hanging="360"/>
      </w:pPr>
    </w:lvl>
    <w:lvl w:ilvl="8" w:tplc="5AEC7B6C" w:tentative="1">
      <w:start w:val="1"/>
      <w:numFmt w:val="lowerRoman"/>
      <w:lvlText w:val="%9."/>
      <w:lvlJc w:val="right"/>
      <w:pPr>
        <w:ind w:left="6480" w:hanging="180"/>
      </w:pPr>
    </w:lvl>
  </w:abstractNum>
  <w:abstractNum w:abstractNumId="1" w15:restartNumberingAfterBreak="0">
    <w:nsid w:val="08C94353"/>
    <w:multiLevelType w:val="hybridMultilevel"/>
    <w:tmpl w:val="FBAEFC5A"/>
    <w:lvl w:ilvl="0" w:tplc="57EC6A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DC4701"/>
    <w:multiLevelType w:val="singleLevel"/>
    <w:tmpl w:val="E0E06E22"/>
    <w:lvl w:ilvl="0">
      <w:start w:val="1"/>
      <w:numFmt w:val="decimal"/>
      <w:pStyle w:val="ParaNo"/>
      <w:lvlText w:val="%1."/>
      <w:lvlJc w:val="left"/>
      <w:pPr>
        <w:tabs>
          <w:tab w:val="num" w:pos="360"/>
        </w:tabs>
      </w:pPr>
      <w:rPr>
        <w:rFonts w:ascii="Times" w:hAnsi="Times" w:cs="Times New Roman" w:hint="default"/>
        <w:b w:val="0"/>
        <w:i w:val="0"/>
        <w:caps w:val="0"/>
        <w:strike w:val="0"/>
        <w:dstrike w:val="0"/>
        <w:vanish w:val="0"/>
        <w:color w:val="000000"/>
        <w:sz w:val="24"/>
        <w:u w:val="none"/>
        <w:vertAlign w:val="baseline"/>
      </w:rPr>
    </w:lvl>
  </w:abstractNum>
  <w:abstractNum w:abstractNumId="3" w15:restartNumberingAfterBreak="0">
    <w:nsid w:val="0B637583"/>
    <w:multiLevelType w:val="hybridMultilevel"/>
    <w:tmpl w:val="EA9C160C"/>
    <w:lvl w:ilvl="0" w:tplc="57EC6A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271A08"/>
    <w:multiLevelType w:val="hybridMultilevel"/>
    <w:tmpl w:val="BBD0C74A"/>
    <w:lvl w:ilvl="0" w:tplc="A3DE1260">
      <w:start w:val="1"/>
      <w:numFmt w:val="bullet"/>
      <w:lvlText w:val="−"/>
      <w:lvlJc w:val="left"/>
      <w:pPr>
        <w:ind w:left="720" w:hanging="360"/>
      </w:pPr>
      <w:rPr>
        <w:rFonts w:ascii="Times New Roman" w:hAnsi="Times New Roman"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FFD12FB"/>
    <w:multiLevelType w:val="hybridMultilevel"/>
    <w:tmpl w:val="D15C2B88"/>
    <w:lvl w:ilvl="0" w:tplc="88664042">
      <w:start w:val="1"/>
      <w:numFmt w:val="decimal"/>
      <w:lvlText w:val="%1."/>
      <w:lvlJc w:val="left"/>
      <w:pPr>
        <w:tabs>
          <w:tab w:val="num" w:pos="720"/>
        </w:tabs>
        <w:ind w:left="720" w:hanging="360"/>
      </w:pPr>
    </w:lvl>
    <w:lvl w:ilvl="1" w:tplc="91F01DC6">
      <w:start w:val="1"/>
      <w:numFmt w:val="lowerLetter"/>
      <w:lvlText w:val="%2."/>
      <w:lvlJc w:val="left"/>
      <w:pPr>
        <w:tabs>
          <w:tab w:val="num" w:pos="1440"/>
        </w:tabs>
        <w:ind w:left="1440" w:hanging="360"/>
      </w:pPr>
      <w:rPr>
        <w:rFonts w:cs="Times New Roman"/>
      </w:rPr>
    </w:lvl>
    <w:lvl w:ilvl="2" w:tplc="8620048E">
      <w:start w:val="1"/>
      <w:numFmt w:val="decimal"/>
      <w:lvlText w:val="%3)"/>
      <w:lvlJc w:val="left"/>
      <w:pPr>
        <w:ind w:left="1211" w:hanging="360"/>
      </w:pPr>
      <w:rPr>
        <w:rFonts w:hint="default"/>
      </w:rPr>
    </w:lvl>
    <w:lvl w:ilvl="3" w:tplc="31329A5A" w:tentative="1">
      <w:start w:val="1"/>
      <w:numFmt w:val="decimal"/>
      <w:lvlText w:val="%4."/>
      <w:lvlJc w:val="left"/>
      <w:pPr>
        <w:tabs>
          <w:tab w:val="num" w:pos="2880"/>
        </w:tabs>
        <w:ind w:left="2880" w:hanging="360"/>
      </w:pPr>
      <w:rPr>
        <w:rFonts w:cs="Times New Roman"/>
      </w:rPr>
    </w:lvl>
    <w:lvl w:ilvl="4" w:tplc="F5EC0498" w:tentative="1">
      <w:start w:val="1"/>
      <w:numFmt w:val="lowerLetter"/>
      <w:lvlText w:val="%5."/>
      <w:lvlJc w:val="left"/>
      <w:pPr>
        <w:tabs>
          <w:tab w:val="num" w:pos="3600"/>
        </w:tabs>
        <w:ind w:left="3600" w:hanging="360"/>
      </w:pPr>
      <w:rPr>
        <w:rFonts w:cs="Times New Roman"/>
      </w:rPr>
    </w:lvl>
    <w:lvl w:ilvl="5" w:tplc="8D324D08" w:tentative="1">
      <w:start w:val="1"/>
      <w:numFmt w:val="lowerRoman"/>
      <w:lvlText w:val="%6."/>
      <w:lvlJc w:val="right"/>
      <w:pPr>
        <w:tabs>
          <w:tab w:val="num" w:pos="4320"/>
        </w:tabs>
        <w:ind w:left="4320" w:hanging="180"/>
      </w:pPr>
      <w:rPr>
        <w:rFonts w:cs="Times New Roman"/>
      </w:rPr>
    </w:lvl>
    <w:lvl w:ilvl="6" w:tplc="909675EA" w:tentative="1">
      <w:start w:val="1"/>
      <w:numFmt w:val="decimal"/>
      <w:lvlText w:val="%7."/>
      <w:lvlJc w:val="left"/>
      <w:pPr>
        <w:tabs>
          <w:tab w:val="num" w:pos="5040"/>
        </w:tabs>
        <w:ind w:left="5040" w:hanging="360"/>
      </w:pPr>
      <w:rPr>
        <w:rFonts w:cs="Times New Roman"/>
      </w:rPr>
    </w:lvl>
    <w:lvl w:ilvl="7" w:tplc="EBBE843A" w:tentative="1">
      <w:start w:val="1"/>
      <w:numFmt w:val="lowerLetter"/>
      <w:lvlText w:val="%8."/>
      <w:lvlJc w:val="left"/>
      <w:pPr>
        <w:tabs>
          <w:tab w:val="num" w:pos="5760"/>
        </w:tabs>
        <w:ind w:left="5760" w:hanging="360"/>
      </w:pPr>
      <w:rPr>
        <w:rFonts w:cs="Times New Roman"/>
      </w:rPr>
    </w:lvl>
    <w:lvl w:ilvl="8" w:tplc="4028D23C" w:tentative="1">
      <w:start w:val="1"/>
      <w:numFmt w:val="lowerRoman"/>
      <w:lvlText w:val="%9."/>
      <w:lvlJc w:val="right"/>
      <w:pPr>
        <w:tabs>
          <w:tab w:val="num" w:pos="6480"/>
        </w:tabs>
        <w:ind w:left="6480" w:hanging="180"/>
      </w:pPr>
      <w:rPr>
        <w:rFonts w:cs="Times New Roman"/>
      </w:rPr>
    </w:lvl>
  </w:abstractNum>
  <w:abstractNum w:abstractNumId="6" w15:restartNumberingAfterBreak="0">
    <w:nsid w:val="10D914B8"/>
    <w:multiLevelType w:val="hybridMultilevel"/>
    <w:tmpl w:val="21C61552"/>
    <w:lvl w:ilvl="0" w:tplc="57EC6A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FE41CB"/>
    <w:multiLevelType w:val="hybridMultilevel"/>
    <w:tmpl w:val="681E9CDA"/>
    <w:lvl w:ilvl="0" w:tplc="EDBE1978">
      <w:start w:val="1"/>
      <w:numFmt w:val="bullet"/>
      <w:pStyle w:val="TekstWypunktowany"/>
      <w:lvlText w:val=""/>
      <w:lvlJc w:val="left"/>
      <w:pPr>
        <w:ind w:left="720" w:hanging="360"/>
      </w:pPr>
      <w:rPr>
        <w:rFonts w:ascii="Symbol" w:hAnsi="Symbol" w:hint="default"/>
      </w:rPr>
    </w:lvl>
    <w:lvl w:ilvl="1" w:tplc="86608356" w:tentative="1">
      <w:start w:val="1"/>
      <w:numFmt w:val="bullet"/>
      <w:lvlText w:val="o"/>
      <w:lvlJc w:val="left"/>
      <w:pPr>
        <w:ind w:left="1440" w:hanging="360"/>
      </w:pPr>
      <w:rPr>
        <w:rFonts w:ascii="Courier New" w:hAnsi="Courier New" w:cs="Courier New" w:hint="default"/>
      </w:rPr>
    </w:lvl>
    <w:lvl w:ilvl="2" w:tplc="21A40BAC" w:tentative="1">
      <w:start w:val="1"/>
      <w:numFmt w:val="bullet"/>
      <w:lvlText w:val=""/>
      <w:lvlJc w:val="left"/>
      <w:pPr>
        <w:ind w:left="2160" w:hanging="360"/>
      </w:pPr>
      <w:rPr>
        <w:rFonts w:ascii="Wingdings" w:hAnsi="Wingdings" w:hint="default"/>
      </w:rPr>
    </w:lvl>
    <w:lvl w:ilvl="3" w:tplc="2F80B562" w:tentative="1">
      <w:start w:val="1"/>
      <w:numFmt w:val="bullet"/>
      <w:lvlText w:val=""/>
      <w:lvlJc w:val="left"/>
      <w:pPr>
        <w:ind w:left="2880" w:hanging="360"/>
      </w:pPr>
      <w:rPr>
        <w:rFonts w:ascii="Symbol" w:hAnsi="Symbol" w:hint="default"/>
      </w:rPr>
    </w:lvl>
    <w:lvl w:ilvl="4" w:tplc="DF044978" w:tentative="1">
      <w:start w:val="1"/>
      <w:numFmt w:val="bullet"/>
      <w:lvlText w:val="o"/>
      <w:lvlJc w:val="left"/>
      <w:pPr>
        <w:ind w:left="3600" w:hanging="360"/>
      </w:pPr>
      <w:rPr>
        <w:rFonts w:ascii="Courier New" w:hAnsi="Courier New" w:cs="Courier New" w:hint="default"/>
      </w:rPr>
    </w:lvl>
    <w:lvl w:ilvl="5" w:tplc="DA407752" w:tentative="1">
      <w:start w:val="1"/>
      <w:numFmt w:val="bullet"/>
      <w:lvlText w:val=""/>
      <w:lvlJc w:val="left"/>
      <w:pPr>
        <w:ind w:left="4320" w:hanging="360"/>
      </w:pPr>
      <w:rPr>
        <w:rFonts w:ascii="Wingdings" w:hAnsi="Wingdings" w:hint="default"/>
      </w:rPr>
    </w:lvl>
    <w:lvl w:ilvl="6" w:tplc="00A878FE" w:tentative="1">
      <w:start w:val="1"/>
      <w:numFmt w:val="bullet"/>
      <w:lvlText w:val=""/>
      <w:lvlJc w:val="left"/>
      <w:pPr>
        <w:ind w:left="5040" w:hanging="360"/>
      </w:pPr>
      <w:rPr>
        <w:rFonts w:ascii="Symbol" w:hAnsi="Symbol" w:hint="default"/>
      </w:rPr>
    </w:lvl>
    <w:lvl w:ilvl="7" w:tplc="036CA806" w:tentative="1">
      <w:start w:val="1"/>
      <w:numFmt w:val="bullet"/>
      <w:lvlText w:val="o"/>
      <w:lvlJc w:val="left"/>
      <w:pPr>
        <w:ind w:left="5760" w:hanging="360"/>
      </w:pPr>
      <w:rPr>
        <w:rFonts w:ascii="Courier New" w:hAnsi="Courier New" w:cs="Courier New" w:hint="default"/>
      </w:rPr>
    </w:lvl>
    <w:lvl w:ilvl="8" w:tplc="857078F0" w:tentative="1">
      <w:start w:val="1"/>
      <w:numFmt w:val="bullet"/>
      <w:lvlText w:val=""/>
      <w:lvlJc w:val="left"/>
      <w:pPr>
        <w:ind w:left="6480" w:hanging="360"/>
      </w:pPr>
      <w:rPr>
        <w:rFonts w:ascii="Wingdings" w:hAnsi="Wingdings" w:hint="default"/>
      </w:rPr>
    </w:lvl>
  </w:abstractNum>
  <w:abstractNum w:abstractNumId="8" w15:restartNumberingAfterBreak="0">
    <w:nsid w:val="13734727"/>
    <w:multiLevelType w:val="hybridMultilevel"/>
    <w:tmpl w:val="BC26B886"/>
    <w:lvl w:ilvl="0" w:tplc="E54656C8">
      <w:start w:val="1"/>
      <w:numFmt w:val="lowerLetter"/>
      <w:lvlText w:val="%1)"/>
      <w:lvlJc w:val="left"/>
      <w:pPr>
        <w:ind w:left="720" w:hanging="360"/>
      </w:pPr>
      <w:rPr>
        <w:rFonts w:hint="default"/>
        <w:b w:val="0"/>
      </w:rPr>
    </w:lvl>
    <w:lvl w:ilvl="1" w:tplc="CEEA65F4" w:tentative="1">
      <w:start w:val="1"/>
      <w:numFmt w:val="bullet"/>
      <w:lvlText w:val="o"/>
      <w:lvlJc w:val="left"/>
      <w:pPr>
        <w:ind w:left="1440" w:hanging="360"/>
      </w:pPr>
      <w:rPr>
        <w:rFonts w:ascii="Courier New" w:hAnsi="Courier New" w:cs="Courier New" w:hint="default"/>
      </w:rPr>
    </w:lvl>
    <w:lvl w:ilvl="2" w:tplc="A364BBF0" w:tentative="1">
      <w:start w:val="1"/>
      <w:numFmt w:val="bullet"/>
      <w:lvlText w:val=""/>
      <w:lvlJc w:val="left"/>
      <w:pPr>
        <w:ind w:left="2160" w:hanging="360"/>
      </w:pPr>
      <w:rPr>
        <w:rFonts w:ascii="Wingdings" w:hAnsi="Wingdings" w:hint="default"/>
      </w:rPr>
    </w:lvl>
    <w:lvl w:ilvl="3" w:tplc="85745388" w:tentative="1">
      <w:start w:val="1"/>
      <w:numFmt w:val="bullet"/>
      <w:lvlText w:val=""/>
      <w:lvlJc w:val="left"/>
      <w:pPr>
        <w:ind w:left="2880" w:hanging="360"/>
      </w:pPr>
      <w:rPr>
        <w:rFonts w:ascii="Symbol" w:hAnsi="Symbol" w:hint="default"/>
      </w:rPr>
    </w:lvl>
    <w:lvl w:ilvl="4" w:tplc="12CED2BC" w:tentative="1">
      <w:start w:val="1"/>
      <w:numFmt w:val="bullet"/>
      <w:lvlText w:val="o"/>
      <w:lvlJc w:val="left"/>
      <w:pPr>
        <w:ind w:left="3600" w:hanging="360"/>
      </w:pPr>
      <w:rPr>
        <w:rFonts w:ascii="Courier New" w:hAnsi="Courier New" w:cs="Courier New" w:hint="default"/>
      </w:rPr>
    </w:lvl>
    <w:lvl w:ilvl="5" w:tplc="0916CB38" w:tentative="1">
      <w:start w:val="1"/>
      <w:numFmt w:val="bullet"/>
      <w:lvlText w:val=""/>
      <w:lvlJc w:val="left"/>
      <w:pPr>
        <w:ind w:left="4320" w:hanging="360"/>
      </w:pPr>
      <w:rPr>
        <w:rFonts w:ascii="Wingdings" w:hAnsi="Wingdings" w:hint="default"/>
      </w:rPr>
    </w:lvl>
    <w:lvl w:ilvl="6" w:tplc="BE0ED3B0" w:tentative="1">
      <w:start w:val="1"/>
      <w:numFmt w:val="bullet"/>
      <w:lvlText w:val=""/>
      <w:lvlJc w:val="left"/>
      <w:pPr>
        <w:ind w:left="5040" w:hanging="360"/>
      </w:pPr>
      <w:rPr>
        <w:rFonts w:ascii="Symbol" w:hAnsi="Symbol" w:hint="default"/>
      </w:rPr>
    </w:lvl>
    <w:lvl w:ilvl="7" w:tplc="9538F038" w:tentative="1">
      <w:start w:val="1"/>
      <w:numFmt w:val="bullet"/>
      <w:lvlText w:val="o"/>
      <w:lvlJc w:val="left"/>
      <w:pPr>
        <w:ind w:left="5760" w:hanging="360"/>
      </w:pPr>
      <w:rPr>
        <w:rFonts w:ascii="Courier New" w:hAnsi="Courier New" w:cs="Courier New" w:hint="default"/>
      </w:rPr>
    </w:lvl>
    <w:lvl w:ilvl="8" w:tplc="46744770" w:tentative="1">
      <w:start w:val="1"/>
      <w:numFmt w:val="bullet"/>
      <w:lvlText w:val=""/>
      <w:lvlJc w:val="left"/>
      <w:pPr>
        <w:ind w:left="6480" w:hanging="360"/>
      </w:pPr>
      <w:rPr>
        <w:rFonts w:ascii="Wingdings" w:hAnsi="Wingdings" w:hint="default"/>
      </w:rPr>
    </w:lvl>
  </w:abstractNum>
  <w:abstractNum w:abstractNumId="9" w15:restartNumberingAfterBreak="0">
    <w:nsid w:val="16A02234"/>
    <w:multiLevelType w:val="hybridMultilevel"/>
    <w:tmpl w:val="5FEA126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7B39F8"/>
    <w:multiLevelType w:val="hybridMultilevel"/>
    <w:tmpl w:val="3CCEF9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C96833"/>
    <w:multiLevelType w:val="hybridMultilevel"/>
    <w:tmpl w:val="61E273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6E2A4B"/>
    <w:multiLevelType w:val="hybridMultilevel"/>
    <w:tmpl w:val="68B67C42"/>
    <w:lvl w:ilvl="0" w:tplc="57EC6AE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F624CB"/>
    <w:multiLevelType w:val="hybridMultilevel"/>
    <w:tmpl w:val="45A6577A"/>
    <w:lvl w:ilvl="0" w:tplc="A3904C9C">
      <w:start w:val="1"/>
      <w:numFmt w:val="bullet"/>
      <w:lvlText w:val="−"/>
      <w:lvlJc w:val="left"/>
      <w:pPr>
        <w:ind w:left="720" w:hanging="360"/>
      </w:pPr>
      <w:rPr>
        <w:rFonts w:ascii="Times New Roman" w:hAnsi="Times New Roman" w:hint="default"/>
        <w:b w:val="0"/>
      </w:rPr>
    </w:lvl>
    <w:lvl w:ilvl="1" w:tplc="810E975A" w:tentative="1">
      <w:start w:val="1"/>
      <w:numFmt w:val="bullet"/>
      <w:lvlText w:val="o"/>
      <w:lvlJc w:val="left"/>
      <w:pPr>
        <w:ind w:left="1440" w:hanging="360"/>
      </w:pPr>
      <w:rPr>
        <w:rFonts w:ascii="Courier New" w:hAnsi="Courier New" w:cs="Courier New" w:hint="default"/>
      </w:rPr>
    </w:lvl>
    <w:lvl w:ilvl="2" w:tplc="BC22EE46" w:tentative="1">
      <w:start w:val="1"/>
      <w:numFmt w:val="bullet"/>
      <w:lvlText w:val=""/>
      <w:lvlJc w:val="left"/>
      <w:pPr>
        <w:ind w:left="2160" w:hanging="360"/>
      </w:pPr>
      <w:rPr>
        <w:rFonts w:ascii="Wingdings" w:hAnsi="Wingdings" w:hint="default"/>
      </w:rPr>
    </w:lvl>
    <w:lvl w:ilvl="3" w:tplc="9A9CB7FA" w:tentative="1">
      <w:start w:val="1"/>
      <w:numFmt w:val="bullet"/>
      <w:lvlText w:val=""/>
      <w:lvlJc w:val="left"/>
      <w:pPr>
        <w:ind w:left="2880" w:hanging="360"/>
      </w:pPr>
      <w:rPr>
        <w:rFonts w:ascii="Symbol" w:hAnsi="Symbol" w:hint="default"/>
      </w:rPr>
    </w:lvl>
    <w:lvl w:ilvl="4" w:tplc="6AA4A3C4" w:tentative="1">
      <w:start w:val="1"/>
      <w:numFmt w:val="bullet"/>
      <w:lvlText w:val="o"/>
      <w:lvlJc w:val="left"/>
      <w:pPr>
        <w:ind w:left="3600" w:hanging="360"/>
      </w:pPr>
      <w:rPr>
        <w:rFonts w:ascii="Courier New" w:hAnsi="Courier New" w:cs="Courier New" w:hint="default"/>
      </w:rPr>
    </w:lvl>
    <w:lvl w:ilvl="5" w:tplc="0652F792" w:tentative="1">
      <w:start w:val="1"/>
      <w:numFmt w:val="bullet"/>
      <w:lvlText w:val=""/>
      <w:lvlJc w:val="left"/>
      <w:pPr>
        <w:ind w:left="4320" w:hanging="360"/>
      </w:pPr>
      <w:rPr>
        <w:rFonts w:ascii="Wingdings" w:hAnsi="Wingdings" w:hint="default"/>
      </w:rPr>
    </w:lvl>
    <w:lvl w:ilvl="6" w:tplc="4C0CEBD6" w:tentative="1">
      <w:start w:val="1"/>
      <w:numFmt w:val="bullet"/>
      <w:lvlText w:val=""/>
      <w:lvlJc w:val="left"/>
      <w:pPr>
        <w:ind w:left="5040" w:hanging="360"/>
      </w:pPr>
      <w:rPr>
        <w:rFonts w:ascii="Symbol" w:hAnsi="Symbol" w:hint="default"/>
      </w:rPr>
    </w:lvl>
    <w:lvl w:ilvl="7" w:tplc="FF8E9C2A" w:tentative="1">
      <w:start w:val="1"/>
      <w:numFmt w:val="bullet"/>
      <w:lvlText w:val="o"/>
      <w:lvlJc w:val="left"/>
      <w:pPr>
        <w:ind w:left="5760" w:hanging="360"/>
      </w:pPr>
      <w:rPr>
        <w:rFonts w:ascii="Courier New" w:hAnsi="Courier New" w:cs="Courier New" w:hint="default"/>
      </w:rPr>
    </w:lvl>
    <w:lvl w:ilvl="8" w:tplc="7CA0AD4C" w:tentative="1">
      <w:start w:val="1"/>
      <w:numFmt w:val="bullet"/>
      <w:lvlText w:val=""/>
      <w:lvlJc w:val="left"/>
      <w:pPr>
        <w:ind w:left="6480" w:hanging="360"/>
      </w:pPr>
      <w:rPr>
        <w:rFonts w:ascii="Wingdings" w:hAnsi="Wingdings" w:hint="default"/>
      </w:rPr>
    </w:lvl>
  </w:abstractNum>
  <w:abstractNum w:abstractNumId="14" w15:restartNumberingAfterBreak="0">
    <w:nsid w:val="2DC64EE5"/>
    <w:multiLevelType w:val="hybridMultilevel"/>
    <w:tmpl w:val="D43A70AC"/>
    <w:lvl w:ilvl="0" w:tplc="A3DE1260">
      <w:start w:val="1"/>
      <w:numFmt w:val="bullet"/>
      <w:lvlText w:val="−"/>
      <w:lvlJc w:val="left"/>
      <w:pPr>
        <w:ind w:left="720" w:hanging="360"/>
      </w:pPr>
      <w:rPr>
        <w:rFonts w:ascii="Times New Roman" w:hAnsi="Times New Roman"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7B397B"/>
    <w:multiLevelType w:val="multilevel"/>
    <w:tmpl w:val="C63ED7AC"/>
    <w:lvl w:ilvl="0">
      <w:start w:val="1"/>
      <w:numFmt w:val="upperRoman"/>
      <w:lvlText w:val="%1."/>
      <w:lvlJc w:val="righ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pStyle w:val="tekst"/>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20A31"/>
    <w:multiLevelType w:val="hybridMultilevel"/>
    <w:tmpl w:val="5B1CB3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9A3C43"/>
    <w:multiLevelType w:val="multilevel"/>
    <w:tmpl w:val="E6F02E08"/>
    <w:lvl w:ilvl="0">
      <w:start w:val="1"/>
      <w:numFmt w:val="decimal"/>
      <w:pStyle w:val="Rozdzia1"/>
      <w:lvlText w:val="%1."/>
      <w:lvlJc w:val="left"/>
      <w:pPr>
        <w:ind w:left="360" w:hanging="360"/>
      </w:pPr>
      <w:rPr>
        <w:rFonts w:hint="default"/>
      </w:rPr>
    </w:lvl>
    <w:lvl w:ilvl="1">
      <w:start w:val="1"/>
      <w:numFmt w:val="decimal"/>
      <w:pStyle w:val="Rozdzia2"/>
      <w:isLgl/>
      <w:lvlText w:val="%1.%2."/>
      <w:lvlJc w:val="left"/>
      <w:pPr>
        <w:ind w:left="720" w:hanging="720"/>
      </w:pPr>
      <w:rPr>
        <w:rFonts w:hint="default"/>
      </w:rPr>
    </w:lvl>
    <w:lvl w:ilvl="2">
      <w:start w:val="1"/>
      <w:numFmt w:val="decimal"/>
      <w:pStyle w:val="Rozdzia3"/>
      <w:isLgl/>
      <w:lvlText w:val="%1.%2.%3."/>
      <w:lvlJc w:val="left"/>
      <w:pPr>
        <w:ind w:left="1080" w:hanging="1080"/>
      </w:pPr>
      <w:rPr>
        <w:rFonts w:hint="default"/>
      </w:rPr>
    </w:lvl>
    <w:lvl w:ilvl="3">
      <w:start w:val="1"/>
      <w:numFmt w:val="decimal"/>
      <w:pStyle w:val="Rozdzia4"/>
      <w:isLgl/>
      <w:lvlText w:val="%1.%2.%3.%4."/>
      <w:lvlJc w:val="left"/>
      <w:pPr>
        <w:ind w:left="284" w:hanging="28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4303002D"/>
    <w:multiLevelType w:val="hybridMultilevel"/>
    <w:tmpl w:val="CDBAF990"/>
    <w:lvl w:ilvl="0" w:tplc="57EC6A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44314036"/>
    <w:multiLevelType w:val="hybridMultilevel"/>
    <w:tmpl w:val="36F8236C"/>
    <w:lvl w:ilvl="0" w:tplc="A3DE1260">
      <w:start w:val="1"/>
      <w:numFmt w:val="bullet"/>
      <w:lvlText w:val="−"/>
      <w:lvlJc w:val="left"/>
      <w:pPr>
        <w:ind w:left="720" w:hanging="360"/>
      </w:pPr>
      <w:rPr>
        <w:rFonts w:ascii="Times New Roman" w:hAnsi="Times New Roman" w:hint="default"/>
        <w:b w:val="0"/>
      </w:rPr>
    </w:lvl>
    <w:lvl w:ilvl="1" w:tplc="2BF246B8" w:tentative="1">
      <w:start w:val="1"/>
      <w:numFmt w:val="bullet"/>
      <w:lvlText w:val="o"/>
      <w:lvlJc w:val="left"/>
      <w:pPr>
        <w:ind w:left="1440" w:hanging="360"/>
      </w:pPr>
      <w:rPr>
        <w:rFonts w:ascii="Courier New" w:hAnsi="Courier New" w:cs="Courier New" w:hint="default"/>
      </w:rPr>
    </w:lvl>
    <w:lvl w:ilvl="2" w:tplc="7B60B186" w:tentative="1">
      <w:start w:val="1"/>
      <w:numFmt w:val="bullet"/>
      <w:lvlText w:val=""/>
      <w:lvlJc w:val="left"/>
      <w:pPr>
        <w:ind w:left="2160" w:hanging="360"/>
      </w:pPr>
      <w:rPr>
        <w:rFonts w:ascii="Wingdings" w:hAnsi="Wingdings" w:hint="default"/>
      </w:rPr>
    </w:lvl>
    <w:lvl w:ilvl="3" w:tplc="D0F85072" w:tentative="1">
      <w:start w:val="1"/>
      <w:numFmt w:val="bullet"/>
      <w:lvlText w:val=""/>
      <w:lvlJc w:val="left"/>
      <w:pPr>
        <w:ind w:left="2880" w:hanging="360"/>
      </w:pPr>
      <w:rPr>
        <w:rFonts w:ascii="Symbol" w:hAnsi="Symbol" w:hint="default"/>
      </w:rPr>
    </w:lvl>
    <w:lvl w:ilvl="4" w:tplc="7B1E8B7A" w:tentative="1">
      <w:start w:val="1"/>
      <w:numFmt w:val="bullet"/>
      <w:lvlText w:val="o"/>
      <w:lvlJc w:val="left"/>
      <w:pPr>
        <w:ind w:left="3600" w:hanging="360"/>
      </w:pPr>
      <w:rPr>
        <w:rFonts w:ascii="Courier New" w:hAnsi="Courier New" w:cs="Courier New" w:hint="default"/>
      </w:rPr>
    </w:lvl>
    <w:lvl w:ilvl="5" w:tplc="4FCA75E0" w:tentative="1">
      <w:start w:val="1"/>
      <w:numFmt w:val="bullet"/>
      <w:lvlText w:val=""/>
      <w:lvlJc w:val="left"/>
      <w:pPr>
        <w:ind w:left="4320" w:hanging="360"/>
      </w:pPr>
      <w:rPr>
        <w:rFonts w:ascii="Wingdings" w:hAnsi="Wingdings" w:hint="default"/>
      </w:rPr>
    </w:lvl>
    <w:lvl w:ilvl="6" w:tplc="759A0A88" w:tentative="1">
      <w:start w:val="1"/>
      <w:numFmt w:val="bullet"/>
      <w:lvlText w:val=""/>
      <w:lvlJc w:val="left"/>
      <w:pPr>
        <w:ind w:left="5040" w:hanging="360"/>
      </w:pPr>
      <w:rPr>
        <w:rFonts w:ascii="Symbol" w:hAnsi="Symbol" w:hint="default"/>
      </w:rPr>
    </w:lvl>
    <w:lvl w:ilvl="7" w:tplc="5344C512" w:tentative="1">
      <w:start w:val="1"/>
      <w:numFmt w:val="bullet"/>
      <w:lvlText w:val="o"/>
      <w:lvlJc w:val="left"/>
      <w:pPr>
        <w:ind w:left="5760" w:hanging="360"/>
      </w:pPr>
      <w:rPr>
        <w:rFonts w:ascii="Courier New" w:hAnsi="Courier New" w:cs="Courier New" w:hint="default"/>
      </w:rPr>
    </w:lvl>
    <w:lvl w:ilvl="8" w:tplc="C75A4E42" w:tentative="1">
      <w:start w:val="1"/>
      <w:numFmt w:val="bullet"/>
      <w:lvlText w:val=""/>
      <w:lvlJc w:val="left"/>
      <w:pPr>
        <w:ind w:left="6480" w:hanging="360"/>
      </w:pPr>
      <w:rPr>
        <w:rFonts w:ascii="Wingdings" w:hAnsi="Wingdings" w:hint="default"/>
      </w:rPr>
    </w:lvl>
  </w:abstractNum>
  <w:abstractNum w:abstractNumId="20" w15:restartNumberingAfterBreak="0">
    <w:nsid w:val="4D132055"/>
    <w:multiLevelType w:val="hybridMultilevel"/>
    <w:tmpl w:val="A7F29B08"/>
    <w:lvl w:ilvl="0" w:tplc="F55C7428">
      <w:start w:val="1"/>
      <w:numFmt w:val="lowerLetter"/>
      <w:lvlText w:val="%1)"/>
      <w:lvlJc w:val="left"/>
      <w:pPr>
        <w:ind w:left="927" w:hanging="360"/>
      </w:pPr>
    </w:lvl>
    <w:lvl w:ilvl="1" w:tplc="C3507DBE">
      <w:start w:val="1"/>
      <w:numFmt w:val="lowerLetter"/>
      <w:lvlText w:val="%2."/>
      <w:lvlJc w:val="left"/>
      <w:pPr>
        <w:ind w:left="1440" w:hanging="360"/>
      </w:pPr>
    </w:lvl>
    <w:lvl w:ilvl="2" w:tplc="5540E6F8" w:tentative="1">
      <w:start w:val="1"/>
      <w:numFmt w:val="lowerRoman"/>
      <w:lvlText w:val="%3."/>
      <w:lvlJc w:val="right"/>
      <w:pPr>
        <w:ind w:left="2160" w:hanging="180"/>
      </w:pPr>
    </w:lvl>
    <w:lvl w:ilvl="3" w:tplc="468E357E" w:tentative="1">
      <w:start w:val="1"/>
      <w:numFmt w:val="decimal"/>
      <w:lvlText w:val="%4."/>
      <w:lvlJc w:val="left"/>
      <w:pPr>
        <w:ind w:left="2880" w:hanging="360"/>
      </w:pPr>
    </w:lvl>
    <w:lvl w:ilvl="4" w:tplc="8E40BE34" w:tentative="1">
      <w:start w:val="1"/>
      <w:numFmt w:val="lowerLetter"/>
      <w:lvlText w:val="%5."/>
      <w:lvlJc w:val="left"/>
      <w:pPr>
        <w:ind w:left="3600" w:hanging="360"/>
      </w:pPr>
    </w:lvl>
    <w:lvl w:ilvl="5" w:tplc="75C68B04" w:tentative="1">
      <w:start w:val="1"/>
      <w:numFmt w:val="lowerRoman"/>
      <w:lvlText w:val="%6."/>
      <w:lvlJc w:val="right"/>
      <w:pPr>
        <w:ind w:left="4320" w:hanging="180"/>
      </w:pPr>
    </w:lvl>
    <w:lvl w:ilvl="6" w:tplc="8626068A" w:tentative="1">
      <w:start w:val="1"/>
      <w:numFmt w:val="decimal"/>
      <w:lvlText w:val="%7."/>
      <w:lvlJc w:val="left"/>
      <w:pPr>
        <w:ind w:left="5040" w:hanging="360"/>
      </w:pPr>
    </w:lvl>
    <w:lvl w:ilvl="7" w:tplc="270EC498" w:tentative="1">
      <w:start w:val="1"/>
      <w:numFmt w:val="lowerLetter"/>
      <w:lvlText w:val="%8."/>
      <w:lvlJc w:val="left"/>
      <w:pPr>
        <w:ind w:left="5760" w:hanging="360"/>
      </w:pPr>
    </w:lvl>
    <w:lvl w:ilvl="8" w:tplc="9402AEA4" w:tentative="1">
      <w:start w:val="1"/>
      <w:numFmt w:val="lowerRoman"/>
      <w:lvlText w:val="%9."/>
      <w:lvlJc w:val="right"/>
      <w:pPr>
        <w:ind w:left="6480" w:hanging="180"/>
      </w:pPr>
    </w:lvl>
  </w:abstractNum>
  <w:abstractNum w:abstractNumId="21" w15:restartNumberingAfterBreak="0">
    <w:nsid w:val="60AD2834"/>
    <w:multiLevelType w:val="hybridMultilevel"/>
    <w:tmpl w:val="F76A24A4"/>
    <w:lvl w:ilvl="0" w:tplc="57EC6A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90874435">
    <w:abstractNumId w:val="17"/>
  </w:num>
  <w:num w:numId="2" w16cid:durableId="783575706">
    <w:abstractNumId w:val="2"/>
  </w:num>
  <w:num w:numId="3" w16cid:durableId="1842044397">
    <w:abstractNumId w:val="20"/>
  </w:num>
  <w:num w:numId="4" w16cid:durableId="1071386426">
    <w:abstractNumId w:val="19"/>
  </w:num>
  <w:num w:numId="5" w16cid:durableId="1772581772">
    <w:abstractNumId w:val="13"/>
  </w:num>
  <w:num w:numId="6" w16cid:durableId="422804244">
    <w:abstractNumId w:val="15"/>
  </w:num>
  <w:num w:numId="7" w16cid:durableId="2137992020">
    <w:abstractNumId w:val="7"/>
  </w:num>
  <w:num w:numId="8" w16cid:durableId="660744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602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65520">
    <w:abstractNumId w:val="8"/>
    <w:lvlOverride w:ilvl="0">
      <w:startOverride w:val="1"/>
    </w:lvlOverride>
    <w:lvlOverride w:ilvl="1"/>
    <w:lvlOverride w:ilvl="2"/>
    <w:lvlOverride w:ilvl="3"/>
    <w:lvlOverride w:ilvl="4"/>
    <w:lvlOverride w:ilvl="5"/>
    <w:lvlOverride w:ilvl="6"/>
    <w:lvlOverride w:ilvl="7"/>
    <w:lvlOverride w:ilvl="8"/>
  </w:num>
  <w:num w:numId="11" w16cid:durableId="359093943">
    <w:abstractNumId w:val="21"/>
  </w:num>
  <w:num w:numId="12" w16cid:durableId="405078293">
    <w:abstractNumId w:val="10"/>
  </w:num>
  <w:num w:numId="13" w16cid:durableId="574753011">
    <w:abstractNumId w:val="1"/>
  </w:num>
  <w:num w:numId="14" w16cid:durableId="1844933030">
    <w:abstractNumId w:val="18"/>
  </w:num>
  <w:num w:numId="15" w16cid:durableId="1632855594">
    <w:abstractNumId w:val="12"/>
  </w:num>
  <w:num w:numId="16" w16cid:durableId="1893468006">
    <w:abstractNumId w:val="6"/>
  </w:num>
  <w:num w:numId="17" w16cid:durableId="2143382742">
    <w:abstractNumId w:val="3"/>
  </w:num>
  <w:num w:numId="18" w16cid:durableId="1384869419">
    <w:abstractNumId w:val="9"/>
  </w:num>
  <w:num w:numId="19" w16cid:durableId="490799784">
    <w:abstractNumId w:val="4"/>
  </w:num>
  <w:num w:numId="20" w16cid:durableId="2081051411">
    <w:abstractNumId w:val="16"/>
  </w:num>
  <w:num w:numId="21" w16cid:durableId="2121144625">
    <w:abstractNumId w:val="14"/>
  </w:num>
  <w:num w:numId="22" w16cid:durableId="356925745">
    <w:abstractNumId w:val="11"/>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916"/>
    <w:rsid w:val="00000FBE"/>
    <w:rsid w:val="00001DF8"/>
    <w:rsid w:val="00004298"/>
    <w:rsid w:val="00006B72"/>
    <w:rsid w:val="00006F9A"/>
    <w:rsid w:val="000133A7"/>
    <w:rsid w:val="000151BE"/>
    <w:rsid w:val="00016585"/>
    <w:rsid w:val="00022851"/>
    <w:rsid w:val="000229B5"/>
    <w:rsid w:val="000253FA"/>
    <w:rsid w:val="000259CC"/>
    <w:rsid w:val="00031A93"/>
    <w:rsid w:val="00032DC0"/>
    <w:rsid w:val="000343BE"/>
    <w:rsid w:val="00035955"/>
    <w:rsid w:val="000412E5"/>
    <w:rsid w:val="000431B5"/>
    <w:rsid w:val="000477C1"/>
    <w:rsid w:val="00050A66"/>
    <w:rsid w:val="00051E57"/>
    <w:rsid w:val="0005315C"/>
    <w:rsid w:val="000548A0"/>
    <w:rsid w:val="00057580"/>
    <w:rsid w:val="00060FCC"/>
    <w:rsid w:val="00061194"/>
    <w:rsid w:val="000732E2"/>
    <w:rsid w:val="000762A8"/>
    <w:rsid w:val="000806C5"/>
    <w:rsid w:val="00080801"/>
    <w:rsid w:val="00081686"/>
    <w:rsid w:val="00081BB3"/>
    <w:rsid w:val="00083399"/>
    <w:rsid w:val="00086AFF"/>
    <w:rsid w:val="0008772E"/>
    <w:rsid w:val="00091597"/>
    <w:rsid w:val="0009191E"/>
    <w:rsid w:val="00092EEE"/>
    <w:rsid w:val="00097F69"/>
    <w:rsid w:val="000A111D"/>
    <w:rsid w:val="000A2776"/>
    <w:rsid w:val="000A419F"/>
    <w:rsid w:val="000A5326"/>
    <w:rsid w:val="000A6C73"/>
    <w:rsid w:val="000A7C68"/>
    <w:rsid w:val="000B0B44"/>
    <w:rsid w:val="000B3566"/>
    <w:rsid w:val="000B380A"/>
    <w:rsid w:val="000B4525"/>
    <w:rsid w:val="000B51A0"/>
    <w:rsid w:val="000C3B10"/>
    <w:rsid w:val="000C3C0E"/>
    <w:rsid w:val="000C4B13"/>
    <w:rsid w:val="000C6378"/>
    <w:rsid w:val="000C7B36"/>
    <w:rsid w:val="000D42F8"/>
    <w:rsid w:val="000D7764"/>
    <w:rsid w:val="000D7A95"/>
    <w:rsid w:val="000E09B1"/>
    <w:rsid w:val="000E40A9"/>
    <w:rsid w:val="000E5D72"/>
    <w:rsid w:val="000E729C"/>
    <w:rsid w:val="000E76C4"/>
    <w:rsid w:val="000E780A"/>
    <w:rsid w:val="000F0C1D"/>
    <w:rsid w:val="000F1FA6"/>
    <w:rsid w:val="000F365C"/>
    <w:rsid w:val="000F3D6B"/>
    <w:rsid w:val="000F52C5"/>
    <w:rsid w:val="000F696B"/>
    <w:rsid w:val="00102345"/>
    <w:rsid w:val="00107414"/>
    <w:rsid w:val="001079B8"/>
    <w:rsid w:val="00107E67"/>
    <w:rsid w:val="0011070D"/>
    <w:rsid w:val="00113C2E"/>
    <w:rsid w:val="0011521D"/>
    <w:rsid w:val="00115C79"/>
    <w:rsid w:val="00117B08"/>
    <w:rsid w:val="00120E33"/>
    <w:rsid w:val="00122027"/>
    <w:rsid w:val="00122E51"/>
    <w:rsid w:val="00131F35"/>
    <w:rsid w:val="00132841"/>
    <w:rsid w:val="00137A86"/>
    <w:rsid w:val="0014014C"/>
    <w:rsid w:val="0014121A"/>
    <w:rsid w:val="00141381"/>
    <w:rsid w:val="0014238C"/>
    <w:rsid w:val="001446DC"/>
    <w:rsid w:val="00145B81"/>
    <w:rsid w:val="001502F5"/>
    <w:rsid w:val="00153153"/>
    <w:rsid w:val="00156729"/>
    <w:rsid w:val="001620E9"/>
    <w:rsid w:val="0016372A"/>
    <w:rsid w:val="00163926"/>
    <w:rsid w:val="00164A38"/>
    <w:rsid w:val="001676B1"/>
    <w:rsid w:val="001708AB"/>
    <w:rsid w:val="001749EB"/>
    <w:rsid w:val="00175458"/>
    <w:rsid w:val="00177F38"/>
    <w:rsid w:val="00180644"/>
    <w:rsid w:val="00181C06"/>
    <w:rsid w:val="00183B81"/>
    <w:rsid w:val="00185C3C"/>
    <w:rsid w:val="00190CA3"/>
    <w:rsid w:val="00192491"/>
    <w:rsid w:val="001A0B30"/>
    <w:rsid w:val="001A7062"/>
    <w:rsid w:val="001B0B6F"/>
    <w:rsid w:val="001B1D8F"/>
    <w:rsid w:val="001B251C"/>
    <w:rsid w:val="001B64C9"/>
    <w:rsid w:val="001C0F04"/>
    <w:rsid w:val="001C417B"/>
    <w:rsid w:val="001C44E3"/>
    <w:rsid w:val="001C610D"/>
    <w:rsid w:val="001D7FBB"/>
    <w:rsid w:val="001E0337"/>
    <w:rsid w:val="001E069C"/>
    <w:rsid w:val="001E1C0D"/>
    <w:rsid w:val="001E3972"/>
    <w:rsid w:val="001E3C4F"/>
    <w:rsid w:val="001F23FF"/>
    <w:rsid w:val="001F4E5D"/>
    <w:rsid w:val="001F751F"/>
    <w:rsid w:val="00201AF2"/>
    <w:rsid w:val="00202AF8"/>
    <w:rsid w:val="00204178"/>
    <w:rsid w:val="00212DC5"/>
    <w:rsid w:val="00213267"/>
    <w:rsid w:val="002135F1"/>
    <w:rsid w:val="00220BB4"/>
    <w:rsid w:val="00221145"/>
    <w:rsid w:val="00221C10"/>
    <w:rsid w:val="002223E5"/>
    <w:rsid w:val="00223D99"/>
    <w:rsid w:val="0022459F"/>
    <w:rsid w:val="00224AC6"/>
    <w:rsid w:val="00225042"/>
    <w:rsid w:val="00227576"/>
    <w:rsid w:val="00227975"/>
    <w:rsid w:val="00232EA5"/>
    <w:rsid w:val="0023344A"/>
    <w:rsid w:val="0023583C"/>
    <w:rsid w:val="00240368"/>
    <w:rsid w:val="00244FA2"/>
    <w:rsid w:val="00245AD3"/>
    <w:rsid w:val="00246531"/>
    <w:rsid w:val="00247E9D"/>
    <w:rsid w:val="00250168"/>
    <w:rsid w:val="002522AF"/>
    <w:rsid w:val="002536B3"/>
    <w:rsid w:val="002558F5"/>
    <w:rsid w:val="00257046"/>
    <w:rsid w:val="0025787F"/>
    <w:rsid w:val="00257C49"/>
    <w:rsid w:val="00260E89"/>
    <w:rsid w:val="00261587"/>
    <w:rsid w:val="00261F7B"/>
    <w:rsid w:val="00264ED9"/>
    <w:rsid w:val="00265775"/>
    <w:rsid w:val="00265896"/>
    <w:rsid w:val="00265FC5"/>
    <w:rsid w:val="00266298"/>
    <w:rsid w:val="002708BB"/>
    <w:rsid w:val="00270AE5"/>
    <w:rsid w:val="002734CA"/>
    <w:rsid w:val="00277199"/>
    <w:rsid w:val="00277658"/>
    <w:rsid w:val="00277718"/>
    <w:rsid w:val="00280BFC"/>
    <w:rsid w:val="00282F36"/>
    <w:rsid w:val="00284A8B"/>
    <w:rsid w:val="00286704"/>
    <w:rsid w:val="002869CD"/>
    <w:rsid w:val="00290A60"/>
    <w:rsid w:val="00296B2B"/>
    <w:rsid w:val="002A2D64"/>
    <w:rsid w:val="002A418D"/>
    <w:rsid w:val="002B078B"/>
    <w:rsid w:val="002B07AE"/>
    <w:rsid w:val="002C0B0A"/>
    <w:rsid w:val="002C139B"/>
    <w:rsid w:val="002C2C9C"/>
    <w:rsid w:val="002C5EAA"/>
    <w:rsid w:val="002C6483"/>
    <w:rsid w:val="002C6E53"/>
    <w:rsid w:val="002D0957"/>
    <w:rsid w:val="002D5A69"/>
    <w:rsid w:val="002D7CBE"/>
    <w:rsid w:val="002E0AC8"/>
    <w:rsid w:val="002E0D0F"/>
    <w:rsid w:val="002E2CE9"/>
    <w:rsid w:val="002E3ED1"/>
    <w:rsid w:val="002E516A"/>
    <w:rsid w:val="002E66BF"/>
    <w:rsid w:val="002F00A5"/>
    <w:rsid w:val="002F0653"/>
    <w:rsid w:val="002F262E"/>
    <w:rsid w:val="002F2FE7"/>
    <w:rsid w:val="002F47C4"/>
    <w:rsid w:val="003043BB"/>
    <w:rsid w:val="0030685F"/>
    <w:rsid w:val="00307F43"/>
    <w:rsid w:val="00310F13"/>
    <w:rsid w:val="00311916"/>
    <w:rsid w:val="003126F4"/>
    <w:rsid w:val="003134A9"/>
    <w:rsid w:val="00313C8E"/>
    <w:rsid w:val="0031428B"/>
    <w:rsid w:val="00314585"/>
    <w:rsid w:val="00314C88"/>
    <w:rsid w:val="00316E4B"/>
    <w:rsid w:val="0032493E"/>
    <w:rsid w:val="00324980"/>
    <w:rsid w:val="0032697A"/>
    <w:rsid w:val="0033242D"/>
    <w:rsid w:val="0033713F"/>
    <w:rsid w:val="00337358"/>
    <w:rsid w:val="00345A1C"/>
    <w:rsid w:val="00345CAD"/>
    <w:rsid w:val="00350573"/>
    <w:rsid w:val="00350EDE"/>
    <w:rsid w:val="00355667"/>
    <w:rsid w:val="00356B50"/>
    <w:rsid w:val="00356BE0"/>
    <w:rsid w:val="00357E2E"/>
    <w:rsid w:val="00357EA8"/>
    <w:rsid w:val="003613DE"/>
    <w:rsid w:val="00364782"/>
    <w:rsid w:val="0036571A"/>
    <w:rsid w:val="00366EC5"/>
    <w:rsid w:val="00367B3D"/>
    <w:rsid w:val="0037083A"/>
    <w:rsid w:val="00372640"/>
    <w:rsid w:val="00373405"/>
    <w:rsid w:val="0037382B"/>
    <w:rsid w:val="0037385B"/>
    <w:rsid w:val="00376738"/>
    <w:rsid w:val="00376CC7"/>
    <w:rsid w:val="00381EF8"/>
    <w:rsid w:val="00382D87"/>
    <w:rsid w:val="00382F29"/>
    <w:rsid w:val="00383F87"/>
    <w:rsid w:val="00387262"/>
    <w:rsid w:val="00387449"/>
    <w:rsid w:val="0038793A"/>
    <w:rsid w:val="00391613"/>
    <w:rsid w:val="0039480B"/>
    <w:rsid w:val="003966F3"/>
    <w:rsid w:val="003A0A53"/>
    <w:rsid w:val="003A14D4"/>
    <w:rsid w:val="003A37BC"/>
    <w:rsid w:val="003A3D02"/>
    <w:rsid w:val="003A5317"/>
    <w:rsid w:val="003A63C1"/>
    <w:rsid w:val="003B31EC"/>
    <w:rsid w:val="003B3F02"/>
    <w:rsid w:val="003C4109"/>
    <w:rsid w:val="003C65C5"/>
    <w:rsid w:val="003D004B"/>
    <w:rsid w:val="003D0179"/>
    <w:rsid w:val="003D4C4A"/>
    <w:rsid w:val="003D7F62"/>
    <w:rsid w:val="003E39CC"/>
    <w:rsid w:val="003E7536"/>
    <w:rsid w:val="003F0FCF"/>
    <w:rsid w:val="003F1592"/>
    <w:rsid w:val="003F1988"/>
    <w:rsid w:val="003F2F61"/>
    <w:rsid w:val="003F36BE"/>
    <w:rsid w:val="003F5E05"/>
    <w:rsid w:val="003F6FA1"/>
    <w:rsid w:val="0040156F"/>
    <w:rsid w:val="004020C8"/>
    <w:rsid w:val="00403217"/>
    <w:rsid w:val="00406325"/>
    <w:rsid w:val="00406630"/>
    <w:rsid w:val="00407115"/>
    <w:rsid w:val="00414233"/>
    <w:rsid w:val="00415639"/>
    <w:rsid w:val="00415A05"/>
    <w:rsid w:val="00416956"/>
    <w:rsid w:val="004179E3"/>
    <w:rsid w:val="004202A2"/>
    <w:rsid w:val="00420A3E"/>
    <w:rsid w:val="00423BDF"/>
    <w:rsid w:val="00423F7E"/>
    <w:rsid w:val="004250C2"/>
    <w:rsid w:val="00426678"/>
    <w:rsid w:val="00426A0B"/>
    <w:rsid w:val="00427627"/>
    <w:rsid w:val="004276DD"/>
    <w:rsid w:val="0043000E"/>
    <w:rsid w:val="0043138F"/>
    <w:rsid w:val="00435AA4"/>
    <w:rsid w:val="00441D63"/>
    <w:rsid w:val="00443795"/>
    <w:rsid w:val="004438F6"/>
    <w:rsid w:val="00444052"/>
    <w:rsid w:val="0044766A"/>
    <w:rsid w:val="00447A82"/>
    <w:rsid w:val="00452033"/>
    <w:rsid w:val="0045226A"/>
    <w:rsid w:val="00455792"/>
    <w:rsid w:val="00457C7E"/>
    <w:rsid w:val="0046042A"/>
    <w:rsid w:val="004632AF"/>
    <w:rsid w:val="004654D5"/>
    <w:rsid w:val="0046650B"/>
    <w:rsid w:val="00470163"/>
    <w:rsid w:val="0047343C"/>
    <w:rsid w:val="0047574B"/>
    <w:rsid w:val="00481B29"/>
    <w:rsid w:val="00486B32"/>
    <w:rsid w:val="00490D17"/>
    <w:rsid w:val="004949FE"/>
    <w:rsid w:val="00494FBD"/>
    <w:rsid w:val="00496A44"/>
    <w:rsid w:val="00496E10"/>
    <w:rsid w:val="00497813"/>
    <w:rsid w:val="004A3020"/>
    <w:rsid w:val="004A400B"/>
    <w:rsid w:val="004A43E9"/>
    <w:rsid w:val="004A5640"/>
    <w:rsid w:val="004A5670"/>
    <w:rsid w:val="004B29C2"/>
    <w:rsid w:val="004B385F"/>
    <w:rsid w:val="004B38AC"/>
    <w:rsid w:val="004B3A0A"/>
    <w:rsid w:val="004B5446"/>
    <w:rsid w:val="004B64D4"/>
    <w:rsid w:val="004C0034"/>
    <w:rsid w:val="004C1DA8"/>
    <w:rsid w:val="004C318E"/>
    <w:rsid w:val="004C3662"/>
    <w:rsid w:val="004C439A"/>
    <w:rsid w:val="004C62FB"/>
    <w:rsid w:val="004D07C8"/>
    <w:rsid w:val="004D10CA"/>
    <w:rsid w:val="004D252B"/>
    <w:rsid w:val="004D463C"/>
    <w:rsid w:val="004D46CF"/>
    <w:rsid w:val="004D4C5D"/>
    <w:rsid w:val="004D6A74"/>
    <w:rsid w:val="004D7EBB"/>
    <w:rsid w:val="004E0F6C"/>
    <w:rsid w:val="004E2F33"/>
    <w:rsid w:val="004E421D"/>
    <w:rsid w:val="004E4999"/>
    <w:rsid w:val="004E66B6"/>
    <w:rsid w:val="004F05FA"/>
    <w:rsid w:val="004F0642"/>
    <w:rsid w:val="004F0DBF"/>
    <w:rsid w:val="004F18C6"/>
    <w:rsid w:val="004F1F4A"/>
    <w:rsid w:val="004F22B2"/>
    <w:rsid w:val="004F42B0"/>
    <w:rsid w:val="00505522"/>
    <w:rsid w:val="00514789"/>
    <w:rsid w:val="00515F01"/>
    <w:rsid w:val="00516043"/>
    <w:rsid w:val="00524003"/>
    <w:rsid w:val="005253F4"/>
    <w:rsid w:val="0052773B"/>
    <w:rsid w:val="00530149"/>
    <w:rsid w:val="0053225F"/>
    <w:rsid w:val="00532EA8"/>
    <w:rsid w:val="00535BEA"/>
    <w:rsid w:val="00537A84"/>
    <w:rsid w:val="00550C18"/>
    <w:rsid w:val="00551B44"/>
    <w:rsid w:val="005537C3"/>
    <w:rsid w:val="00553B66"/>
    <w:rsid w:val="005577BE"/>
    <w:rsid w:val="0055791C"/>
    <w:rsid w:val="005604EA"/>
    <w:rsid w:val="005677FE"/>
    <w:rsid w:val="00567D7A"/>
    <w:rsid w:val="00570F12"/>
    <w:rsid w:val="00575E79"/>
    <w:rsid w:val="0057785A"/>
    <w:rsid w:val="005830B3"/>
    <w:rsid w:val="00583C71"/>
    <w:rsid w:val="00585F91"/>
    <w:rsid w:val="00586AB0"/>
    <w:rsid w:val="0058785E"/>
    <w:rsid w:val="00591B63"/>
    <w:rsid w:val="005935AF"/>
    <w:rsid w:val="00594B3F"/>
    <w:rsid w:val="00597EB5"/>
    <w:rsid w:val="005A24CC"/>
    <w:rsid w:val="005A2A0A"/>
    <w:rsid w:val="005B2663"/>
    <w:rsid w:val="005B45CB"/>
    <w:rsid w:val="005B7DD8"/>
    <w:rsid w:val="005C04D7"/>
    <w:rsid w:val="005C1A8A"/>
    <w:rsid w:val="005C4B38"/>
    <w:rsid w:val="005D4A5E"/>
    <w:rsid w:val="005D73BF"/>
    <w:rsid w:val="005E03CC"/>
    <w:rsid w:val="005E06CA"/>
    <w:rsid w:val="005E2AF3"/>
    <w:rsid w:val="005E4F26"/>
    <w:rsid w:val="005F3DDE"/>
    <w:rsid w:val="005F4549"/>
    <w:rsid w:val="005F4D9D"/>
    <w:rsid w:val="005F6828"/>
    <w:rsid w:val="0060162E"/>
    <w:rsid w:val="006031E8"/>
    <w:rsid w:val="00606069"/>
    <w:rsid w:val="006071C4"/>
    <w:rsid w:val="006119E8"/>
    <w:rsid w:val="006130C4"/>
    <w:rsid w:val="006139EC"/>
    <w:rsid w:val="00614370"/>
    <w:rsid w:val="00615E21"/>
    <w:rsid w:val="00616075"/>
    <w:rsid w:val="00616EEA"/>
    <w:rsid w:val="00625474"/>
    <w:rsid w:val="0062678B"/>
    <w:rsid w:val="00630443"/>
    <w:rsid w:val="00631250"/>
    <w:rsid w:val="00631AEB"/>
    <w:rsid w:val="0063270A"/>
    <w:rsid w:val="006330A8"/>
    <w:rsid w:val="006351E7"/>
    <w:rsid w:val="00640EBD"/>
    <w:rsid w:val="006419C4"/>
    <w:rsid w:val="00642E8D"/>
    <w:rsid w:val="00644C34"/>
    <w:rsid w:val="00646890"/>
    <w:rsid w:val="00650562"/>
    <w:rsid w:val="00650CD8"/>
    <w:rsid w:val="0065341A"/>
    <w:rsid w:val="006545E6"/>
    <w:rsid w:val="00655C27"/>
    <w:rsid w:val="00655DCA"/>
    <w:rsid w:val="0065795A"/>
    <w:rsid w:val="006602E4"/>
    <w:rsid w:val="00660392"/>
    <w:rsid w:val="0066096C"/>
    <w:rsid w:val="00664AE6"/>
    <w:rsid w:val="006665B0"/>
    <w:rsid w:val="00670F89"/>
    <w:rsid w:val="00671DAD"/>
    <w:rsid w:val="006724A1"/>
    <w:rsid w:val="00673897"/>
    <w:rsid w:val="0067393E"/>
    <w:rsid w:val="00681403"/>
    <w:rsid w:val="006835A9"/>
    <w:rsid w:val="00684B86"/>
    <w:rsid w:val="00684E98"/>
    <w:rsid w:val="00692C40"/>
    <w:rsid w:val="00692D8B"/>
    <w:rsid w:val="006975A4"/>
    <w:rsid w:val="006976B2"/>
    <w:rsid w:val="00697FB6"/>
    <w:rsid w:val="006A139A"/>
    <w:rsid w:val="006A2125"/>
    <w:rsid w:val="006A26EE"/>
    <w:rsid w:val="006A2807"/>
    <w:rsid w:val="006A3149"/>
    <w:rsid w:val="006A46B7"/>
    <w:rsid w:val="006A631F"/>
    <w:rsid w:val="006A6E5C"/>
    <w:rsid w:val="006B006F"/>
    <w:rsid w:val="006B0AED"/>
    <w:rsid w:val="006B166A"/>
    <w:rsid w:val="006B1E35"/>
    <w:rsid w:val="006B4317"/>
    <w:rsid w:val="006B499A"/>
    <w:rsid w:val="006B5464"/>
    <w:rsid w:val="006C184C"/>
    <w:rsid w:val="006C2AAD"/>
    <w:rsid w:val="006C4BE6"/>
    <w:rsid w:val="006C6C9C"/>
    <w:rsid w:val="006C6F47"/>
    <w:rsid w:val="006D108E"/>
    <w:rsid w:val="006D265A"/>
    <w:rsid w:val="006D2725"/>
    <w:rsid w:val="006D2A72"/>
    <w:rsid w:val="006D2D95"/>
    <w:rsid w:val="006D45FB"/>
    <w:rsid w:val="006D5708"/>
    <w:rsid w:val="006D72CE"/>
    <w:rsid w:val="006E0158"/>
    <w:rsid w:val="006E0A74"/>
    <w:rsid w:val="006E2831"/>
    <w:rsid w:val="006E320C"/>
    <w:rsid w:val="006E461F"/>
    <w:rsid w:val="006F0BDA"/>
    <w:rsid w:val="006F3005"/>
    <w:rsid w:val="006F37D3"/>
    <w:rsid w:val="006F60C9"/>
    <w:rsid w:val="006F6C0B"/>
    <w:rsid w:val="006F72A0"/>
    <w:rsid w:val="007011E2"/>
    <w:rsid w:val="00705EB8"/>
    <w:rsid w:val="00706DE4"/>
    <w:rsid w:val="00711310"/>
    <w:rsid w:val="007146B0"/>
    <w:rsid w:val="007157E6"/>
    <w:rsid w:val="00720A5B"/>
    <w:rsid w:val="0072293F"/>
    <w:rsid w:val="00723847"/>
    <w:rsid w:val="00723D84"/>
    <w:rsid w:val="00727395"/>
    <w:rsid w:val="0072748B"/>
    <w:rsid w:val="007276DF"/>
    <w:rsid w:val="00727892"/>
    <w:rsid w:val="00730C94"/>
    <w:rsid w:val="00733616"/>
    <w:rsid w:val="0073394F"/>
    <w:rsid w:val="00733E28"/>
    <w:rsid w:val="00736F2B"/>
    <w:rsid w:val="007407BD"/>
    <w:rsid w:val="00742344"/>
    <w:rsid w:val="0074264C"/>
    <w:rsid w:val="007454C7"/>
    <w:rsid w:val="00747E26"/>
    <w:rsid w:val="00747FAE"/>
    <w:rsid w:val="007509B9"/>
    <w:rsid w:val="007522E1"/>
    <w:rsid w:val="007524DC"/>
    <w:rsid w:val="007577C2"/>
    <w:rsid w:val="0076306B"/>
    <w:rsid w:val="00764352"/>
    <w:rsid w:val="00766CA9"/>
    <w:rsid w:val="00766F35"/>
    <w:rsid w:val="00771E96"/>
    <w:rsid w:val="0077245E"/>
    <w:rsid w:val="00773B7D"/>
    <w:rsid w:val="00775462"/>
    <w:rsid w:val="00782734"/>
    <w:rsid w:val="00782DD6"/>
    <w:rsid w:val="00786A20"/>
    <w:rsid w:val="00790950"/>
    <w:rsid w:val="00792F46"/>
    <w:rsid w:val="00794204"/>
    <w:rsid w:val="00794C56"/>
    <w:rsid w:val="0079609F"/>
    <w:rsid w:val="007A111C"/>
    <w:rsid w:val="007A4D81"/>
    <w:rsid w:val="007A5906"/>
    <w:rsid w:val="007A6CB9"/>
    <w:rsid w:val="007A6EDF"/>
    <w:rsid w:val="007B3C73"/>
    <w:rsid w:val="007C4730"/>
    <w:rsid w:val="007C5539"/>
    <w:rsid w:val="007C7F6C"/>
    <w:rsid w:val="007D149C"/>
    <w:rsid w:val="007D2566"/>
    <w:rsid w:val="007D4AE2"/>
    <w:rsid w:val="007D7A7A"/>
    <w:rsid w:val="007E38A1"/>
    <w:rsid w:val="007E570E"/>
    <w:rsid w:val="007E67C0"/>
    <w:rsid w:val="007E79FD"/>
    <w:rsid w:val="007F0DB5"/>
    <w:rsid w:val="007F4793"/>
    <w:rsid w:val="008032F6"/>
    <w:rsid w:val="0081067F"/>
    <w:rsid w:val="008124FC"/>
    <w:rsid w:val="00812605"/>
    <w:rsid w:val="00815C16"/>
    <w:rsid w:val="00816276"/>
    <w:rsid w:val="00816F67"/>
    <w:rsid w:val="00821A3C"/>
    <w:rsid w:val="00826F35"/>
    <w:rsid w:val="00831DC8"/>
    <w:rsid w:val="00832202"/>
    <w:rsid w:val="00837A47"/>
    <w:rsid w:val="00847209"/>
    <w:rsid w:val="00847573"/>
    <w:rsid w:val="00847A04"/>
    <w:rsid w:val="0085755C"/>
    <w:rsid w:val="00860F99"/>
    <w:rsid w:val="008611D9"/>
    <w:rsid w:val="008627E6"/>
    <w:rsid w:val="0086414B"/>
    <w:rsid w:val="008642E4"/>
    <w:rsid w:val="008667C9"/>
    <w:rsid w:val="0087048C"/>
    <w:rsid w:val="008713D9"/>
    <w:rsid w:val="00875411"/>
    <w:rsid w:val="00880D69"/>
    <w:rsid w:val="00881BEA"/>
    <w:rsid w:val="00881E37"/>
    <w:rsid w:val="008830DE"/>
    <w:rsid w:val="00883E24"/>
    <w:rsid w:val="00886CD0"/>
    <w:rsid w:val="00891437"/>
    <w:rsid w:val="0089156C"/>
    <w:rsid w:val="008924B8"/>
    <w:rsid w:val="0089259B"/>
    <w:rsid w:val="008933D0"/>
    <w:rsid w:val="008A1566"/>
    <w:rsid w:val="008A398F"/>
    <w:rsid w:val="008A3FC2"/>
    <w:rsid w:val="008A4625"/>
    <w:rsid w:val="008A4A64"/>
    <w:rsid w:val="008B3C39"/>
    <w:rsid w:val="008C0950"/>
    <w:rsid w:val="008C1127"/>
    <w:rsid w:val="008C4C41"/>
    <w:rsid w:val="008C5015"/>
    <w:rsid w:val="008D0533"/>
    <w:rsid w:val="008D13A8"/>
    <w:rsid w:val="008E01B9"/>
    <w:rsid w:val="008E2803"/>
    <w:rsid w:val="008E40A7"/>
    <w:rsid w:val="008E48A3"/>
    <w:rsid w:val="008E4E49"/>
    <w:rsid w:val="008E637E"/>
    <w:rsid w:val="008E7788"/>
    <w:rsid w:val="008F0C58"/>
    <w:rsid w:val="008F3AE5"/>
    <w:rsid w:val="00904623"/>
    <w:rsid w:val="00907683"/>
    <w:rsid w:val="00911F77"/>
    <w:rsid w:val="00913D30"/>
    <w:rsid w:val="009147BD"/>
    <w:rsid w:val="00915048"/>
    <w:rsid w:val="0091640B"/>
    <w:rsid w:val="00921363"/>
    <w:rsid w:val="00921372"/>
    <w:rsid w:val="00924A2A"/>
    <w:rsid w:val="00926586"/>
    <w:rsid w:val="00927FA0"/>
    <w:rsid w:val="00930141"/>
    <w:rsid w:val="00931800"/>
    <w:rsid w:val="00932D5F"/>
    <w:rsid w:val="0093342A"/>
    <w:rsid w:val="00933C45"/>
    <w:rsid w:val="00934713"/>
    <w:rsid w:val="00935443"/>
    <w:rsid w:val="009417FB"/>
    <w:rsid w:val="0094190B"/>
    <w:rsid w:val="0094275A"/>
    <w:rsid w:val="009464B0"/>
    <w:rsid w:val="00953440"/>
    <w:rsid w:val="00954099"/>
    <w:rsid w:val="00954684"/>
    <w:rsid w:val="00954CA5"/>
    <w:rsid w:val="00956851"/>
    <w:rsid w:val="00965D6F"/>
    <w:rsid w:val="00965E9D"/>
    <w:rsid w:val="009719EA"/>
    <w:rsid w:val="00971F90"/>
    <w:rsid w:val="00972839"/>
    <w:rsid w:val="009741E2"/>
    <w:rsid w:val="0097499A"/>
    <w:rsid w:val="00976327"/>
    <w:rsid w:val="00977E1D"/>
    <w:rsid w:val="00983413"/>
    <w:rsid w:val="00983C18"/>
    <w:rsid w:val="00993B51"/>
    <w:rsid w:val="0099642E"/>
    <w:rsid w:val="009A2CCF"/>
    <w:rsid w:val="009A6BBE"/>
    <w:rsid w:val="009B05E4"/>
    <w:rsid w:val="009B2A90"/>
    <w:rsid w:val="009B3D1F"/>
    <w:rsid w:val="009B6049"/>
    <w:rsid w:val="009B65B8"/>
    <w:rsid w:val="009B7CD4"/>
    <w:rsid w:val="009C3D6F"/>
    <w:rsid w:val="009C6BEB"/>
    <w:rsid w:val="009C7464"/>
    <w:rsid w:val="009C7DE0"/>
    <w:rsid w:val="009D2085"/>
    <w:rsid w:val="009D24A5"/>
    <w:rsid w:val="009D35EA"/>
    <w:rsid w:val="009D6DA3"/>
    <w:rsid w:val="009E2566"/>
    <w:rsid w:val="009E3B8A"/>
    <w:rsid w:val="009E41E8"/>
    <w:rsid w:val="009E69D9"/>
    <w:rsid w:val="009E7E74"/>
    <w:rsid w:val="009F1BEF"/>
    <w:rsid w:val="009F26DB"/>
    <w:rsid w:val="009F535A"/>
    <w:rsid w:val="009F5807"/>
    <w:rsid w:val="009F6FCB"/>
    <w:rsid w:val="00A02065"/>
    <w:rsid w:val="00A02441"/>
    <w:rsid w:val="00A03EA6"/>
    <w:rsid w:val="00A064C6"/>
    <w:rsid w:val="00A07BE9"/>
    <w:rsid w:val="00A12E00"/>
    <w:rsid w:val="00A13CB0"/>
    <w:rsid w:val="00A141DA"/>
    <w:rsid w:val="00A14BC9"/>
    <w:rsid w:val="00A1631F"/>
    <w:rsid w:val="00A20F24"/>
    <w:rsid w:val="00A2212F"/>
    <w:rsid w:val="00A22745"/>
    <w:rsid w:val="00A2308D"/>
    <w:rsid w:val="00A274CA"/>
    <w:rsid w:val="00A379E8"/>
    <w:rsid w:val="00A40772"/>
    <w:rsid w:val="00A40CB5"/>
    <w:rsid w:val="00A41E5A"/>
    <w:rsid w:val="00A43906"/>
    <w:rsid w:val="00A440C5"/>
    <w:rsid w:val="00A45AEC"/>
    <w:rsid w:val="00A50A5A"/>
    <w:rsid w:val="00A519E0"/>
    <w:rsid w:val="00A549B5"/>
    <w:rsid w:val="00A55143"/>
    <w:rsid w:val="00A55A2E"/>
    <w:rsid w:val="00A66E48"/>
    <w:rsid w:val="00A72AD6"/>
    <w:rsid w:val="00A76913"/>
    <w:rsid w:val="00A779F1"/>
    <w:rsid w:val="00A77BE1"/>
    <w:rsid w:val="00A819AD"/>
    <w:rsid w:val="00A81D7A"/>
    <w:rsid w:val="00A83219"/>
    <w:rsid w:val="00A856C1"/>
    <w:rsid w:val="00A87774"/>
    <w:rsid w:val="00A87CCA"/>
    <w:rsid w:val="00A9186E"/>
    <w:rsid w:val="00A929A8"/>
    <w:rsid w:val="00A972E3"/>
    <w:rsid w:val="00AA06EB"/>
    <w:rsid w:val="00AA0A62"/>
    <w:rsid w:val="00AB3A3A"/>
    <w:rsid w:val="00AB559F"/>
    <w:rsid w:val="00AB7C1B"/>
    <w:rsid w:val="00AC1095"/>
    <w:rsid w:val="00AC19F5"/>
    <w:rsid w:val="00AC3E9B"/>
    <w:rsid w:val="00AC5829"/>
    <w:rsid w:val="00AC70AE"/>
    <w:rsid w:val="00AD07C3"/>
    <w:rsid w:val="00AD18AB"/>
    <w:rsid w:val="00AD3160"/>
    <w:rsid w:val="00AD51DD"/>
    <w:rsid w:val="00AD76BD"/>
    <w:rsid w:val="00AD76F4"/>
    <w:rsid w:val="00AE085A"/>
    <w:rsid w:val="00AE5E42"/>
    <w:rsid w:val="00AF178B"/>
    <w:rsid w:val="00AF48A5"/>
    <w:rsid w:val="00AF53C2"/>
    <w:rsid w:val="00B00146"/>
    <w:rsid w:val="00B00155"/>
    <w:rsid w:val="00B0301B"/>
    <w:rsid w:val="00B03DBA"/>
    <w:rsid w:val="00B048C2"/>
    <w:rsid w:val="00B066E2"/>
    <w:rsid w:val="00B101D9"/>
    <w:rsid w:val="00B10A65"/>
    <w:rsid w:val="00B13A02"/>
    <w:rsid w:val="00B174BD"/>
    <w:rsid w:val="00B20392"/>
    <w:rsid w:val="00B22C18"/>
    <w:rsid w:val="00B23F29"/>
    <w:rsid w:val="00B3192F"/>
    <w:rsid w:val="00B370CA"/>
    <w:rsid w:val="00B37C0A"/>
    <w:rsid w:val="00B40D05"/>
    <w:rsid w:val="00B44A9C"/>
    <w:rsid w:val="00B52AF3"/>
    <w:rsid w:val="00B53050"/>
    <w:rsid w:val="00B545CD"/>
    <w:rsid w:val="00B54915"/>
    <w:rsid w:val="00B54D1B"/>
    <w:rsid w:val="00B554B7"/>
    <w:rsid w:val="00B5711F"/>
    <w:rsid w:val="00B62F05"/>
    <w:rsid w:val="00B64E75"/>
    <w:rsid w:val="00B65882"/>
    <w:rsid w:val="00B70265"/>
    <w:rsid w:val="00B70612"/>
    <w:rsid w:val="00B70705"/>
    <w:rsid w:val="00B71ECF"/>
    <w:rsid w:val="00B73835"/>
    <w:rsid w:val="00B74C14"/>
    <w:rsid w:val="00B75E8B"/>
    <w:rsid w:val="00B76612"/>
    <w:rsid w:val="00B828C2"/>
    <w:rsid w:val="00B82FB0"/>
    <w:rsid w:val="00B8447F"/>
    <w:rsid w:val="00B85038"/>
    <w:rsid w:val="00B85BAC"/>
    <w:rsid w:val="00B85CBC"/>
    <w:rsid w:val="00B8638E"/>
    <w:rsid w:val="00B86D10"/>
    <w:rsid w:val="00B879ED"/>
    <w:rsid w:val="00B90550"/>
    <w:rsid w:val="00B907AB"/>
    <w:rsid w:val="00B90AE2"/>
    <w:rsid w:val="00B91FC0"/>
    <w:rsid w:val="00B94428"/>
    <w:rsid w:val="00B951C8"/>
    <w:rsid w:val="00B96A56"/>
    <w:rsid w:val="00B97DAF"/>
    <w:rsid w:val="00BA1A77"/>
    <w:rsid w:val="00BA3528"/>
    <w:rsid w:val="00BA35F8"/>
    <w:rsid w:val="00BA4692"/>
    <w:rsid w:val="00BA526D"/>
    <w:rsid w:val="00BB07C0"/>
    <w:rsid w:val="00BB1FFF"/>
    <w:rsid w:val="00BB22EE"/>
    <w:rsid w:val="00BB2545"/>
    <w:rsid w:val="00BB2DB4"/>
    <w:rsid w:val="00BB2EA2"/>
    <w:rsid w:val="00BB448C"/>
    <w:rsid w:val="00BB583E"/>
    <w:rsid w:val="00BB6AE5"/>
    <w:rsid w:val="00BB6FD2"/>
    <w:rsid w:val="00BC1B79"/>
    <w:rsid w:val="00BC31A4"/>
    <w:rsid w:val="00BC3D77"/>
    <w:rsid w:val="00BC43C0"/>
    <w:rsid w:val="00BC5991"/>
    <w:rsid w:val="00BD0AEB"/>
    <w:rsid w:val="00BD412A"/>
    <w:rsid w:val="00BD5A8A"/>
    <w:rsid w:val="00BD5B7F"/>
    <w:rsid w:val="00BE0C7D"/>
    <w:rsid w:val="00BE200F"/>
    <w:rsid w:val="00BE4C4F"/>
    <w:rsid w:val="00BE727E"/>
    <w:rsid w:val="00BF1DF1"/>
    <w:rsid w:val="00BF25F7"/>
    <w:rsid w:val="00BF508C"/>
    <w:rsid w:val="00BF6CD1"/>
    <w:rsid w:val="00BF6E3F"/>
    <w:rsid w:val="00C00B0A"/>
    <w:rsid w:val="00C01EB0"/>
    <w:rsid w:val="00C02BA5"/>
    <w:rsid w:val="00C05FD1"/>
    <w:rsid w:val="00C0725F"/>
    <w:rsid w:val="00C1207F"/>
    <w:rsid w:val="00C131F1"/>
    <w:rsid w:val="00C14150"/>
    <w:rsid w:val="00C16A62"/>
    <w:rsid w:val="00C17333"/>
    <w:rsid w:val="00C21075"/>
    <w:rsid w:val="00C2123F"/>
    <w:rsid w:val="00C31111"/>
    <w:rsid w:val="00C351DB"/>
    <w:rsid w:val="00C40B82"/>
    <w:rsid w:val="00C4241E"/>
    <w:rsid w:val="00C4402B"/>
    <w:rsid w:val="00C440D5"/>
    <w:rsid w:val="00C478D1"/>
    <w:rsid w:val="00C50974"/>
    <w:rsid w:val="00C51DE4"/>
    <w:rsid w:val="00C52537"/>
    <w:rsid w:val="00C54F41"/>
    <w:rsid w:val="00C55C33"/>
    <w:rsid w:val="00C619CC"/>
    <w:rsid w:val="00C6259E"/>
    <w:rsid w:val="00C628AC"/>
    <w:rsid w:val="00C65681"/>
    <w:rsid w:val="00C6626E"/>
    <w:rsid w:val="00C706A8"/>
    <w:rsid w:val="00C70FAD"/>
    <w:rsid w:val="00C71656"/>
    <w:rsid w:val="00C71AC7"/>
    <w:rsid w:val="00C7584D"/>
    <w:rsid w:val="00C758B1"/>
    <w:rsid w:val="00C7771E"/>
    <w:rsid w:val="00C82154"/>
    <w:rsid w:val="00C844AA"/>
    <w:rsid w:val="00C90547"/>
    <w:rsid w:val="00C942FC"/>
    <w:rsid w:val="00C960D6"/>
    <w:rsid w:val="00CA062E"/>
    <w:rsid w:val="00CA1743"/>
    <w:rsid w:val="00CA3EDF"/>
    <w:rsid w:val="00CA4624"/>
    <w:rsid w:val="00CA4E63"/>
    <w:rsid w:val="00CA570E"/>
    <w:rsid w:val="00CA7365"/>
    <w:rsid w:val="00CB10F1"/>
    <w:rsid w:val="00CB2DC6"/>
    <w:rsid w:val="00CB336F"/>
    <w:rsid w:val="00CB3813"/>
    <w:rsid w:val="00CC7608"/>
    <w:rsid w:val="00CD203A"/>
    <w:rsid w:val="00CD331C"/>
    <w:rsid w:val="00CD3372"/>
    <w:rsid w:val="00CD5A43"/>
    <w:rsid w:val="00CE2EC1"/>
    <w:rsid w:val="00CE63C5"/>
    <w:rsid w:val="00CE72DC"/>
    <w:rsid w:val="00CF3AB1"/>
    <w:rsid w:val="00D03444"/>
    <w:rsid w:val="00D04E5D"/>
    <w:rsid w:val="00D0617B"/>
    <w:rsid w:val="00D0655F"/>
    <w:rsid w:val="00D07C80"/>
    <w:rsid w:val="00D100BC"/>
    <w:rsid w:val="00D1163A"/>
    <w:rsid w:val="00D12057"/>
    <w:rsid w:val="00D1222E"/>
    <w:rsid w:val="00D128A1"/>
    <w:rsid w:val="00D13F3B"/>
    <w:rsid w:val="00D14CD9"/>
    <w:rsid w:val="00D170D1"/>
    <w:rsid w:val="00D21BFB"/>
    <w:rsid w:val="00D24820"/>
    <w:rsid w:val="00D25465"/>
    <w:rsid w:val="00D264AB"/>
    <w:rsid w:val="00D3024E"/>
    <w:rsid w:val="00D329C0"/>
    <w:rsid w:val="00D34078"/>
    <w:rsid w:val="00D34347"/>
    <w:rsid w:val="00D34DE4"/>
    <w:rsid w:val="00D41C1D"/>
    <w:rsid w:val="00D42EDB"/>
    <w:rsid w:val="00D454CA"/>
    <w:rsid w:val="00D5155A"/>
    <w:rsid w:val="00D520CA"/>
    <w:rsid w:val="00D533CB"/>
    <w:rsid w:val="00D554EC"/>
    <w:rsid w:val="00D55AB6"/>
    <w:rsid w:val="00D55F77"/>
    <w:rsid w:val="00D61740"/>
    <w:rsid w:val="00D643E1"/>
    <w:rsid w:val="00D64610"/>
    <w:rsid w:val="00D64D87"/>
    <w:rsid w:val="00D65295"/>
    <w:rsid w:val="00D66F5D"/>
    <w:rsid w:val="00D70DB9"/>
    <w:rsid w:val="00D7390A"/>
    <w:rsid w:val="00D8037C"/>
    <w:rsid w:val="00D805C5"/>
    <w:rsid w:val="00D83238"/>
    <w:rsid w:val="00D879FE"/>
    <w:rsid w:val="00D90D18"/>
    <w:rsid w:val="00D91402"/>
    <w:rsid w:val="00D936FB"/>
    <w:rsid w:val="00D94D67"/>
    <w:rsid w:val="00D95CB2"/>
    <w:rsid w:val="00D96BCB"/>
    <w:rsid w:val="00DA067A"/>
    <w:rsid w:val="00DA125A"/>
    <w:rsid w:val="00DA2742"/>
    <w:rsid w:val="00DA488D"/>
    <w:rsid w:val="00DA48A4"/>
    <w:rsid w:val="00DA4B1C"/>
    <w:rsid w:val="00DA56C7"/>
    <w:rsid w:val="00DA6D69"/>
    <w:rsid w:val="00DB0413"/>
    <w:rsid w:val="00DB22B3"/>
    <w:rsid w:val="00DB4A7C"/>
    <w:rsid w:val="00DB715E"/>
    <w:rsid w:val="00DC26DF"/>
    <w:rsid w:val="00DC7562"/>
    <w:rsid w:val="00DC7AB1"/>
    <w:rsid w:val="00DD1D6B"/>
    <w:rsid w:val="00DD22D6"/>
    <w:rsid w:val="00DD374A"/>
    <w:rsid w:val="00DD3946"/>
    <w:rsid w:val="00DD3A72"/>
    <w:rsid w:val="00DD453F"/>
    <w:rsid w:val="00DE0CA2"/>
    <w:rsid w:val="00DE12FC"/>
    <w:rsid w:val="00DE3DED"/>
    <w:rsid w:val="00DE4CF3"/>
    <w:rsid w:val="00DE5275"/>
    <w:rsid w:val="00DE756F"/>
    <w:rsid w:val="00DF11BD"/>
    <w:rsid w:val="00DF20D2"/>
    <w:rsid w:val="00DF2836"/>
    <w:rsid w:val="00DF2AEE"/>
    <w:rsid w:val="00DF3A14"/>
    <w:rsid w:val="00DF3AC8"/>
    <w:rsid w:val="00DF67CF"/>
    <w:rsid w:val="00DF6971"/>
    <w:rsid w:val="00E0261B"/>
    <w:rsid w:val="00E03D27"/>
    <w:rsid w:val="00E047C1"/>
    <w:rsid w:val="00E05BF5"/>
    <w:rsid w:val="00E10B4A"/>
    <w:rsid w:val="00E12405"/>
    <w:rsid w:val="00E17489"/>
    <w:rsid w:val="00E200E3"/>
    <w:rsid w:val="00E215AF"/>
    <w:rsid w:val="00E2429B"/>
    <w:rsid w:val="00E24527"/>
    <w:rsid w:val="00E246AB"/>
    <w:rsid w:val="00E24AAF"/>
    <w:rsid w:val="00E25ED0"/>
    <w:rsid w:val="00E270EB"/>
    <w:rsid w:val="00E30B65"/>
    <w:rsid w:val="00E3550E"/>
    <w:rsid w:val="00E37203"/>
    <w:rsid w:val="00E3746A"/>
    <w:rsid w:val="00E37BAB"/>
    <w:rsid w:val="00E41BAD"/>
    <w:rsid w:val="00E4290A"/>
    <w:rsid w:val="00E42D90"/>
    <w:rsid w:val="00E42D96"/>
    <w:rsid w:val="00E50610"/>
    <w:rsid w:val="00E53BC5"/>
    <w:rsid w:val="00E53E78"/>
    <w:rsid w:val="00E544A6"/>
    <w:rsid w:val="00E57B0E"/>
    <w:rsid w:val="00E63315"/>
    <w:rsid w:val="00E64963"/>
    <w:rsid w:val="00E64C68"/>
    <w:rsid w:val="00E65097"/>
    <w:rsid w:val="00E65F12"/>
    <w:rsid w:val="00E7194B"/>
    <w:rsid w:val="00E726DD"/>
    <w:rsid w:val="00E73D58"/>
    <w:rsid w:val="00E77DCF"/>
    <w:rsid w:val="00E8219D"/>
    <w:rsid w:val="00E83A44"/>
    <w:rsid w:val="00E8515F"/>
    <w:rsid w:val="00E868EF"/>
    <w:rsid w:val="00E87981"/>
    <w:rsid w:val="00E87FC2"/>
    <w:rsid w:val="00E90B2E"/>
    <w:rsid w:val="00E92BEB"/>
    <w:rsid w:val="00E92CA8"/>
    <w:rsid w:val="00E95000"/>
    <w:rsid w:val="00E958E2"/>
    <w:rsid w:val="00E96038"/>
    <w:rsid w:val="00E97305"/>
    <w:rsid w:val="00EA0506"/>
    <w:rsid w:val="00EA33AD"/>
    <w:rsid w:val="00EA5F03"/>
    <w:rsid w:val="00EA68AC"/>
    <w:rsid w:val="00EB2027"/>
    <w:rsid w:val="00EB54A1"/>
    <w:rsid w:val="00EB5741"/>
    <w:rsid w:val="00EB68F1"/>
    <w:rsid w:val="00EC1E8B"/>
    <w:rsid w:val="00EC48CC"/>
    <w:rsid w:val="00EC57AF"/>
    <w:rsid w:val="00EC6DA3"/>
    <w:rsid w:val="00ED18D5"/>
    <w:rsid w:val="00ED3E12"/>
    <w:rsid w:val="00ED53AC"/>
    <w:rsid w:val="00ED6317"/>
    <w:rsid w:val="00EE0884"/>
    <w:rsid w:val="00EE0BEC"/>
    <w:rsid w:val="00EE106F"/>
    <w:rsid w:val="00EE2D0B"/>
    <w:rsid w:val="00EE3AAE"/>
    <w:rsid w:val="00EE4300"/>
    <w:rsid w:val="00EE4B64"/>
    <w:rsid w:val="00EE598E"/>
    <w:rsid w:val="00EE5F98"/>
    <w:rsid w:val="00EE62B2"/>
    <w:rsid w:val="00EF1FA6"/>
    <w:rsid w:val="00EF4FFA"/>
    <w:rsid w:val="00EF5E43"/>
    <w:rsid w:val="00EF5F7F"/>
    <w:rsid w:val="00EF6771"/>
    <w:rsid w:val="00EF6EEA"/>
    <w:rsid w:val="00EF7E26"/>
    <w:rsid w:val="00F02B07"/>
    <w:rsid w:val="00F04CB9"/>
    <w:rsid w:val="00F069F0"/>
    <w:rsid w:val="00F1036D"/>
    <w:rsid w:val="00F117C2"/>
    <w:rsid w:val="00F17440"/>
    <w:rsid w:val="00F300C3"/>
    <w:rsid w:val="00F308AC"/>
    <w:rsid w:val="00F32D41"/>
    <w:rsid w:val="00F34545"/>
    <w:rsid w:val="00F34E81"/>
    <w:rsid w:val="00F35FA8"/>
    <w:rsid w:val="00F36BD2"/>
    <w:rsid w:val="00F403B2"/>
    <w:rsid w:val="00F418B0"/>
    <w:rsid w:val="00F41FF1"/>
    <w:rsid w:val="00F456C5"/>
    <w:rsid w:val="00F46D30"/>
    <w:rsid w:val="00F46D86"/>
    <w:rsid w:val="00F4731B"/>
    <w:rsid w:val="00F47AA6"/>
    <w:rsid w:val="00F50F48"/>
    <w:rsid w:val="00F5123A"/>
    <w:rsid w:val="00F522D0"/>
    <w:rsid w:val="00F53514"/>
    <w:rsid w:val="00F55155"/>
    <w:rsid w:val="00F726EB"/>
    <w:rsid w:val="00F73AFA"/>
    <w:rsid w:val="00F769DA"/>
    <w:rsid w:val="00F77514"/>
    <w:rsid w:val="00F80DEE"/>
    <w:rsid w:val="00F82BF3"/>
    <w:rsid w:val="00F84568"/>
    <w:rsid w:val="00F84627"/>
    <w:rsid w:val="00F8602E"/>
    <w:rsid w:val="00F87302"/>
    <w:rsid w:val="00F90175"/>
    <w:rsid w:val="00F92A51"/>
    <w:rsid w:val="00F930AC"/>
    <w:rsid w:val="00F962BF"/>
    <w:rsid w:val="00F9642E"/>
    <w:rsid w:val="00FA0720"/>
    <w:rsid w:val="00FA13F0"/>
    <w:rsid w:val="00FA1DAA"/>
    <w:rsid w:val="00FA3B37"/>
    <w:rsid w:val="00FA3DEE"/>
    <w:rsid w:val="00FA4866"/>
    <w:rsid w:val="00FB03C1"/>
    <w:rsid w:val="00FB1499"/>
    <w:rsid w:val="00FB1BA4"/>
    <w:rsid w:val="00FB3302"/>
    <w:rsid w:val="00FB469E"/>
    <w:rsid w:val="00FB777F"/>
    <w:rsid w:val="00FC03A5"/>
    <w:rsid w:val="00FC0AF8"/>
    <w:rsid w:val="00FD029B"/>
    <w:rsid w:val="00FD227B"/>
    <w:rsid w:val="00FD456F"/>
    <w:rsid w:val="00FD5E37"/>
    <w:rsid w:val="00FE15D0"/>
    <w:rsid w:val="00FE2080"/>
    <w:rsid w:val="00FE330F"/>
    <w:rsid w:val="00FE6CEA"/>
    <w:rsid w:val="00FE7BD3"/>
    <w:rsid w:val="00FF0CED"/>
    <w:rsid w:val="013061BB"/>
    <w:rsid w:val="0138F366"/>
    <w:rsid w:val="028A1813"/>
    <w:rsid w:val="03D7488D"/>
    <w:rsid w:val="0609DCFD"/>
    <w:rsid w:val="063EB380"/>
    <w:rsid w:val="069080FC"/>
    <w:rsid w:val="06C24E8D"/>
    <w:rsid w:val="086796A5"/>
    <w:rsid w:val="09102414"/>
    <w:rsid w:val="0B859E7F"/>
    <w:rsid w:val="0CDCB55A"/>
    <w:rsid w:val="0EC3A2CD"/>
    <w:rsid w:val="0F514605"/>
    <w:rsid w:val="0FCAE73A"/>
    <w:rsid w:val="1039AFE4"/>
    <w:rsid w:val="1049CB71"/>
    <w:rsid w:val="1178024F"/>
    <w:rsid w:val="125A9C63"/>
    <w:rsid w:val="12EACC6D"/>
    <w:rsid w:val="15F9420D"/>
    <w:rsid w:val="1601FBEF"/>
    <w:rsid w:val="165C9830"/>
    <w:rsid w:val="18134C96"/>
    <w:rsid w:val="1838B13B"/>
    <w:rsid w:val="192603FA"/>
    <w:rsid w:val="1A87F36C"/>
    <w:rsid w:val="1B642199"/>
    <w:rsid w:val="1B8F4CCF"/>
    <w:rsid w:val="1BF9868B"/>
    <w:rsid w:val="1CF43E79"/>
    <w:rsid w:val="1D1AD52C"/>
    <w:rsid w:val="1D87E69F"/>
    <w:rsid w:val="1D992260"/>
    <w:rsid w:val="1E900EDA"/>
    <w:rsid w:val="1EAF1FB3"/>
    <w:rsid w:val="1FC36758"/>
    <w:rsid w:val="226AB2EF"/>
    <w:rsid w:val="23328EBC"/>
    <w:rsid w:val="2597ABDB"/>
    <w:rsid w:val="25DB566B"/>
    <w:rsid w:val="2681F862"/>
    <w:rsid w:val="271A5E90"/>
    <w:rsid w:val="275D2828"/>
    <w:rsid w:val="2825E8B9"/>
    <w:rsid w:val="292D17FC"/>
    <w:rsid w:val="299916EA"/>
    <w:rsid w:val="2A5EF732"/>
    <w:rsid w:val="2A9C0A99"/>
    <w:rsid w:val="2AFA7A38"/>
    <w:rsid w:val="2DCF83CE"/>
    <w:rsid w:val="2E1BDCDC"/>
    <w:rsid w:val="2E6502AB"/>
    <w:rsid w:val="2EA4ACCD"/>
    <w:rsid w:val="30387224"/>
    <w:rsid w:val="311F0184"/>
    <w:rsid w:val="315DC8F2"/>
    <w:rsid w:val="32D5F614"/>
    <w:rsid w:val="33B57160"/>
    <w:rsid w:val="35B70AD0"/>
    <w:rsid w:val="3683E71F"/>
    <w:rsid w:val="36E96012"/>
    <w:rsid w:val="36EF1038"/>
    <w:rsid w:val="3759BDA2"/>
    <w:rsid w:val="39F3F6BC"/>
    <w:rsid w:val="3AF888C8"/>
    <w:rsid w:val="3DE7A921"/>
    <w:rsid w:val="3EBA5055"/>
    <w:rsid w:val="4393B351"/>
    <w:rsid w:val="44CE3FAC"/>
    <w:rsid w:val="47BD6B7C"/>
    <w:rsid w:val="480F3041"/>
    <w:rsid w:val="4ABF6BA4"/>
    <w:rsid w:val="4DA738F3"/>
    <w:rsid w:val="4F4BC174"/>
    <w:rsid w:val="507E7D2E"/>
    <w:rsid w:val="51E414E8"/>
    <w:rsid w:val="54A3020E"/>
    <w:rsid w:val="56A381A9"/>
    <w:rsid w:val="56E96563"/>
    <w:rsid w:val="583F520A"/>
    <w:rsid w:val="5AE879B7"/>
    <w:rsid w:val="5B99A24F"/>
    <w:rsid w:val="5C2946E0"/>
    <w:rsid w:val="5C6134A2"/>
    <w:rsid w:val="5D0D7B3D"/>
    <w:rsid w:val="5D6EFCAE"/>
    <w:rsid w:val="5D6F1C30"/>
    <w:rsid w:val="5F7F4618"/>
    <w:rsid w:val="60BE6E36"/>
    <w:rsid w:val="62640F13"/>
    <w:rsid w:val="62A12CFC"/>
    <w:rsid w:val="63A4AC43"/>
    <w:rsid w:val="640BB06A"/>
    <w:rsid w:val="6504ACB5"/>
    <w:rsid w:val="664167F9"/>
    <w:rsid w:val="66427A41"/>
    <w:rsid w:val="67CF4EEC"/>
    <w:rsid w:val="681FA55B"/>
    <w:rsid w:val="683A52F1"/>
    <w:rsid w:val="68937914"/>
    <w:rsid w:val="68C61004"/>
    <w:rsid w:val="69A831FF"/>
    <w:rsid w:val="6B337897"/>
    <w:rsid w:val="6B6E513C"/>
    <w:rsid w:val="6CAF3391"/>
    <w:rsid w:val="6CECB205"/>
    <w:rsid w:val="6D30D01B"/>
    <w:rsid w:val="6DFCDD1F"/>
    <w:rsid w:val="6F8BE874"/>
    <w:rsid w:val="700326FF"/>
    <w:rsid w:val="7114FE6D"/>
    <w:rsid w:val="7141F8FC"/>
    <w:rsid w:val="717056C4"/>
    <w:rsid w:val="722BEDA2"/>
    <w:rsid w:val="725DBBCB"/>
    <w:rsid w:val="73F6CF1D"/>
    <w:rsid w:val="75FF27EA"/>
    <w:rsid w:val="76F8D548"/>
    <w:rsid w:val="776DB136"/>
    <w:rsid w:val="7805298E"/>
    <w:rsid w:val="78F65B62"/>
    <w:rsid w:val="7A3C12E2"/>
    <w:rsid w:val="7C7841BC"/>
    <w:rsid w:val="7DD0ED7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6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1803"/>
    <w:pPr>
      <w:spacing w:line="240" w:lineRule="auto"/>
      <w:jc w:val="both"/>
    </w:pPr>
    <w:rPr>
      <w:rFonts w:ascii="Corbel" w:hAnsi="Corbel"/>
      <w:sz w:val="24"/>
    </w:rPr>
  </w:style>
  <w:style w:type="paragraph" w:styleId="Nagwek1">
    <w:name w:val="heading 1"/>
    <w:basedOn w:val="Normalny"/>
    <w:next w:val="Normalny"/>
    <w:link w:val="Nagwek1Znak"/>
    <w:uiPriority w:val="99"/>
    <w:qFormat/>
    <w:rsid w:val="00AF7E5E"/>
    <w:pPr>
      <w:keepNext/>
      <w:keepLines/>
      <w:spacing w:before="240" w:after="0"/>
      <w:outlineLvl w:val="0"/>
    </w:pPr>
    <w:rPr>
      <w:rFonts w:eastAsiaTheme="majorEastAsia" w:cstheme="majorBidi"/>
      <w:b/>
      <w:sz w:val="32"/>
      <w:szCs w:val="32"/>
    </w:rPr>
  </w:style>
  <w:style w:type="paragraph" w:styleId="Nagwek2">
    <w:name w:val="heading 2"/>
    <w:basedOn w:val="Normalny"/>
    <w:next w:val="Normalny"/>
    <w:link w:val="Nagwek2Znak"/>
    <w:uiPriority w:val="99"/>
    <w:unhideWhenUsed/>
    <w:qFormat/>
    <w:rsid w:val="00AF7E5E"/>
    <w:pPr>
      <w:keepNext/>
      <w:keepLines/>
      <w:spacing w:before="40" w:after="0"/>
      <w:outlineLvl w:val="1"/>
    </w:pPr>
    <w:rPr>
      <w:rFonts w:eastAsiaTheme="majorEastAsia" w:cstheme="majorBidi"/>
      <w:b/>
      <w:sz w:val="28"/>
      <w:szCs w:val="26"/>
    </w:rPr>
  </w:style>
  <w:style w:type="paragraph" w:styleId="Nagwek3">
    <w:name w:val="heading 3"/>
    <w:basedOn w:val="Normalny"/>
    <w:next w:val="Normalny"/>
    <w:link w:val="Nagwek3Znak"/>
    <w:uiPriority w:val="99"/>
    <w:unhideWhenUsed/>
    <w:qFormat/>
    <w:rsid w:val="00AF7E5E"/>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uiPriority w:val="99"/>
    <w:qFormat/>
    <w:rsid w:val="00000068"/>
    <w:pPr>
      <w:keepNext/>
      <w:spacing w:before="240" w:after="60"/>
      <w:jc w:val="left"/>
      <w:outlineLvl w:val="3"/>
    </w:pPr>
    <w:rPr>
      <w:rFonts w:eastAsia="Times New Roman" w:cs="Times New Roman"/>
      <w:b/>
      <w:bCs/>
      <w:sz w:val="22"/>
      <w:szCs w:val="28"/>
      <w:lang w:eastAsia="pl-PL"/>
    </w:rPr>
  </w:style>
  <w:style w:type="paragraph" w:styleId="Nagwek5">
    <w:name w:val="heading 5"/>
    <w:basedOn w:val="Normalny"/>
    <w:next w:val="Normalny"/>
    <w:link w:val="Nagwek5Znak"/>
    <w:uiPriority w:val="99"/>
    <w:qFormat/>
    <w:rsid w:val="00000068"/>
    <w:pPr>
      <w:spacing w:before="240" w:after="60"/>
      <w:jc w:val="left"/>
      <w:outlineLvl w:val="4"/>
    </w:pPr>
    <w:rPr>
      <w:rFonts w:ascii="Calibri" w:eastAsia="Times New Roman" w:hAnsi="Calibri" w:cs="Times New Roman"/>
      <w:b/>
      <w:bCs/>
      <w:i/>
      <w:iCs/>
      <w:sz w:val="26"/>
      <w:szCs w:val="26"/>
      <w:lang w:eastAsia="pl-PL"/>
    </w:rPr>
  </w:style>
  <w:style w:type="paragraph" w:styleId="Nagwek7">
    <w:name w:val="heading 7"/>
    <w:basedOn w:val="Normalny"/>
    <w:next w:val="Normalny"/>
    <w:link w:val="Nagwek7Znak"/>
    <w:uiPriority w:val="99"/>
    <w:qFormat/>
    <w:rsid w:val="00000068"/>
    <w:pPr>
      <w:keepNext/>
      <w:keepLines/>
      <w:spacing w:before="200" w:after="0" w:line="276" w:lineRule="auto"/>
      <w:jc w:val="left"/>
      <w:outlineLvl w:val="6"/>
    </w:pPr>
    <w:rPr>
      <w:rFonts w:ascii="Cambria" w:eastAsia="Times New Roman" w:hAnsi="Cambria" w:cs="Times New Roman"/>
      <w:i/>
      <w:iCs/>
      <w:color w:val="404040"/>
      <w:sz w:val="22"/>
    </w:rPr>
  </w:style>
  <w:style w:type="paragraph" w:styleId="Nagwek9">
    <w:name w:val="heading 9"/>
    <w:basedOn w:val="Normalny"/>
    <w:next w:val="Normalny"/>
    <w:link w:val="Nagwek9Znak"/>
    <w:uiPriority w:val="99"/>
    <w:qFormat/>
    <w:rsid w:val="00000068"/>
    <w:pPr>
      <w:keepNext/>
      <w:keepLines/>
      <w:spacing w:before="200" w:after="0" w:line="276" w:lineRule="auto"/>
      <w:jc w:val="left"/>
      <w:outlineLvl w:val="8"/>
    </w:pPr>
    <w:rPr>
      <w:rFonts w:ascii="Cambria" w:eastAsia="Times New Roman" w:hAnsi="Cambria" w:cs="Times New Roman"/>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AF7E5E"/>
    <w:rPr>
      <w:rFonts w:ascii="Corbel" w:eastAsiaTheme="majorEastAsia" w:hAnsi="Corbel" w:cstheme="majorBidi"/>
      <w:b/>
      <w:sz w:val="32"/>
      <w:szCs w:val="32"/>
    </w:rPr>
  </w:style>
  <w:style w:type="character" w:customStyle="1" w:styleId="Nagwek2Znak">
    <w:name w:val="Nagłówek 2 Znak"/>
    <w:basedOn w:val="Domylnaczcionkaakapitu"/>
    <w:link w:val="Nagwek2"/>
    <w:uiPriority w:val="99"/>
    <w:rsid w:val="00AF7E5E"/>
    <w:rPr>
      <w:rFonts w:ascii="Corbel" w:eastAsiaTheme="majorEastAsia" w:hAnsi="Corbel" w:cstheme="majorBidi"/>
      <w:b/>
      <w:sz w:val="28"/>
      <w:szCs w:val="26"/>
    </w:rPr>
  </w:style>
  <w:style w:type="character" w:customStyle="1" w:styleId="Nagwek3Znak">
    <w:name w:val="Nagłówek 3 Znak"/>
    <w:basedOn w:val="Domylnaczcionkaakapitu"/>
    <w:link w:val="Nagwek3"/>
    <w:uiPriority w:val="99"/>
    <w:rsid w:val="00AF7E5E"/>
    <w:rPr>
      <w:rFonts w:ascii="Corbel" w:eastAsiaTheme="majorEastAsia" w:hAnsi="Corbel" w:cstheme="majorBidi"/>
      <w:b/>
      <w:sz w:val="24"/>
      <w:szCs w:val="24"/>
    </w:rPr>
  </w:style>
  <w:style w:type="character" w:customStyle="1" w:styleId="Nagwek4Znak">
    <w:name w:val="Nagłówek 4 Znak"/>
    <w:basedOn w:val="Domylnaczcionkaakapitu"/>
    <w:link w:val="Nagwek4"/>
    <w:uiPriority w:val="99"/>
    <w:rsid w:val="00000068"/>
    <w:rPr>
      <w:rFonts w:ascii="Corbel" w:eastAsia="Times New Roman" w:hAnsi="Corbel" w:cs="Times New Roman"/>
      <w:b/>
      <w:bCs/>
      <w:szCs w:val="28"/>
      <w:lang w:eastAsia="pl-PL"/>
    </w:rPr>
  </w:style>
  <w:style w:type="character" w:customStyle="1" w:styleId="Nagwek5Znak">
    <w:name w:val="Nagłówek 5 Znak"/>
    <w:basedOn w:val="Domylnaczcionkaakapitu"/>
    <w:link w:val="Nagwek5"/>
    <w:uiPriority w:val="99"/>
    <w:rsid w:val="00000068"/>
    <w:rPr>
      <w:rFonts w:ascii="Calibri" w:eastAsia="Times New Roman" w:hAnsi="Calibri" w:cs="Times New Roman"/>
      <w:b/>
      <w:bCs/>
      <w:i/>
      <w:iCs/>
      <w:sz w:val="26"/>
      <w:szCs w:val="26"/>
      <w:lang w:eastAsia="pl-PL"/>
    </w:rPr>
  </w:style>
  <w:style w:type="character" w:customStyle="1" w:styleId="Nagwek7Znak">
    <w:name w:val="Nagłówek 7 Znak"/>
    <w:basedOn w:val="Domylnaczcionkaakapitu"/>
    <w:link w:val="Nagwek7"/>
    <w:uiPriority w:val="99"/>
    <w:rsid w:val="00000068"/>
    <w:rPr>
      <w:rFonts w:ascii="Cambria" w:eastAsia="Times New Roman" w:hAnsi="Cambria" w:cs="Times New Roman"/>
      <w:i/>
      <w:iCs/>
      <w:color w:val="404040"/>
    </w:rPr>
  </w:style>
  <w:style w:type="character" w:customStyle="1" w:styleId="Nagwek9Znak">
    <w:name w:val="Nagłówek 9 Znak"/>
    <w:basedOn w:val="Domylnaczcionkaakapitu"/>
    <w:link w:val="Nagwek9"/>
    <w:uiPriority w:val="99"/>
    <w:rsid w:val="00000068"/>
    <w:rPr>
      <w:rFonts w:ascii="Cambria" w:eastAsia="Times New Roman" w:hAnsi="Cambria" w:cs="Times New Roman"/>
      <w:i/>
      <w:iCs/>
      <w:color w:val="404040"/>
      <w:sz w:val="20"/>
      <w:szCs w:val="20"/>
    </w:rPr>
  </w:style>
  <w:style w:type="paragraph" w:styleId="Akapitzlist">
    <w:name w:val="List Paragraph"/>
    <w:aliases w:val="Punkt. 1,Styl 1,TABELA,źródła,Nagłowek 3,punktowane_snoroa"/>
    <w:basedOn w:val="Normalny"/>
    <w:link w:val="AkapitzlistZnak"/>
    <w:uiPriority w:val="34"/>
    <w:qFormat/>
    <w:rsid w:val="00AF7E5E"/>
    <w:pPr>
      <w:ind w:left="720"/>
      <w:contextualSpacing/>
    </w:pPr>
  </w:style>
  <w:style w:type="character" w:customStyle="1" w:styleId="AkapitzlistZnak">
    <w:name w:val="Akapit z listą Znak"/>
    <w:aliases w:val="Punkt. 1 Znak,Styl 1 Znak,TABELA Znak,źródła Znak,Nagłowek 3 Znak,punktowane_snoroa Znak"/>
    <w:basedOn w:val="Domylnaczcionkaakapitu"/>
    <w:link w:val="Akapitzlist"/>
    <w:uiPriority w:val="34"/>
    <w:locked/>
    <w:rsid w:val="00D95859"/>
    <w:rPr>
      <w:rFonts w:ascii="Corbel" w:hAnsi="Corbel"/>
      <w:sz w:val="24"/>
    </w:rPr>
  </w:style>
  <w:style w:type="paragraph" w:customStyle="1" w:styleId="StandardowyTekst">
    <w:name w:val="StandardowyTekst"/>
    <w:basedOn w:val="Normalny"/>
    <w:link w:val="StandardowyTekstZnak"/>
    <w:uiPriority w:val="99"/>
    <w:rsid w:val="00BD280A"/>
    <w:pPr>
      <w:spacing w:after="0" w:line="320" w:lineRule="atLeast"/>
    </w:pPr>
    <w:rPr>
      <w:rFonts w:ascii="Times New Roman" w:eastAsia="Times New Roman" w:hAnsi="Times New Roman" w:cs="Times New Roman"/>
      <w:sz w:val="22"/>
      <w:szCs w:val="20"/>
      <w:lang w:eastAsia="pl-PL"/>
    </w:rPr>
  </w:style>
  <w:style w:type="table" w:styleId="Tabela-Siatka">
    <w:name w:val="Table Grid"/>
    <w:basedOn w:val="Standardowy"/>
    <w:uiPriority w:val="39"/>
    <w:rsid w:val="00BD280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rsid w:val="00D65DFC"/>
    <w:rPr>
      <w:rFonts w:cs="Times New Roman"/>
      <w:sz w:val="16"/>
    </w:rPr>
  </w:style>
  <w:style w:type="paragraph" w:styleId="Tekstdymka">
    <w:name w:val="Balloon Text"/>
    <w:basedOn w:val="Normalny"/>
    <w:link w:val="TekstdymkaZnak"/>
    <w:autoRedefine/>
    <w:uiPriority w:val="99"/>
    <w:semiHidden/>
    <w:rsid w:val="00000068"/>
    <w:pPr>
      <w:spacing w:after="0"/>
      <w:jc w:val="left"/>
    </w:pPr>
    <w:rPr>
      <w:rFonts w:ascii="Times New Roman" w:eastAsia="Times New Roman" w:hAnsi="Times New Roman" w:cs="Times New Roman"/>
      <w:sz w:val="16"/>
      <w:szCs w:val="20"/>
      <w:lang w:eastAsia="pl-PL"/>
    </w:rPr>
  </w:style>
  <w:style w:type="character" w:customStyle="1" w:styleId="TekstdymkaZnak">
    <w:name w:val="Tekst dymka Znak"/>
    <w:basedOn w:val="Domylnaczcionkaakapitu"/>
    <w:link w:val="Tekstdymka"/>
    <w:uiPriority w:val="99"/>
    <w:semiHidden/>
    <w:rsid w:val="00000068"/>
    <w:rPr>
      <w:rFonts w:ascii="Times New Roman" w:eastAsia="Times New Roman" w:hAnsi="Times New Roman" w:cs="Times New Roman"/>
      <w:sz w:val="16"/>
      <w:szCs w:val="20"/>
      <w:lang w:eastAsia="pl-PL"/>
    </w:rPr>
  </w:style>
  <w:style w:type="character" w:styleId="Odwoanieprzypisudolnego">
    <w:name w:val="footnote reference"/>
    <w:aliases w:val="(Footnote Reference),Appel note de bas de,BVI fnr,EN Footnote Reference,Exposant 3 Point,Footnote Reference Superscript,Footnote reference number,Footnote symbol,SUPERS,Times 10 Point,Voetnootverwijzing,note TESI"/>
    <w:basedOn w:val="Domylnaczcionkaakapitu"/>
    <w:rsid w:val="00000068"/>
    <w:rPr>
      <w:rFonts w:cs="Times New Roman"/>
      <w:vertAlign w:val="superscript"/>
    </w:rPr>
  </w:style>
  <w:style w:type="paragraph" w:styleId="Tekstprzypisudolnego">
    <w:name w:val="footnote text"/>
    <w:aliases w:val="-E Fußnotentext,-E Fuﬂnotentext,Footnote,Footnote text,Fußnote,Fußnotentext Ursprung,Fuﬂnotentext Ursprung,Podrozdzia3,Podrozdział,Tekst przypisu Znak Znak Znak Znak,Tekst przypisu Znak Znak Znak Znak Znak"/>
    <w:basedOn w:val="Normalny"/>
    <w:link w:val="TekstprzypisudolnegoZnak"/>
    <w:uiPriority w:val="99"/>
    <w:rsid w:val="00356B50"/>
    <w:pPr>
      <w:spacing w:after="0"/>
      <w:jc w:val="left"/>
    </w:pPr>
    <w:rPr>
      <w:rFonts w:ascii="Times New Roman" w:eastAsia="Times New Roman" w:hAnsi="Times New Roman" w:cs="Times New Roman"/>
      <w:sz w:val="20"/>
      <w:szCs w:val="20"/>
    </w:rPr>
  </w:style>
  <w:style w:type="character" w:customStyle="1" w:styleId="TekstprzypisudolnegoZnak">
    <w:name w:val="Tekst przypisu dolnego Znak"/>
    <w:aliases w:val="-E Fußnotentext Znak,-E Fuﬂnotentext Znak,Footnote Znak,Footnote text Znak,Fußnote Znak,Fußnotentext Ursprung Znak,Fuﬂnotentext Ursprung Znak,Podrozdzia3 Znak,Podrozdział Znak,Tekst przypisu Znak Znak Znak Znak Znak1"/>
    <w:basedOn w:val="Domylnaczcionkaakapitu"/>
    <w:link w:val="Tekstprzypisudolnego"/>
    <w:uiPriority w:val="99"/>
    <w:rsid w:val="00000068"/>
    <w:rPr>
      <w:rFonts w:ascii="Times New Roman" w:eastAsia="Times New Roman" w:hAnsi="Times New Roman" w:cs="Times New Roman"/>
      <w:sz w:val="20"/>
      <w:szCs w:val="20"/>
    </w:rPr>
  </w:style>
  <w:style w:type="character" w:customStyle="1" w:styleId="FootnoteTextChar">
    <w:name w:val="Footnote Text Char"/>
    <w:aliases w:val="-E Fußnotentext Char,-E Fuﬂnotentext Char,Footnote Char,Footnote text Char,Fußnote Char,Fußnotentext Ursprung Char,Fuﬂnotentext Ursprung Char,Podrozdzia3 Char,Podrozdział Char,Tekst przypisu Znak Znak Znak Znak Char"/>
    <w:basedOn w:val="Domylnaczcionkaakapitu"/>
    <w:uiPriority w:val="99"/>
    <w:semiHidden/>
    <w:locked/>
    <w:rsid w:val="00000068"/>
    <w:rPr>
      <w:lang w:val="pl-PL" w:eastAsia="en-US"/>
    </w:rPr>
  </w:style>
  <w:style w:type="paragraph" w:customStyle="1" w:styleId="ParaNo">
    <w:name w:val="ParaNo."/>
    <w:basedOn w:val="Normalny"/>
    <w:uiPriority w:val="99"/>
    <w:rsid w:val="00000068"/>
    <w:pPr>
      <w:numPr>
        <w:numId w:val="2"/>
      </w:numPr>
      <w:tabs>
        <w:tab w:val="clear" w:pos="360"/>
      </w:tabs>
      <w:spacing w:after="200" w:line="288" w:lineRule="auto"/>
    </w:pPr>
    <w:rPr>
      <w:rFonts w:ascii="Times New Roman" w:eastAsia="Times New Roman" w:hAnsi="Times New Roman" w:cs="Times New Roman"/>
      <w:szCs w:val="20"/>
      <w:lang w:val="en-GB"/>
    </w:rPr>
  </w:style>
  <w:style w:type="paragraph" w:styleId="Spistreci1">
    <w:name w:val="toc 1"/>
    <w:basedOn w:val="Normalny"/>
    <w:next w:val="Normalny"/>
    <w:autoRedefine/>
    <w:uiPriority w:val="39"/>
    <w:rsid w:val="00BB583E"/>
    <w:pPr>
      <w:tabs>
        <w:tab w:val="left" w:pos="8789"/>
      </w:tabs>
      <w:spacing w:after="0"/>
      <w:ind w:left="284" w:hanging="284"/>
      <w:jc w:val="left"/>
    </w:pPr>
    <w:rPr>
      <w:rFonts w:eastAsia="Times New Roman" w:cs="Times New Roman"/>
      <w:b/>
      <w:bCs/>
      <w:caps/>
      <w:noProof/>
      <w:sz w:val="20"/>
      <w:szCs w:val="20"/>
      <w:lang w:eastAsia="pl-PL"/>
    </w:rPr>
  </w:style>
  <w:style w:type="paragraph" w:styleId="Mapadokumentu">
    <w:name w:val="Document Map"/>
    <w:basedOn w:val="Normalny"/>
    <w:link w:val="MapadokumentuZnak"/>
    <w:uiPriority w:val="99"/>
    <w:semiHidden/>
    <w:rsid w:val="00000068"/>
    <w:pPr>
      <w:shd w:val="clear" w:color="auto" w:fill="000080"/>
      <w:spacing w:after="0"/>
      <w:jc w:val="left"/>
    </w:pPr>
    <w:rPr>
      <w:rFonts w:ascii="Times New Roman" w:eastAsia="Times New Roman" w:hAnsi="Times New Roman" w:cs="Times New Roman"/>
      <w:sz w:val="2"/>
      <w:szCs w:val="20"/>
      <w:lang w:eastAsia="pl-PL"/>
    </w:rPr>
  </w:style>
  <w:style w:type="character" w:customStyle="1" w:styleId="MapadokumentuZnak">
    <w:name w:val="Mapa dokumentu Znak"/>
    <w:basedOn w:val="Domylnaczcionkaakapitu"/>
    <w:link w:val="Mapadokumentu"/>
    <w:uiPriority w:val="99"/>
    <w:semiHidden/>
    <w:rsid w:val="00000068"/>
    <w:rPr>
      <w:rFonts w:ascii="Times New Roman" w:eastAsia="Times New Roman" w:hAnsi="Times New Roman" w:cs="Times New Roman"/>
      <w:sz w:val="2"/>
      <w:szCs w:val="20"/>
      <w:shd w:val="clear" w:color="auto" w:fill="000080"/>
      <w:lang w:eastAsia="pl-PL"/>
    </w:rPr>
  </w:style>
  <w:style w:type="character" w:styleId="Pogrubienie">
    <w:name w:val="Strong"/>
    <w:basedOn w:val="Domylnaczcionkaakapitu"/>
    <w:uiPriority w:val="99"/>
    <w:qFormat/>
    <w:rsid w:val="00000068"/>
    <w:rPr>
      <w:rFonts w:cs="Times New Roman"/>
      <w:b/>
    </w:rPr>
  </w:style>
  <w:style w:type="paragraph" w:styleId="Tekstpodstawowy">
    <w:name w:val="Body Text"/>
    <w:basedOn w:val="Normalny"/>
    <w:link w:val="TekstpodstawowyZnak"/>
    <w:uiPriority w:val="99"/>
    <w:rsid w:val="00000068"/>
    <w:pPr>
      <w:spacing w:after="120"/>
      <w:jc w:val="left"/>
    </w:pPr>
    <w:rPr>
      <w:rFonts w:ascii="Times New Roman" w:eastAsia="Times New Roman" w:hAnsi="Times New Roman" w:cs="Times New Roman"/>
      <w:szCs w:val="24"/>
      <w:lang w:eastAsia="pl-PL"/>
    </w:rPr>
  </w:style>
  <w:style w:type="character" w:customStyle="1" w:styleId="TekstpodstawowyZnak">
    <w:name w:val="Tekst podstawowy Znak"/>
    <w:basedOn w:val="Domylnaczcionkaakapitu"/>
    <w:link w:val="Tekstpodstawowy"/>
    <w:uiPriority w:val="99"/>
    <w:rsid w:val="00000068"/>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rsid w:val="00000068"/>
    <w:pPr>
      <w:spacing w:after="0"/>
      <w:jc w:val="left"/>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000068"/>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rsid w:val="00000068"/>
    <w:rPr>
      <w:rFonts w:cs="Times New Roman"/>
      <w:vertAlign w:val="superscript"/>
    </w:rPr>
  </w:style>
  <w:style w:type="paragraph" w:styleId="Tekstkomentarza">
    <w:name w:val="annotation text"/>
    <w:basedOn w:val="Normalny"/>
    <w:link w:val="TekstkomentarzaZnak"/>
    <w:uiPriority w:val="99"/>
    <w:rsid w:val="00000068"/>
    <w:pPr>
      <w:spacing w:after="0"/>
      <w:jc w:val="left"/>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00006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000068"/>
    <w:rPr>
      <w:b/>
      <w:bCs/>
    </w:rPr>
  </w:style>
  <w:style w:type="character" w:customStyle="1" w:styleId="TematkomentarzaZnak">
    <w:name w:val="Temat komentarza Znak"/>
    <w:basedOn w:val="TekstkomentarzaZnak"/>
    <w:link w:val="Tematkomentarza"/>
    <w:uiPriority w:val="99"/>
    <w:semiHidden/>
    <w:rsid w:val="00000068"/>
    <w:rPr>
      <w:rFonts w:ascii="Times New Roman" w:eastAsia="Times New Roman" w:hAnsi="Times New Roman" w:cs="Times New Roman"/>
      <w:b/>
      <w:bCs/>
      <w:sz w:val="20"/>
      <w:szCs w:val="20"/>
      <w:lang w:eastAsia="pl-PL"/>
    </w:rPr>
  </w:style>
  <w:style w:type="paragraph" w:styleId="NormalnyWeb">
    <w:name w:val="Normal (Web)"/>
    <w:basedOn w:val="Normalny"/>
    <w:uiPriority w:val="99"/>
    <w:rsid w:val="00000068"/>
    <w:pPr>
      <w:spacing w:before="100" w:beforeAutospacing="1" w:after="100" w:afterAutospacing="1"/>
      <w:jc w:val="left"/>
    </w:pPr>
    <w:rPr>
      <w:rFonts w:ascii="Times New Roman" w:eastAsia="Times New Roman" w:hAnsi="Times New Roman" w:cs="Times New Roman"/>
      <w:szCs w:val="24"/>
      <w:lang w:eastAsia="pl-PL"/>
    </w:rPr>
  </w:style>
  <w:style w:type="character" w:styleId="Hipercze">
    <w:name w:val="Hyperlink"/>
    <w:basedOn w:val="Domylnaczcionkaakapitu"/>
    <w:uiPriority w:val="99"/>
    <w:rsid w:val="00000068"/>
    <w:rPr>
      <w:rFonts w:cs="Times New Roman"/>
      <w:color w:val="FFFFFF"/>
      <w:u w:val="single"/>
    </w:rPr>
  </w:style>
  <w:style w:type="paragraph" w:customStyle="1" w:styleId="bodytext">
    <w:name w:val="bodytext"/>
    <w:basedOn w:val="Normalny"/>
    <w:rsid w:val="00000068"/>
    <w:pPr>
      <w:spacing w:after="0"/>
      <w:jc w:val="left"/>
    </w:pPr>
    <w:rPr>
      <w:rFonts w:ascii="Times New Roman" w:eastAsia="Times New Roman" w:hAnsi="Times New Roman" w:cs="Times New Roman"/>
      <w:szCs w:val="24"/>
      <w:lang w:eastAsia="pl-PL"/>
    </w:rPr>
  </w:style>
  <w:style w:type="paragraph" w:styleId="Stopka">
    <w:name w:val="footer"/>
    <w:basedOn w:val="Normalny"/>
    <w:link w:val="StopkaZnak"/>
    <w:uiPriority w:val="99"/>
    <w:rsid w:val="00000068"/>
    <w:pPr>
      <w:tabs>
        <w:tab w:val="center" w:pos="4536"/>
        <w:tab w:val="right" w:pos="9072"/>
      </w:tabs>
      <w:spacing w:after="0"/>
      <w:jc w:val="left"/>
    </w:pPr>
    <w:rPr>
      <w:rFonts w:ascii="Times New Roman" w:eastAsia="Times New Roman" w:hAnsi="Times New Roman" w:cs="Times New Roman"/>
      <w:szCs w:val="24"/>
      <w:lang w:eastAsia="pl-PL"/>
    </w:rPr>
  </w:style>
  <w:style w:type="character" w:customStyle="1" w:styleId="StopkaZnak">
    <w:name w:val="Stopka Znak"/>
    <w:basedOn w:val="Domylnaczcionkaakapitu"/>
    <w:link w:val="Stopka"/>
    <w:uiPriority w:val="99"/>
    <w:rsid w:val="00000068"/>
    <w:rPr>
      <w:rFonts w:ascii="Times New Roman" w:eastAsia="Times New Roman" w:hAnsi="Times New Roman" w:cs="Times New Roman"/>
      <w:sz w:val="24"/>
      <w:szCs w:val="24"/>
      <w:lang w:eastAsia="pl-PL"/>
    </w:rPr>
  </w:style>
  <w:style w:type="character" w:styleId="Numerstrony">
    <w:name w:val="page number"/>
    <w:basedOn w:val="Domylnaczcionkaakapitu"/>
    <w:uiPriority w:val="99"/>
    <w:rsid w:val="00000068"/>
    <w:rPr>
      <w:rFonts w:cs="Times New Roman"/>
    </w:rPr>
  </w:style>
  <w:style w:type="paragraph" w:styleId="Tytu">
    <w:name w:val="Title"/>
    <w:basedOn w:val="Normalny"/>
    <w:link w:val="TytuZnak"/>
    <w:uiPriority w:val="99"/>
    <w:qFormat/>
    <w:rsid w:val="00000068"/>
    <w:pPr>
      <w:spacing w:after="0"/>
      <w:jc w:val="center"/>
    </w:pPr>
    <w:rPr>
      <w:rFonts w:ascii="Cambria" w:eastAsia="Times New Roman" w:hAnsi="Cambria" w:cs="Times New Roman"/>
      <w:b/>
      <w:bCs/>
      <w:kern w:val="28"/>
      <w:sz w:val="32"/>
      <w:szCs w:val="32"/>
      <w:lang w:eastAsia="pl-PL"/>
    </w:rPr>
  </w:style>
  <w:style w:type="character" w:customStyle="1" w:styleId="TytuZnak">
    <w:name w:val="Tytuł Znak"/>
    <w:basedOn w:val="Domylnaczcionkaakapitu"/>
    <w:link w:val="Tytu"/>
    <w:uiPriority w:val="99"/>
    <w:rsid w:val="00000068"/>
    <w:rPr>
      <w:rFonts w:ascii="Cambria" w:eastAsia="Times New Roman" w:hAnsi="Cambria" w:cs="Times New Roman"/>
      <w:b/>
      <w:bCs/>
      <w:kern w:val="28"/>
      <w:sz w:val="32"/>
      <w:szCs w:val="32"/>
      <w:lang w:eastAsia="pl-PL"/>
    </w:rPr>
  </w:style>
  <w:style w:type="paragraph" w:styleId="Tekstpodstawowywcity">
    <w:name w:val="Body Text Indent"/>
    <w:basedOn w:val="Normalny"/>
    <w:link w:val="TekstpodstawowywcityZnak"/>
    <w:uiPriority w:val="99"/>
    <w:rsid w:val="00000068"/>
    <w:pPr>
      <w:spacing w:after="120"/>
      <w:ind w:left="283"/>
      <w:jc w:val="left"/>
    </w:pPr>
    <w:rPr>
      <w:rFonts w:ascii="Times New Roman" w:eastAsia="Times New Roman" w:hAnsi="Times New Roman" w:cs="Times New Roman"/>
      <w:szCs w:val="24"/>
      <w:lang w:eastAsia="pl-PL"/>
    </w:rPr>
  </w:style>
  <w:style w:type="character" w:customStyle="1" w:styleId="TekstpodstawowywcityZnak">
    <w:name w:val="Tekst podstawowy wcięty Znak"/>
    <w:basedOn w:val="Domylnaczcionkaakapitu"/>
    <w:link w:val="Tekstpodstawowywcity"/>
    <w:uiPriority w:val="99"/>
    <w:rsid w:val="00000068"/>
    <w:rPr>
      <w:rFonts w:ascii="Times New Roman" w:eastAsia="Times New Roman" w:hAnsi="Times New Roman" w:cs="Times New Roman"/>
      <w:sz w:val="24"/>
      <w:szCs w:val="24"/>
      <w:lang w:eastAsia="pl-PL"/>
    </w:rPr>
  </w:style>
  <w:style w:type="paragraph" w:customStyle="1" w:styleId="Bezodstpw1">
    <w:name w:val="Bez odstępów1"/>
    <w:uiPriority w:val="99"/>
    <w:rsid w:val="00000068"/>
    <w:pPr>
      <w:spacing w:after="0" w:line="240" w:lineRule="auto"/>
    </w:pPr>
    <w:rPr>
      <w:rFonts w:ascii="Calibri" w:eastAsia="Times New Roman" w:hAnsi="Calibri" w:cs="Times New Roman"/>
    </w:rPr>
  </w:style>
  <w:style w:type="paragraph" w:styleId="Legenda">
    <w:name w:val="caption"/>
    <w:basedOn w:val="Normalny"/>
    <w:next w:val="Normalny"/>
    <w:uiPriority w:val="99"/>
    <w:qFormat/>
    <w:rsid w:val="00000068"/>
    <w:pPr>
      <w:spacing w:after="0"/>
      <w:jc w:val="left"/>
    </w:pPr>
    <w:rPr>
      <w:rFonts w:ascii="Times New Roman" w:eastAsia="Times New Roman" w:hAnsi="Times New Roman" w:cs="Times New Roman"/>
      <w:b/>
      <w:bCs/>
      <w:sz w:val="20"/>
      <w:szCs w:val="20"/>
      <w:lang w:eastAsia="pl-PL"/>
    </w:rPr>
  </w:style>
  <w:style w:type="paragraph" w:styleId="Spistreci3">
    <w:name w:val="toc 3"/>
    <w:basedOn w:val="Normalny"/>
    <w:next w:val="Normalny"/>
    <w:autoRedefine/>
    <w:uiPriority w:val="39"/>
    <w:rsid w:val="00FB1BA4"/>
    <w:pPr>
      <w:tabs>
        <w:tab w:val="left" w:pos="1200"/>
        <w:tab w:val="left" w:pos="8789"/>
      </w:tabs>
      <w:spacing w:after="0" w:line="276" w:lineRule="auto"/>
      <w:ind w:left="482"/>
      <w:jc w:val="left"/>
    </w:pPr>
    <w:rPr>
      <w:rFonts w:eastAsia="Times New Roman" w:cs="Times New Roman"/>
      <w:iCs/>
      <w:noProof/>
      <w:sz w:val="20"/>
      <w:szCs w:val="20"/>
      <w:lang w:eastAsia="pl-PL"/>
    </w:rPr>
  </w:style>
  <w:style w:type="paragraph" w:styleId="Spistreci2">
    <w:name w:val="toc 2"/>
    <w:basedOn w:val="Normalny"/>
    <w:next w:val="Normalny"/>
    <w:autoRedefine/>
    <w:uiPriority w:val="39"/>
    <w:rsid w:val="00EE3AAE"/>
    <w:pPr>
      <w:tabs>
        <w:tab w:val="left" w:pos="709"/>
        <w:tab w:val="left" w:pos="8789"/>
      </w:tabs>
      <w:spacing w:after="0" w:line="276" w:lineRule="auto"/>
      <w:ind w:left="709" w:hanging="568"/>
      <w:jc w:val="left"/>
    </w:pPr>
    <w:rPr>
      <w:rFonts w:ascii="Lato" w:eastAsia="Times New Roman" w:hAnsi="Lato" w:cs="Times New Roman"/>
      <w:smallCaps/>
      <w:noProof/>
      <w:sz w:val="20"/>
      <w:szCs w:val="20"/>
      <w:lang w:eastAsia="pl-PL"/>
    </w:rPr>
  </w:style>
  <w:style w:type="paragraph" w:styleId="Spistreci4">
    <w:name w:val="toc 4"/>
    <w:basedOn w:val="Normalny"/>
    <w:next w:val="Normalny"/>
    <w:autoRedefine/>
    <w:uiPriority w:val="99"/>
    <w:rsid w:val="00000068"/>
    <w:pPr>
      <w:spacing w:after="0"/>
      <w:ind w:left="720"/>
      <w:jc w:val="left"/>
    </w:pPr>
    <w:rPr>
      <w:rFonts w:ascii="Times New Roman" w:eastAsia="Times New Roman" w:hAnsi="Times New Roman" w:cs="Times New Roman"/>
      <w:sz w:val="18"/>
      <w:szCs w:val="18"/>
      <w:lang w:eastAsia="pl-PL"/>
    </w:rPr>
  </w:style>
  <w:style w:type="paragraph" w:styleId="Spistreci5">
    <w:name w:val="toc 5"/>
    <w:basedOn w:val="Normalny"/>
    <w:next w:val="Normalny"/>
    <w:autoRedefine/>
    <w:uiPriority w:val="99"/>
    <w:rsid w:val="00000068"/>
    <w:pPr>
      <w:spacing w:after="0"/>
      <w:ind w:left="960"/>
      <w:jc w:val="left"/>
    </w:pPr>
    <w:rPr>
      <w:rFonts w:ascii="Times New Roman" w:eastAsia="Times New Roman" w:hAnsi="Times New Roman" w:cs="Times New Roman"/>
      <w:sz w:val="18"/>
      <w:szCs w:val="18"/>
      <w:lang w:eastAsia="pl-PL"/>
    </w:rPr>
  </w:style>
  <w:style w:type="paragraph" w:styleId="Spistreci6">
    <w:name w:val="toc 6"/>
    <w:basedOn w:val="Normalny"/>
    <w:next w:val="Normalny"/>
    <w:autoRedefine/>
    <w:uiPriority w:val="99"/>
    <w:rsid w:val="00000068"/>
    <w:pPr>
      <w:spacing w:after="0"/>
      <w:ind w:left="1200"/>
      <w:jc w:val="left"/>
    </w:pPr>
    <w:rPr>
      <w:rFonts w:ascii="Times New Roman" w:eastAsia="Times New Roman" w:hAnsi="Times New Roman" w:cs="Times New Roman"/>
      <w:sz w:val="18"/>
      <w:szCs w:val="18"/>
      <w:lang w:eastAsia="pl-PL"/>
    </w:rPr>
  </w:style>
  <w:style w:type="paragraph" w:styleId="Spistreci7">
    <w:name w:val="toc 7"/>
    <w:basedOn w:val="Normalny"/>
    <w:next w:val="Normalny"/>
    <w:autoRedefine/>
    <w:uiPriority w:val="99"/>
    <w:rsid w:val="00000068"/>
    <w:pPr>
      <w:spacing w:after="0"/>
      <w:ind w:left="1440"/>
      <w:jc w:val="left"/>
    </w:pPr>
    <w:rPr>
      <w:rFonts w:ascii="Times New Roman" w:eastAsia="Times New Roman" w:hAnsi="Times New Roman" w:cs="Times New Roman"/>
      <w:sz w:val="18"/>
      <w:szCs w:val="18"/>
      <w:lang w:eastAsia="pl-PL"/>
    </w:rPr>
  </w:style>
  <w:style w:type="paragraph" w:styleId="Spistreci8">
    <w:name w:val="toc 8"/>
    <w:basedOn w:val="Normalny"/>
    <w:next w:val="Normalny"/>
    <w:autoRedefine/>
    <w:uiPriority w:val="99"/>
    <w:rsid w:val="00000068"/>
    <w:pPr>
      <w:spacing w:after="0"/>
      <w:ind w:left="1680"/>
      <w:jc w:val="left"/>
    </w:pPr>
    <w:rPr>
      <w:rFonts w:ascii="Times New Roman" w:eastAsia="Times New Roman" w:hAnsi="Times New Roman" w:cs="Times New Roman"/>
      <w:sz w:val="18"/>
      <w:szCs w:val="18"/>
      <w:lang w:eastAsia="pl-PL"/>
    </w:rPr>
  </w:style>
  <w:style w:type="paragraph" w:styleId="Spistreci9">
    <w:name w:val="toc 9"/>
    <w:basedOn w:val="Normalny"/>
    <w:next w:val="Normalny"/>
    <w:autoRedefine/>
    <w:uiPriority w:val="99"/>
    <w:rsid w:val="00000068"/>
    <w:pPr>
      <w:spacing w:after="0"/>
      <w:ind w:left="1920"/>
      <w:jc w:val="left"/>
    </w:pPr>
    <w:rPr>
      <w:rFonts w:ascii="Times New Roman" w:eastAsia="Times New Roman" w:hAnsi="Times New Roman" w:cs="Times New Roman"/>
      <w:sz w:val="18"/>
      <w:szCs w:val="18"/>
      <w:lang w:eastAsia="pl-PL"/>
    </w:rPr>
  </w:style>
  <w:style w:type="paragraph" w:styleId="Tekstpodstawowy2">
    <w:name w:val="Body Text 2"/>
    <w:basedOn w:val="Normalny"/>
    <w:link w:val="Tekstpodstawowy2Znak"/>
    <w:uiPriority w:val="99"/>
    <w:rsid w:val="00000068"/>
    <w:pPr>
      <w:spacing w:after="120" w:line="480" w:lineRule="auto"/>
      <w:jc w:val="left"/>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000068"/>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rsid w:val="00000068"/>
    <w:pPr>
      <w:spacing w:after="200" w:line="276" w:lineRule="auto"/>
      <w:ind w:left="720"/>
      <w:contextualSpacing/>
      <w:jc w:val="left"/>
    </w:pPr>
    <w:rPr>
      <w:rFonts w:ascii="Calibri" w:eastAsia="Times New Roman" w:hAnsi="Calibri" w:cs="Times New Roman"/>
      <w:sz w:val="22"/>
    </w:rPr>
  </w:style>
  <w:style w:type="character" w:styleId="UyteHipercze">
    <w:name w:val="FollowedHyperlink"/>
    <w:basedOn w:val="Domylnaczcionkaakapitu"/>
    <w:uiPriority w:val="99"/>
    <w:rsid w:val="00000068"/>
    <w:rPr>
      <w:rFonts w:cs="Times New Roman"/>
      <w:color w:val="800080"/>
      <w:u w:val="single"/>
    </w:rPr>
  </w:style>
  <w:style w:type="paragraph" w:styleId="Tekstpodstawowywcity3">
    <w:name w:val="Body Text Indent 3"/>
    <w:basedOn w:val="Normalny"/>
    <w:link w:val="Tekstpodstawowywcity3Znak"/>
    <w:uiPriority w:val="99"/>
    <w:rsid w:val="00000068"/>
    <w:pPr>
      <w:spacing w:after="120"/>
      <w:ind w:left="283"/>
      <w:jc w:val="left"/>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uiPriority w:val="99"/>
    <w:rsid w:val="00000068"/>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uiPriority w:val="99"/>
    <w:rsid w:val="00000068"/>
    <w:pPr>
      <w:spacing w:after="120" w:line="480" w:lineRule="auto"/>
      <w:ind w:left="283"/>
      <w:jc w:val="left"/>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uiPriority w:val="99"/>
    <w:rsid w:val="00000068"/>
    <w:rPr>
      <w:rFonts w:ascii="Times New Roman" w:eastAsia="Times New Roman" w:hAnsi="Times New Roman" w:cs="Times New Roman"/>
      <w:sz w:val="24"/>
      <w:szCs w:val="24"/>
      <w:lang w:eastAsia="pl-PL"/>
    </w:rPr>
  </w:style>
  <w:style w:type="paragraph" w:customStyle="1" w:styleId="ListParagraph1">
    <w:name w:val="List Paragraph1"/>
    <w:basedOn w:val="Normalny"/>
    <w:uiPriority w:val="99"/>
    <w:rsid w:val="00000068"/>
    <w:pPr>
      <w:spacing w:after="200" w:line="276" w:lineRule="auto"/>
      <w:ind w:left="720"/>
      <w:contextualSpacing/>
      <w:jc w:val="left"/>
    </w:pPr>
    <w:rPr>
      <w:rFonts w:ascii="Calibri" w:eastAsia="Times New Roman" w:hAnsi="Calibri" w:cs="Times New Roman"/>
      <w:sz w:val="22"/>
    </w:rPr>
  </w:style>
  <w:style w:type="paragraph" w:styleId="Nagwek">
    <w:name w:val="header"/>
    <w:basedOn w:val="Normalny"/>
    <w:link w:val="NagwekZnak"/>
    <w:uiPriority w:val="99"/>
    <w:rsid w:val="00000068"/>
    <w:pPr>
      <w:tabs>
        <w:tab w:val="center" w:pos="4536"/>
        <w:tab w:val="right" w:pos="9072"/>
      </w:tabs>
      <w:spacing w:after="0"/>
      <w:jc w:val="left"/>
    </w:pPr>
    <w:rPr>
      <w:rFonts w:ascii="Times New Roman" w:eastAsia="Times New Roman" w:hAnsi="Times New Roman" w:cs="Times New Roman"/>
      <w:szCs w:val="24"/>
      <w:lang w:eastAsia="pl-PL"/>
    </w:rPr>
  </w:style>
  <w:style w:type="character" w:customStyle="1" w:styleId="NagwekZnak">
    <w:name w:val="Nagłówek Znak"/>
    <w:basedOn w:val="Domylnaczcionkaakapitu"/>
    <w:link w:val="Nagwek"/>
    <w:uiPriority w:val="99"/>
    <w:rsid w:val="00000068"/>
    <w:rPr>
      <w:rFonts w:ascii="Times New Roman" w:eastAsia="Times New Roman" w:hAnsi="Times New Roman" w:cs="Times New Roman"/>
      <w:sz w:val="24"/>
      <w:szCs w:val="24"/>
      <w:lang w:eastAsia="pl-PL"/>
    </w:rPr>
  </w:style>
  <w:style w:type="paragraph" w:customStyle="1" w:styleId="Akapitzlist2">
    <w:name w:val="Akapit z listą2"/>
    <w:basedOn w:val="Normalny"/>
    <w:uiPriority w:val="99"/>
    <w:rsid w:val="00000068"/>
    <w:pPr>
      <w:spacing w:after="0"/>
      <w:ind w:left="720"/>
      <w:contextualSpacing/>
      <w:jc w:val="left"/>
    </w:pPr>
    <w:rPr>
      <w:rFonts w:ascii="Times New Roman" w:eastAsia="Times New Roman" w:hAnsi="Times New Roman" w:cs="Times New Roman"/>
      <w:szCs w:val="24"/>
      <w:lang w:eastAsia="pl-PL"/>
    </w:rPr>
  </w:style>
  <w:style w:type="character" w:customStyle="1" w:styleId="ZnakZnak3">
    <w:name w:val="Znak Znak3"/>
    <w:uiPriority w:val="99"/>
    <w:semiHidden/>
    <w:locked/>
    <w:rsid w:val="00000068"/>
    <w:rPr>
      <w:lang w:val="pl-PL" w:eastAsia="pl-PL"/>
    </w:rPr>
  </w:style>
  <w:style w:type="paragraph" w:customStyle="1" w:styleId="Bezodstpw2">
    <w:name w:val="Bez odstępów2"/>
    <w:uiPriority w:val="99"/>
    <w:rsid w:val="00000068"/>
    <w:pPr>
      <w:spacing w:after="0" w:line="240" w:lineRule="auto"/>
    </w:pPr>
    <w:rPr>
      <w:rFonts w:ascii="Calibri" w:eastAsia="Times New Roman" w:hAnsi="Calibri" w:cs="Times New Roman"/>
    </w:rPr>
  </w:style>
  <w:style w:type="character" w:customStyle="1" w:styleId="ZnakZnak31">
    <w:name w:val="Znak Znak31"/>
    <w:uiPriority w:val="99"/>
    <w:semiHidden/>
    <w:locked/>
    <w:rsid w:val="00000068"/>
    <w:rPr>
      <w:lang w:val="pl-PL" w:eastAsia="pl-PL"/>
    </w:rPr>
  </w:style>
  <w:style w:type="table" w:styleId="Tabela-Elegancki">
    <w:name w:val="Table Elegant"/>
    <w:basedOn w:val="Standardowy"/>
    <w:uiPriority w:val="99"/>
    <w:rsid w:val="00000068"/>
    <w:pPr>
      <w:spacing w:after="0" w:line="240" w:lineRule="auto"/>
    </w:pPr>
    <w:rPr>
      <w:rFonts w:ascii="Times New Roman" w:eastAsia="Times New Roman" w:hAnsi="Times New Roman" w:cs="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wyroznienie">
    <w:name w:val="wyroznienie"/>
    <w:basedOn w:val="Domylnaczcionkaakapitu"/>
    <w:uiPriority w:val="99"/>
    <w:rsid w:val="00000068"/>
    <w:rPr>
      <w:rFonts w:cs="Times New Roman"/>
    </w:rPr>
  </w:style>
  <w:style w:type="character" w:customStyle="1" w:styleId="min">
    <w:name w:val="min"/>
    <w:basedOn w:val="Domylnaczcionkaakapitu"/>
    <w:uiPriority w:val="99"/>
    <w:rsid w:val="00000068"/>
    <w:rPr>
      <w:rFonts w:cs="Times New Roman"/>
    </w:rPr>
  </w:style>
  <w:style w:type="paragraph" w:styleId="Bezodstpw">
    <w:name w:val="No Spacing"/>
    <w:uiPriority w:val="1"/>
    <w:qFormat/>
    <w:rsid w:val="00000068"/>
    <w:pPr>
      <w:spacing w:after="0" w:line="240" w:lineRule="auto"/>
    </w:pPr>
    <w:rPr>
      <w:rFonts w:ascii="Calibri" w:eastAsia="Times New Roman" w:hAnsi="Calibri" w:cs="Times New Roman"/>
    </w:rPr>
  </w:style>
  <w:style w:type="paragraph" w:styleId="Nagwekspisutreci">
    <w:name w:val="TOC Heading"/>
    <w:basedOn w:val="Nagwek1"/>
    <w:next w:val="Normalny"/>
    <w:uiPriority w:val="39"/>
    <w:qFormat/>
    <w:rsid w:val="00000068"/>
    <w:pPr>
      <w:spacing w:before="480" w:line="276" w:lineRule="auto"/>
      <w:jc w:val="left"/>
      <w:outlineLvl w:val="9"/>
    </w:pPr>
    <w:rPr>
      <w:rFonts w:ascii="Cambria" w:eastAsia="Times New Roman" w:hAnsi="Cambria" w:cs="Times New Roman"/>
      <w:bCs/>
      <w:color w:val="365F91"/>
      <w:sz w:val="28"/>
      <w:szCs w:val="28"/>
      <w:lang w:eastAsia="pl-PL"/>
    </w:rPr>
  </w:style>
  <w:style w:type="table" w:customStyle="1" w:styleId="Tabela-Siatka1">
    <w:name w:val="Tabela - Siatka1"/>
    <w:uiPriority w:val="99"/>
    <w:rsid w:val="0000006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apitzlist21">
    <w:name w:val="Akapit z listą21"/>
    <w:basedOn w:val="Normalny"/>
    <w:uiPriority w:val="99"/>
    <w:rsid w:val="00000068"/>
    <w:pPr>
      <w:spacing w:after="0"/>
      <w:ind w:left="720"/>
      <w:contextualSpacing/>
      <w:jc w:val="left"/>
    </w:pPr>
    <w:rPr>
      <w:rFonts w:ascii="Times New Roman" w:eastAsia="Times New Roman" w:hAnsi="Times New Roman" w:cs="Times New Roman"/>
      <w:szCs w:val="24"/>
      <w:lang w:eastAsia="pl-PL"/>
    </w:rPr>
  </w:style>
  <w:style w:type="paragraph" w:customStyle="1" w:styleId="Bezodstpw21">
    <w:name w:val="Bez odstępów21"/>
    <w:uiPriority w:val="99"/>
    <w:rsid w:val="00000068"/>
    <w:pPr>
      <w:spacing w:after="0" w:line="240" w:lineRule="auto"/>
    </w:pPr>
    <w:rPr>
      <w:rFonts w:ascii="Calibri" w:eastAsia="Times New Roman" w:hAnsi="Calibri" w:cs="Times New Roman"/>
    </w:rPr>
  </w:style>
  <w:style w:type="paragraph" w:customStyle="1" w:styleId="Default">
    <w:name w:val="Default"/>
    <w:rsid w:val="00000068"/>
    <w:pPr>
      <w:autoSpaceDE w:val="0"/>
      <w:autoSpaceDN w:val="0"/>
      <w:adjustRightInd w:val="0"/>
      <w:spacing w:after="0" w:line="240" w:lineRule="auto"/>
    </w:pPr>
    <w:rPr>
      <w:rFonts w:ascii="EUAlbertina" w:eastAsia="Times New Roman" w:hAnsi="EUAlbertina" w:cs="EUAlbertina"/>
      <w:color w:val="000000"/>
      <w:sz w:val="24"/>
      <w:szCs w:val="24"/>
      <w:lang w:eastAsia="pl-PL"/>
    </w:rPr>
  </w:style>
  <w:style w:type="character" w:customStyle="1" w:styleId="tlid-translation">
    <w:name w:val="tlid-translation"/>
    <w:basedOn w:val="Domylnaczcionkaakapitu"/>
    <w:rsid w:val="00000068"/>
  </w:style>
  <w:style w:type="paragraph" w:customStyle="1" w:styleId="PlanRozwoju">
    <w:name w:val="Plan Rozwoju"/>
    <w:basedOn w:val="Normalny"/>
    <w:qFormat/>
    <w:rsid w:val="00000068"/>
    <w:pPr>
      <w:spacing w:after="0" w:line="276" w:lineRule="auto"/>
    </w:pPr>
    <w:rPr>
      <w:rFonts w:ascii="Century Gothic" w:hAnsi="Century Gothic"/>
      <w:sz w:val="20"/>
    </w:rPr>
  </w:style>
  <w:style w:type="paragraph" w:customStyle="1" w:styleId="tekst2">
    <w:name w:val="tekst2"/>
    <w:basedOn w:val="Normalny"/>
    <w:link w:val="tekst2Znak"/>
    <w:qFormat/>
    <w:rsid w:val="00C44504"/>
    <w:rPr>
      <w:rFonts w:ascii="Century Gothic" w:hAnsi="Century Gothic"/>
      <w:sz w:val="20"/>
    </w:rPr>
  </w:style>
  <w:style w:type="character" w:customStyle="1" w:styleId="tekst2Znak">
    <w:name w:val="tekst2 Znak"/>
    <w:basedOn w:val="Domylnaczcionkaakapitu"/>
    <w:link w:val="tekst2"/>
    <w:rsid w:val="00C44504"/>
    <w:rPr>
      <w:rFonts w:ascii="Century Gothic" w:hAnsi="Century Gothic"/>
      <w:sz w:val="20"/>
    </w:rPr>
  </w:style>
  <w:style w:type="table" w:customStyle="1" w:styleId="Zwykatabela11">
    <w:name w:val="Zwykła tabela 11"/>
    <w:basedOn w:val="Standardowy"/>
    <w:uiPriority w:val="41"/>
    <w:rsid w:val="00C445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ECtextChar">
    <w:name w:val="PEC text Char"/>
    <w:basedOn w:val="Domylnaczcionkaakapitu"/>
    <w:link w:val="PECtext"/>
    <w:locked/>
    <w:rsid w:val="000F08D5"/>
    <w:rPr>
      <w:rFonts w:ascii="Arial" w:hAnsi="Arial" w:cs="Arial"/>
      <w:color w:val="000000"/>
    </w:rPr>
  </w:style>
  <w:style w:type="paragraph" w:customStyle="1" w:styleId="PECtext">
    <w:name w:val="PEC text"/>
    <w:aliases w:val="Block"/>
    <w:link w:val="PECtextChar"/>
    <w:qFormat/>
    <w:rsid w:val="000F08D5"/>
    <w:pPr>
      <w:spacing w:before="200" w:after="0" w:line="240" w:lineRule="auto"/>
    </w:pPr>
    <w:rPr>
      <w:rFonts w:ascii="Arial" w:hAnsi="Arial" w:cs="Arial"/>
      <w:color w:val="000000"/>
    </w:rPr>
  </w:style>
  <w:style w:type="paragraph" w:customStyle="1" w:styleId="tekst">
    <w:name w:val="tekst"/>
    <w:basedOn w:val="Tekstpodstawowy2"/>
    <w:qFormat/>
    <w:rsid w:val="004B5059"/>
    <w:pPr>
      <w:numPr>
        <w:ilvl w:val="3"/>
        <w:numId w:val="6"/>
      </w:numPr>
      <w:tabs>
        <w:tab w:val="left" w:pos="709"/>
      </w:tabs>
      <w:spacing w:before="120"/>
      <w:jc w:val="both"/>
    </w:pPr>
    <w:rPr>
      <w:rFonts w:ascii="Century Gothic" w:eastAsiaTheme="minorHAnsi" w:hAnsi="Century Gothic" w:cstheme="minorBidi"/>
      <w:b/>
      <w:i/>
      <w:sz w:val="20"/>
      <w:szCs w:val="20"/>
      <w:lang w:val="en-GB" w:eastAsia="en-US"/>
    </w:rPr>
  </w:style>
  <w:style w:type="table" w:customStyle="1" w:styleId="Zwykatabela31">
    <w:name w:val="Zwykła tabela 31"/>
    <w:basedOn w:val="Standardowy"/>
    <w:uiPriority w:val="43"/>
    <w:rsid w:val="004B505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rescpisma">
    <w:name w:val="tresc.pisma"/>
    <w:basedOn w:val="Normalny"/>
    <w:qFormat/>
    <w:rsid w:val="00C151B8"/>
    <w:pPr>
      <w:spacing w:after="0" w:line="360" w:lineRule="auto"/>
      <w:ind w:left="-426" w:firstLine="709"/>
    </w:pPr>
    <w:rPr>
      <w:rFonts w:ascii="Times New Roman" w:eastAsia="Calibri" w:hAnsi="Times New Roman" w:cs="Times New Roman"/>
      <w:szCs w:val="24"/>
      <w:lang w:eastAsia="pl-PL"/>
    </w:rPr>
  </w:style>
  <w:style w:type="character" w:styleId="Odwoaniedelikatne">
    <w:name w:val="Subtle Reference"/>
    <w:basedOn w:val="Domylnaczcionkaakapitu"/>
    <w:uiPriority w:val="31"/>
    <w:qFormat/>
    <w:rsid w:val="004A067D"/>
    <w:rPr>
      <w:smallCaps/>
      <w:color w:val="5A5A5A" w:themeColor="text1" w:themeTint="A5"/>
    </w:rPr>
  </w:style>
  <w:style w:type="character" w:styleId="Odwoanieintensywne">
    <w:name w:val="Intense Reference"/>
    <w:basedOn w:val="Domylnaczcionkaakapitu"/>
    <w:uiPriority w:val="32"/>
    <w:qFormat/>
    <w:rsid w:val="004A067D"/>
    <w:rPr>
      <w:b/>
      <w:bCs/>
      <w:smallCaps/>
      <w:color w:val="5B9BD5" w:themeColor="accent1"/>
      <w:spacing w:val="5"/>
    </w:rPr>
  </w:style>
  <w:style w:type="character" w:customStyle="1" w:styleId="text-justify">
    <w:name w:val="text-justify"/>
    <w:basedOn w:val="Domylnaczcionkaakapitu"/>
    <w:rsid w:val="000C2346"/>
  </w:style>
  <w:style w:type="table" w:customStyle="1" w:styleId="Siatkatabelijasna1">
    <w:name w:val="Siatka tabeli — jasna1"/>
    <w:basedOn w:val="Standardowy"/>
    <w:uiPriority w:val="40"/>
    <w:rsid w:val="002742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Zwykytekst">
    <w:name w:val="Plain Text"/>
    <w:basedOn w:val="Normalny"/>
    <w:link w:val="ZwykytekstZnak"/>
    <w:uiPriority w:val="99"/>
    <w:unhideWhenUsed/>
    <w:rsid w:val="00B03DBA"/>
    <w:pPr>
      <w:spacing w:after="0"/>
      <w:jc w:val="left"/>
    </w:pPr>
    <w:rPr>
      <w:rFonts w:ascii="Calibri" w:hAnsi="Calibri"/>
      <w:sz w:val="22"/>
      <w:szCs w:val="21"/>
    </w:rPr>
  </w:style>
  <w:style w:type="character" w:customStyle="1" w:styleId="ZwykytekstZnak">
    <w:name w:val="Zwykły tekst Znak"/>
    <w:basedOn w:val="Domylnaczcionkaakapitu"/>
    <w:link w:val="Zwykytekst"/>
    <w:uiPriority w:val="99"/>
    <w:rsid w:val="00B03DBA"/>
    <w:rPr>
      <w:rFonts w:ascii="Calibri" w:hAnsi="Calibri"/>
      <w:szCs w:val="21"/>
    </w:rPr>
  </w:style>
  <w:style w:type="table" w:styleId="Zwykatabela1">
    <w:name w:val="Plain Table 1"/>
    <w:basedOn w:val="Standardowy"/>
    <w:uiPriority w:val="41"/>
    <w:rsid w:val="00B03DB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oprawka">
    <w:name w:val="Revision"/>
    <w:hidden/>
    <w:uiPriority w:val="99"/>
    <w:semiHidden/>
    <w:rsid w:val="00BB1FFF"/>
    <w:pPr>
      <w:spacing w:after="0" w:line="240" w:lineRule="auto"/>
    </w:pPr>
    <w:rPr>
      <w:rFonts w:ascii="Corbel" w:hAnsi="Corbel"/>
      <w:sz w:val="24"/>
    </w:rPr>
  </w:style>
  <w:style w:type="character" w:styleId="Wzmianka">
    <w:name w:val="Mention"/>
    <w:basedOn w:val="Domylnaczcionkaakapitu"/>
    <w:uiPriority w:val="99"/>
    <w:unhideWhenUsed/>
    <w:rsid w:val="008713D9"/>
    <w:rPr>
      <w:color w:val="2B579A"/>
      <w:shd w:val="clear" w:color="auto" w:fill="E1DFDD"/>
    </w:rPr>
  </w:style>
  <w:style w:type="character" w:styleId="Wyrnieniedelikatne">
    <w:name w:val="Subtle Emphasis"/>
    <w:basedOn w:val="Domylnaczcionkaakapitu"/>
    <w:uiPriority w:val="19"/>
    <w:qFormat/>
    <w:rsid w:val="00616075"/>
    <w:rPr>
      <w:i/>
      <w:iCs/>
      <w:color w:val="404040" w:themeColor="text1" w:themeTint="BF"/>
    </w:rPr>
  </w:style>
  <w:style w:type="paragraph" w:customStyle="1" w:styleId="Rozdzia1">
    <w:name w:val="Rozdział 1"/>
    <w:basedOn w:val="Nagwek1"/>
    <w:link w:val="Rozdzia1Znak"/>
    <w:qFormat/>
    <w:rsid w:val="00B048C2"/>
    <w:pPr>
      <w:numPr>
        <w:numId w:val="1"/>
      </w:numPr>
      <w:spacing w:after="120" w:line="276" w:lineRule="auto"/>
    </w:pPr>
  </w:style>
  <w:style w:type="paragraph" w:customStyle="1" w:styleId="Tekstzwyky">
    <w:name w:val="Tekst zwykły"/>
    <w:basedOn w:val="Normalny"/>
    <w:link w:val="TekstzwykyZnak"/>
    <w:qFormat/>
    <w:rsid w:val="00290A60"/>
    <w:pPr>
      <w:tabs>
        <w:tab w:val="left" w:pos="-142"/>
      </w:tabs>
      <w:spacing w:after="0" w:line="276" w:lineRule="auto"/>
    </w:pPr>
    <w:rPr>
      <w:rFonts w:cs="Times New Roman"/>
      <w:color w:val="000000" w:themeColor="text1"/>
      <w:szCs w:val="24"/>
    </w:rPr>
  </w:style>
  <w:style w:type="character" w:customStyle="1" w:styleId="Rozdzia1Znak">
    <w:name w:val="Rozdział 1 Znak"/>
    <w:basedOn w:val="Nagwek1Znak"/>
    <w:link w:val="Rozdzia1"/>
    <w:rsid w:val="00B048C2"/>
    <w:rPr>
      <w:rFonts w:ascii="Corbel" w:eastAsiaTheme="majorEastAsia" w:hAnsi="Corbel" w:cstheme="majorBidi"/>
      <w:b/>
      <w:sz w:val="32"/>
      <w:szCs w:val="32"/>
    </w:rPr>
  </w:style>
  <w:style w:type="paragraph" w:customStyle="1" w:styleId="TekstWypunktowany">
    <w:name w:val="Tekst Wypunktowany"/>
    <w:basedOn w:val="Akapitzlist"/>
    <w:link w:val="TekstWypunktowanyZnak"/>
    <w:qFormat/>
    <w:rsid w:val="00B048C2"/>
    <w:pPr>
      <w:numPr>
        <w:numId w:val="7"/>
      </w:numPr>
      <w:spacing w:after="0" w:line="276" w:lineRule="auto"/>
    </w:pPr>
  </w:style>
  <w:style w:type="character" w:customStyle="1" w:styleId="TekstzwykyZnak">
    <w:name w:val="Tekst zwykły Znak"/>
    <w:basedOn w:val="Domylnaczcionkaakapitu"/>
    <w:link w:val="Tekstzwyky"/>
    <w:rsid w:val="00290A60"/>
    <w:rPr>
      <w:rFonts w:ascii="Corbel" w:hAnsi="Corbel" w:cs="Times New Roman"/>
      <w:color w:val="000000" w:themeColor="text1"/>
      <w:sz w:val="24"/>
      <w:szCs w:val="24"/>
    </w:rPr>
  </w:style>
  <w:style w:type="paragraph" w:customStyle="1" w:styleId="Rozdzia2">
    <w:name w:val="Rozdział 2"/>
    <w:basedOn w:val="Nagwek2"/>
    <w:link w:val="Rozdzia2Znak"/>
    <w:qFormat/>
    <w:rsid w:val="00EE4B64"/>
    <w:pPr>
      <w:numPr>
        <w:ilvl w:val="1"/>
        <w:numId w:val="1"/>
      </w:numPr>
      <w:spacing w:before="240" w:after="60" w:line="276" w:lineRule="auto"/>
    </w:pPr>
  </w:style>
  <w:style w:type="character" w:customStyle="1" w:styleId="TekstWypunktowanyZnak">
    <w:name w:val="Tekst Wypunktowany Znak"/>
    <w:basedOn w:val="AkapitzlistZnak"/>
    <w:link w:val="TekstWypunktowany"/>
    <w:rsid w:val="00B048C2"/>
    <w:rPr>
      <w:rFonts w:ascii="Corbel" w:hAnsi="Corbel"/>
      <w:sz w:val="24"/>
    </w:rPr>
  </w:style>
  <w:style w:type="paragraph" w:customStyle="1" w:styleId="Rozdzia3">
    <w:name w:val="Rozdział 3"/>
    <w:basedOn w:val="Nagwek3"/>
    <w:link w:val="Rozdzia3Znak"/>
    <w:qFormat/>
    <w:rsid w:val="00EE4B64"/>
    <w:pPr>
      <w:numPr>
        <w:ilvl w:val="2"/>
        <w:numId w:val="1"/>
      </w:numPr>
      <w:spacing w:before="240" w:after="60" w:line="276" w:lineRule="auto"/>
    </w:pPr>
  </w:style>
  <w:style w:type="character" w:customStyle="1" w:styleId="Rozdzia2Znak">
    <w:name w:val="Rozdział 2 Znak"/>
    <w:basedOn w:val="Nagwek2Znak"/>
    <w:link w:val="Rozdzia2"/>
    <w:rsid w:val="00EE4B64"/>
    <w:rPr>
      <w:rFonts w:ascii="Corbel" w:eastAsiaTheme="majorEastAsia" w:hAnsi="Corbel" w:cstheme="majorBidi"/>
      <w:b/>
      <w:sz w:val="28"/>
      <w:szCs w:val="26"/>
    </w:rPr>
  </w:style>
  <w:style w:type="paragraph" w:customStyle="1" w:styleId="Tabela">
    <w:name w:val="Tabela"/>
    <w:basedOn w:val="StandardowyTekst"/>
    <w:link w:val="TabelaZnak"/>
    <w:qFormat/>
    <w:rsid w:val="00A20F24"/>
    <w:pPr>
      <w:spacing w:line="276" w:lineRule="auto"/>
    </w:pPr>
    <w:rPr>
      <w:rFonts w:ascii="Corbel" w:eastAsia="Malgun Gothic" w:hAnsi="Corbel"/>
      <w:b/>
      <w:sz w:val="24"/>
      <w:szCs w:val="24"/>
    </w:rPr>
  </w:style>
  <w:style w:type="character" w:customStyle="1" w:styleId="Rozdzia3Znak">
    <w:name w:val="Rozdział 3 Znak"/>
    <w:basedOn w:val="Nagwek3Znak"/>
    <w:link w:val="Rozdzia3"/>
    <w:rsid w:val="00EE4B64"/>
    <w:rPr>
      <w:rFonts w:ascii="Corbel" w:eastAsiaTheme="majorEastAsia" w:hAnsi="Corbel" w:cstheme="majorBidi"/>
      <w:b/>
      <w:sz w:val="24"/>
      <w:szCs w:val="24"/>
    </w:rPr>
  </w:style>
  <w:style w:type="paragraph" w:customStyle="1" w:styleId="Rozdzia4">
    <w:name w:val="Rozdział 4"/>
    <w:basedOn w:val="Nagwek4"/>
    <w:link w:val="Rozdzia4Znak"/>
    <w:qFormat/>
    <w:rsid w:val="00CD331C"/>
    <w:pPr>
      <w:numPr>
        <w:ilvl w:val="3"/>
        <w:numId w:val="1"/>
      </w:numPr>
      <w:spacing w:line="276" w:lineRule="auto"/>
    </w:pPr>
    <w:rPr>
      <w:rFonts w:eastAsia="Malgun Gothic"/>
    </w:rPr>
  </w:style>
  <w:style w:type="character" w:customStyle="1" w:styleId="StandardowyTekstZnak">
    <w:name w:val="StandardowyTekst Znak"/>
    <w:basedOn w:val="Domylnaczcionkaakapitu"/>
    <w:link w:val="StandardowyTekst"/>
    <w:uiPriority w:val="99"/>
    <w:rsid w:val="00A20F24"/>
    <w:rPr>
      <w:rFonts w:ascii="Times New Roman" w:eastAsia="Times New Roman" w:hAnsi="Times New Roman" w:cs="Times New Roman"/>
      <w:szCs w:val="20"/>
      <w:lang w:eastAsia="pl-PL"/>
    </w:rPr>
  </w:style>
  <w:style w:type="character" w:customStyle="1" w:styleId="TabelaZnak">
    <w:name w:val="Tabela Znak"/>
    <w:basedOn w:val="StandardowyTekstZnak"/>
    <w:link w:val="Tabela"/>
    <w:rsid w:val="00A20F24"/>
    <w:rPr>
      <w:rFonts w:ascii="Corbel" w:eastAsia="Malgun Gothic" w:hAnsi="Corbel" w:cs="Times New Roman"/>
      <w:b/>
      <w:sz w:val="24"/>
      <w:szCs w:val="24"/>
      <w:lang w:eastAsia="pl-PL"/>
    </w:rPr>
  </w:style>
  <w:style w:type="character" w:customStyle="1" w:styleId="Rozdzia4Znak">
    <w:name w:val="Rozdział 4 Znak"/>
    <w:basedOn w:val="Nagwek4Znak"/>
    <w:link w:val="Rozdzia4"/>
    <w:rsid w:val="00CD331C"/>
    <w:rPr>
      <w:rFonts w:ascii="Corbel" w:eastAsia="Malgun Gothic" w:hAnsi="Corbel" w:cs="Times New Roman"/>
      <w:b/>
      <w:bCs/>
      <w:szCs w:val="28"/>
      <w:lang w:eastAsia="pl-PL"/>
    </w:rPr>
  </w:style>
  <w:style w:type="character" w:customStyle="1" w:styleId="normaltextrun">
    <w:name w:val="normaltextrun"/>
    <w:basedOn w:val="Domylnaczcionkaakapitu"/>
    <w:rsid w:val="00245AD3"/>
  </w:style>
  <w:style w:type="character" w:styleId="Nierozpoznanawzmianka">
    <w:name w:val="Unresolved Mention"/>
    <w:basedOn w:val="Domylnaczcionkaakapitu"/>
    <w:uiPriority w:val="99"/>
    <w:semiHidden/>
    <w:unhideWhenUsed/>
    <w:rsid w:val="00681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3.png"/><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2.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4.wmf"/><Relationship Id="rId10" Type="http://schemas.openxmlformats.org/officeDocument/2006/relationships/header" Target="header1.xml"/><Relationship Id="rId19" Type="http://schemas.openxmlformats.org/officeDocument/2006/relationships/chart" Target="charts/chart3.xml"/><Relationship Id="rId3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chart" Target="charts/chart4.xml"/><Relationship Id="rId35" Type="http://schemas.openxmlformats.org/officeDocument/2006/relationships/chart" Target="charts/chart7.xml"/><Relationship Id="rId8" Type="http://schemas.openxmlformats.org/officeDocument/2006/relationships/chart" Target="charts/chart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3" Type="http://schemas.openxmlformats.org/officeDocument/2006/relationships/oleObject" Target="file:///\\nero2.mos.gov.pl\del\DEL-WG\Monika\Sprawozdanie%20za%202022%20r\Statystyka\Wykres_wiek%20gazoci&#261;g&#243;w%20dystrybucyjnych.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nero2.mos.gov.pl\del\DEL-WG\Monika\Sprawozdanie%20za%202022%20r\WYKRESY_2022_MH.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pl-PL"/>
              <a:t>Sprzedaż gazu odbiorcom</a:t>
            </a:r>
          </a:p>
        </c:rich>
      </c:tx>
      <c:overlay val="0"/>
      <c:spPr>
        <a:noFill/>
        <a:ln>
          <a:noFill/>
        </a:ln>
      </c:spPr>
    </c:title>
    <c:autoTitleDeleted val="0"/>
    <c:view3D>
      <c:rotX val="30"/>
      <c:rotY val="300"/>
      <c:rAngAx val="0"/>
    </c:view3D>
    <c:floor>
      <c:thickness val="0"/>
      <c:spPr>
        <a:noFill/>
        <a:ln>
          <a:noFill/>
        </a:ln>
      </c:spPr>
    </c:floor>
    <c:sideWall>
      <c:thickness val="0"/>
      <c:spPr>
        <a:noFill/>
        <a:ln>
          <a:noFill/>
        </a:ln>
      </c:spPr>
    </c:sideWall>
    <c:backWall>
      <c:thickness val="0"/>
      <c:spPr>
        <a:noFill/>
        <a:ln>
          <a:noFill/>
        </a:ln>
      </c:spPr>
    </c:backWall>
    <c:plotArea>
      <c:layout>
        <c:manualLayout>
          <c:layoutTarget val="inner"/>
          <c:xMode val="edge"/>
          <c:yMode val="edge"/>
          <c:x val="8.9560163268089105E-2"/>
          <c:y val="0.10366006798621012"/>
          <c:w val="0.82087967346382174"/>
          <c:h val="0.73790923501427075"/>
        </c:manualLayout>
      </c:layout>
      <c:pie3DChart>
        <c:varyColors val="1"/>
        <c:ser>
          <c:idx val="0"/>
          <c:order val="0"/>
          <c:dPt>
            <c:idx val="0"/>
            <c:bubble3D val="0"/>
            <c:spPr>
              <a:solidFill>
                <a:schemeClr val="accent1"/>
              </a:solidFill>
              <a:ln w="25400">
                <a:solidFill>
                  <a:schemeClr val="lt1"/>
                </a:solidFill>
              </a:ln>
            </c:spPr>
            <c:extLst>
              <c:ext xmlns:c16="http://schemas.microsoft.com/office/drawing/2014/chart" uri="{C3380CC4-5D6E-409C-BE32-E72D297353CC}">
                <c16:uniqueId val="{00000001-5685-4988-A98F-28446915621F}"/>
              </c:ext>
            </c:extLst>
          </c:dPt>
          <c:dPt>
            <c:idx val="1"/>
            <c:bubble3D val="0"/>
            <c:spPr>
              <a:solidFill>
                <a:schemeClr val="accent2"/>
              </a:solidFill>
              <a:ln w="25400">
                <a:solidFill>
                  <a:schemeClr val="lt1"/>
                </a:solidFill>
              </a:ln>
            </c:spPr>
            <c:extLst>
              <c:ext xmlns:c16="http://schemas.microsoft.com/office/drawing/2014/chart" uri="{C3380CC4-5D6E-409C-BE32-E72D297353CC}">
                <c16:uniqueId val="{00000003-5685-4988-A98F-28446915621F}"/>
              </c:ext>
            </c:extLst>
          </c:dPt>
          <c:dPt>
            <c:idx val="2"/>
            <c:bubble3D val="0"/>
            <c:spPr>
              <a:solidFill>
                <a:schemeClr val="accent3"/>
              </a:solidFill>
              <a:ln w="25400">
                <a:solidFill>
                  <a:schemeClr val="lt1"/>
                </a:solidFill>
              </a:ln>
            </c:spPr>
            <c:extLst>
              <c:ext xmlns:c16="http://schemas.microsoft.com/office/drawing/2014/chart" uri="{C3380CC4-5D6E-409C-BE32-E72D297353CC}">
                <c16:uniqueId val="{00000005-5685-4988-A98F-28446915621F}"/>
              </c:ext>
            </c:extLst>
          </c:dPt>
          <c:dPt>
            <c:idx val="3"/>
            <c:bubble3D val="0"/>
            <c:spPr>
              <a:solidFill>
                <a:schemeClr val="accent4"/>
              </a:solidFill>
              <a:ln w="25400">
                <a:solidFill>
                  <a:schemeClr val="lt1"/>
                </a:solidFill>
              </a:ln>
            </c:spPr>
            <c:extLst>
              <c:ext xmlns:c16="http://schemas.microsoft.com/office/drawing/2014/chart" uri="{C3380CC4-5D6E-409C-BE32-E72D297353CC}">
                <c16:uniqueId val="{00000007-5685-4988-A98F-28446915621F}"/>
              </c:ext>
            </c:extLst>
          </c:dPt>
          <c:dPt>
            <c:idx val="4"/>
            <c:bubble3D val="0"/>
            <c:spPr>
              <a:solidFill>
                <a:schemeClr val="accent5"/>
              </a:solidFill>
              <a:ln w="25400">
                <a:solidFill>
                  <a:schemeClr val="lt1"/>
                </a:solidFill>
              </a:ln>
            </c:spPr>
            <c:extLst>
              <c:ext xmlns:c16="http://schemas.microsoft.com/office/drawing/2014/chart" uri="{C3380CC4-5D6E-409C-BE32-E72D297353CC}">
                <c16:uniqueId val="{00000009-5685-4988-A98F-28446915621F}"/>
              </c:ext>
            </c:extLst>
          </c:dPt>
          <c:dLbls>
            <c:dLbl>
              <c:idx val="0"/>
              <c:layout>
                <c:manualLayout>
                  <c:x val="-0.12067528070147428"/>
                  <c:y val="0.15204764379071906"/>
                </c:manualLayout>
              </c:layout>
              <c:tx>
                <c:rich>
                  <a:bodyPr/>
                  <a:lstStyle/>
                  <a:p>
                    <a:r>
                      <a:rPr lang="en-US"/>
                      <a:t>Przemysł</a:t>
                    </a:r>
                  </a:p>
                  <a:p>
                    <a:r>
                      <a:rPr lang="en-US"/>
                      <a:t>58%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685-4988-A98F-28446915621F}"/>
                </c:ext>
              </c:extLst>
            </c:dLbl>
            <c:dLbl>
              <c:idx val="1"/>
              <c:layout>
                <c:manualLayout>
                  <c:x val="3.2921666908343798E-2"/>
                  <c:y val="-1.5384856583721218E-2"/>
                </c:manualLayout>
              </c:layout>
              <c:tx>
                <c:rich>
                  <a:bodyPr/>
                  <a:lstStyle/>
                  <a:p>
                    <a:r>
                      <a:rPr lang="en-US"/>
                      <a:t>Rolnictwo</a:t>
                    </a:r>
                  </a:p>
                  <a:p>
                    <a:r>
                      <a:rPr lang="en-US"/>
                      <a:t>0,3%</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3006179889326053"/>
                      <c:h val="0.1262736578598912"/>
                    </c:manualLayout>
                  </c15:layout>
                  <c15:showDataLabelsRange val="0"/>
                </c:ext>
                <c:ext xmlns:c16="http://schemas.microsoft.com/office/drawing/2014/chart" uri="{C3380CC4-5D6E-409C-BE32-E72D297353CC}">
                  <c16:uniqueId val="{00000003-5685-4988-A98F-28446915621F}"/>
                </c:ext>
              </c:extLst>
            </c:dLbl>
            <c:dLbl>
              <c:idx val="2"/>
              <c:layout>
                <c:manualLayout>
                  <c:x val="-0.12179317918065313"/>
                  <c:y val="-0.24484578619812269"/>
                </c:manualLayout>
              </c:layout>
              <c:tx>
                <c:rich>
                  <a:bodyPr/>
                  <a:lstStyle/>
                  <a:p>
                    <a:r>
                      <a:rPr lang="en-US"/>
                      <a:t>Sektor usług</a:t>
                    </a:r>
                    <a:br>
                      <a:rPr lang="en-US"/>
                    </a:br>
                    <a:r>
                      <a:rPr lang="en-US"/>
                      <a:t>7,5%</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685-4988-A98F-28446915621F}"/>
                </c:ext>
              </c:extLst>
            </c:dLbl>
            <c:dLbl>
              <c:idx val="3"/>
              <c:layout>
                <c:manualLayout>
                  <c:x val="8.0647657178070323E-3"/>
                  <c:y val="1.9380685238605502E-2"/>
                </c:manualLayout>
              </c:layout>
              <c:tx>
                <c:rich>
                  <a:bodyPr/>
                  <a:lstStyle/>
                  <a:p>
                    <a:r>
                      <a:rPr lang="en-US"/>
                      <a:t>Sektor użyteczności publicznej</a:t>
                    </a:r>
                    <a:br>
                      <a:rPr lang="en-US"/>
                    </a:br>
                    <a:r>
                      <a:rPr lang="en-US"/>
                      <a:t>3,5%</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9758912586257846"/>
                      <c:h val="0.18830904757594955"/>
                    </c:manualLayout>
                  </c15:layout>
                  <c15:showDataLabelsRange val="0"/>
                </c:ext>
                <c:ext xmlns:c16="http://schemas.microsoft.com/office/drawing/2014/chart" uri="{C3380CC4-5D6E-409C-BE32-E72D297353CC}">
                  <c16:uniqueId val="{00000007-5685-4988-A98F-28446915621F}"/>
                </c:ext>
              </c:extLst>
            </c:dLbl>
            <c:dLbl>
              <c:idx val="4"/>
              <c:layout>
                <c:manualLayout>
                  <c:x val="0.17420636989912683"/>
                  <c:y val="-0.17509095845777897"/>
                </c:manualLayout>
              </c:layout>
              <c:tx>
                <c:rich>
                  <a:bodyPr/>
                  <a:lstStyle/>
                  <a:p>
                    <a:r>
                      <a:rPr lang="en-US"/>
                      <a:t>Gospodarstwa domowe</a:t>
                    </a:r>
                    <a:br>
                      <a:rPr lang="en-US"/>
                    </a:br>
                    <a:r>
                      <a:rPr lang="en-US"/>
                      <a:t>30,8%</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5011466281946543"/>
                      <c:h val="0.18332790297764504"/>
                    </c:manualLayout>
                  </c15:layout>
                  <c15:showDataLabelsRange val="0"/>
                </c:ext>
                <c:ext xmlns:c16="http://schemas.microsoft.com/office/drawing/2014/chart" uri="{C3380CC4-5D6E-409C-BE32-E72D297353CC}">
                  <c16:uniqueId val="{00000009-5685-4988-A98F-28446915621F}"/>
                </c:ext>
              </c:extLst>
            </c:dLbl>
            <c:spPr>
              <a:noFill/>
              <a:ln>
                <a:noFill/>
              </a:ln>
            </c:spPr>
            <c:txPr>
              <a:bodyPr rot="0" vert="horz"/>
              <a:lstStyle/>
              <a:p>
                <a:pPr>
                  <a:defRPr/>
                </a:pPr>
                <a:endParaRPr lang="pl-PL"/>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c:spPr>
            </c:leaderLines>
            <c:extLst>
              <c:ext xmlns:c15="http://schemas.microsoft.com/office/drawing/2012/chart" uri="{CE6537A1-D6FC-4f65-9D91-7224C49458BB}"/>
            </c:extLst>
          </c:dLbls>
          <c:cat>
            <c:strRef>
              <c:f>'Rys. 7.1. Odb_Sprzed_2021_2022'!$I$21:$I$25</c:f>
              <c:strCache>
                <c:ptCount val="5"/>
                <c:pt idx="0">
                  <c:v>przemysł</c:v>
                </c:pt>
                <c:pt idx="1">
                  <c:v>rolnictwo</c:v>
                </c:pt>
                <c:pt idx="2">
                  <c:v>sektor usług</c:v>
                </c:pt>
                <c:pt idx="3">
                  <c:v>sektor użyteczności publicznej</c:v>
                </c:pt>
                <c:pt idx="4">
                  <c:v>gosp. domowe</c:v>
                </c:pt>
              </c:strCache>
            </c:strRef>
          </c:cat>
          <c:val>
            <c:numRef>
              <c:f>'Rys. 7.1. Odb_Sprzed_2021_2022'!$K$21:$K$25</c:f>
              <c:numCache>
                <c:formatCode>#,##0</c:formatCode>
                <c:ptCount val="5"/>
                <c:pt idx="0">
                  <c:v>105450.78571499999</c:v>
                </c:pt>
                <c:pt idx="1">
                  <c:v>472.81733100000002</c:v>
                </c:pt>
                <c:pt idx="2">
                  <c:v>13621.317761</c:v>
                </c:pt>
                <c:pt idx="3">
                  <c:v>6293.8526709999996</c:v>
                </c:pt>
                <c:pt idx="4">
                  <c:v>56066.442877000001</c:v>
                </c:pt>
              </c:numCache>
            </c:numRef>
          </c:val>
          <c:extLst>
            <c:ext xmlns:c16="http://schemas.microsoft.com/office/drawing/2014/chart" uri="{C3380CC4-5D6E-409C-BE32-E72D297353CC}">
              <c16:uniqueId val="{0000000A-5685-4988-A98F-28446915621F}"/>
            </c:ext>
          </c:extLst>
        </c:ser>
        <c:dLbls>
          <c:dLblPos val="bestFit"/>
          <c:showLegendKey val="0"/>
          <c:showVal val="1"/>
          <c:showCatName val="0"/>
          <c:showSerName val="0"/>
          <c:showPercent val="0"/>
          <c:showBubbleSize val="0"/>
          <c:showLeaderLines val="1"/>
        </c:dLbls>
      </c:pie3DChart>
      <c:spPr>
        <a:noFill/>
        <a:ln>
          <a:noFill/>
        </a:ln>
      </c:spPr>
    </c:plotArea>
    <c:plotVisOnly val="1"/>
    <c:dispBlanksAs val="gap"/>
    <c:showDLblsOverMax val="0"/>
  </c:chart>
  <c:spPr>
    <a:solidFill>
      <a:schemeClr val="bg1"/>
    </a:solidFill>
    <a:ln w="9525">
      <a:noFill/>
      <a:round/>
    </a:ln>
  </c:spPr>
  <c:txPr>
    <a:bodyPr/>
    <a:lstStyle/>
    <a:p>
      <a:pPr>
        <a:defRPr>
          <a:latin typeface="Lato" panose="020F0502020204030203" pitchFamily="34" charset="-18"/>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80406850202627"/>
          <c:y val="0.1354466778056809"/>
          <c:w val="0.70997372873496567"/>
          <c:h val="0.68280265804834617"/>
        </c:manualLayout>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D3C6-48ED-9416-202BAB4DC77C}"/>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D3C6-48ED-9416-202BAB4DC77C}"/>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D3C6-48ED-9416-202BAB4DC77C}"/>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D3C6-48ED-9416-202BAB4DC77C}"/>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D3C6-48ED-9416-202BAB4DC77C}"/>
              </c:ext>
            </c:extLst>
          </c:dPt>
          <c:dLbls>
            <c:dLbl>
              <c:idx val="0"/>
              <c:layout>
                <c:manualLayout>
                  <c:x val="6.6295981698515263E-2"/>
                  <c:y val="3.1035247173575704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D3C6-48ED-9416-202BAB4DC77C}"/>
                </c:ext>
              </c:extLst>
            </c:dLbl>
            <c:dLbl>
              <c:idx val="1"/>
              <c:layout>
                <c:manualLayout>
                  <c:x val="9.8894372154506499E-2"/>
                  <c:y val="3.5782649151067047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D3C6-48ED-9416-202BAB4DC77C}"/>
                </c:ext>
              </c:extLst>
            </c:dLbl>
            <c:dLbl>
              <c:idx val="2"/>
              <c:layout>
                <c:manualLayout>
                  <c:x val="-0.15980812623438614"/>
                  <c:y val="-0.22578975277391478"/>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D3C6-48ED-9416-202BAB4DC77C}"/>
                </c:ext>
              </c:extLst>
            </c:dLbl>
            <c:dLbl>
              <c:idx val="3"/>
              <c:layout>
                <c:manualLayout>
                  <c:x val="0.19315292405127055"/>
                  <c:y val="0.14033957318232293"/>
                </c:manualLayout>
              </c:layout>
              <c:tx>
                <c:rich>
                  <a:bodyPr/>
                  <a:lstStyle/>
                  <a:p>
                    <a:r>
                      <a:rPr lang="en-US"/>
                      <a:t>6,3-8,4 MPa</a:t>
                    </a:r>
                  </a:p>
                  <a:p>
                    <a:r>
                      <a:rPr lang="en-US"/>
                      <a:t>27%</a:t>
                    </a:r>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3C6-48ED-9416-202BAB4DC77C}"/>
                </c:ext>
              </c:extLst>
            </c:dLbl>
            <c:dLbl>
              <c:idx val="4"/>
              <c:layout>
                <c:manualLayout>
                  <c:x val="-0.14215264786143955"/>
                  <c:y val="4.6654110599287472E-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D3C6-48ED-9416-202BAB4DC77C}"/>
                </c:ext>
              </c:extLst>
            </c:dLbl>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entury Gothic" panose="020B0502020202020204" pitchFamily="34" charset="0"/>
                    <a:ea typeface="+mn-ea"/>
                    <a:cs typeface="+mn-cs"/>
                  </a:defRPr>
                </a:pPr>
                <a:endParaRPr lang="pl-PL"/>
              </a:p>
            </c:txPr>
            <c:showLegendKey val="0"/>
            <c:showVal val="1"/>
            <c:showCatName val="1"/>
            <c:showSerName val="0"/>
            <c:showPercent val="0"/>
            <c:showBubbleSize val="0"/>
            <c:separator>
</c:separator>
            <c:showLeaderLines val="1"/>
            <c:leaderLines>
              <c:spPr>
                <a:ln w="9525">
                  <a:solidFill>
                    <a:schemeClr val="tx1">
                      <a:lumMod val="35000"/>
                      <a:lumOff val="65000"/>
                    </a:schemeClr>
                  </a:solidFill>
                  <a:round/>
                </a:ln>
              </c:spPr>
            </c:leaderLines>
            <c:extLst>
              <c:ext xmlns:c15="http://schemas.microsoft.com/office/drawing/2012/chart" uri="{CE6537A1-D6FC-4f65-9D91-7224C49458BB}"/>
            </c:extLst>
          </c:dLbls>
          <c:cat>
            <c:strRef>
              <c:f>'Rys. 7.1. Odb_Sprzed_2021_2022'!$I$9:$I$13</c:f>
              <c:strCache>
                <c:ptCount val="5"/>
                <c:pt idx="0">
                  <c:v>1,6 - 2,5 MPa</c:v>
                </c:pt>
                <c:pt idx="1">
                  <c:v>2,5 - 4,0 MPa</c:v>
                </c:pt>
                <c:pt idx="2">
                  <c:v>4,0 - 6,3 MPa</c:v>
                </c:pt>
                <c:pt idx="3">
                  <c:v>6,3 - 8,4 MPa</c:v>
                </c:pt>
                <c:pt idx="4">
                  <c:v>8,4 - 12,0 MPa</c:v>
                </c:pt>
              </c:strCache>
            </c:strRef>
          </c:cat>
          <c:val>
            <c:numRef>
              <c:f>'Rys. 7.1. Odb_Sprzed_2021_2022'!$K$9:$K$13</c:f>
              <c:numCache>
                <c:formatCode>0%</c:formatCode>
                <c:ptCount val="5"/>
                <c:pt idx="0">
                  <c:v>0.02</c:v>
                </c:pt>
                <c:pt idx="1">
                  <c:v>7.0000000000000007E-2</c:v>
                </c:pt>
                <c:pt idx="2">
                  <c:v>0.62</c:v>
                </c:pt>
                <c:pt idx="3">
                  <c:v>0.27</c:v>
                </c:pt>
                <c:pt idx="4">
                  <c:v>0.02</c:v>
                </c:pt>
              </c:numCache>
            </c:numRef>
          </c:val>
          <c:extLst>
            <c:ext xmlns:c16="http://schemas.microsoft.com/office/drawing/2014/chart" uri="{C3380CC4-5D6E-409C-BE32-E72D297353CC}">
              <c16:uniqueId val="{0000000A-D3C6-48ED-9416-202BAB4DC77C}"/>
            </c:ext>
          </c:extLst>
        </c:ser>
        <c:dLbls>
          <c:showLegendKey val="0"/>
          <c:showVal val="0"/>
          <c:showCatName val="0"/>
          <c:showSerName val="0"/>
          <c:showPercent val="0"/>
          <c:showBubbleSize val="0"/>
          <c:showLeaderLines val="1"/>
        </c:dLbls>
        <c:firstSliceAng val="0"/>
      </c:pieChart>
      <c:spPr>
        <a:noFill/>
        <a:ln>
          <a:noFill/>
        </a:ln>
      </c:spPr>
    </c:plotArea>
    <c:legend>
      <c:legendPos val="b"/>
      <c:layout>
        <c:manualLayout>
          <c:xMode val="edge"/>
          <c:yMode val="edge"/>
          <c:x val="0.12480584202289076"/>
          <c:y val="0.83608536962141533"/>
          <c:w val="0.82980557278123157"/>
          <c:h val="0.16391479654623856"/>
        </c:manualLayout>
      </c:layout>
      <c:overlay val="0"/>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entury Gothic" panose="020B0502020202020204" pitchFamily="34" charset="0"/>
              <a:ea typeface="+mn-ea"/>
              <a:cs typeface="+mn-cs"/>
            </a:defRPr>
          </a:pPr>
          <a:endParaRPr lang="pl-PL"/>
        </a:p>
      </c:txPr>
    </c:legend>
    <c:plotVisOnly val="1"/>
    <c:dispBlanksAs val="gap"/>
    <c:showDLblsOverMax val="0"/>
  </c:chart>
  <c:spPr>
    <a:solidFill>
      <a:schemeClr val="bg1"/>
    </a:solidFill>
    <a:ln w="9525">
      <a:noFill/>
      <a:round/>
    </a:ln>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84633272632452"/>
          <c:y val="0.10611313008950804"/>
          <c:w val="0.70997372873496567"/>
          <c:h val="0.68280265804834617"/>
        </c:manualLayout>
      </c:layout>
      <c:pieChart>
        <c:varyColors val="1"/>
        <c:ser>
          <c:idx val="0"/>
          <c:order val="0"/>
          <c:explosion val="2"/>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5837-4D6F-9D04-EEF8DE429F26}"/>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5837-4D6F-9D04-EEF8DE429F26}"/>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5837-4D6F-9D04-EEF8DE429F26}"/>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5837-4D6F-9D04-EEF8DE429F26}"/>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5837-4D6F-9D04-EEF8DE429F26}"/>
              </c:ext>
            </c:extLst>
          </c:dPt>
          <c:dLbls>
            <c:dLbl>
              <c:idx val="0"/>
              <c:layout>
                <c:manualLayout>
                  <c:x val="-0.27412928432805844"/>
                  <c:y val="-4.2372972609193121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5837-4D6F-9D04-EEF8DE429F26}"/>
                </c:ext>
              </c:extLst>
            </c:dLbl>
            <c:dLbl>
              <c:idx val="1"/>
              <c:layout>
                <c:manualLayout>
                  <c:x val="0.14625458462643301"/>
                  <c:y val="-0.16772763981425406"/>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5837-4D6F-9D04-EEF8DE429F26}"/>
                </c:ext>
              </c:extLst>
            </c:dLbl>
            <c:dLbl>
              <c:idx val="2"/>
              <c:layout>
                <c:manualLayout>
                  <c:x val="1.3029315960912054E-2"/>
                  <c:y val="6.5660205935796481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5837-4D6F-9D04-EEF8DE429F26}"/>
                </c:ext>
              </c:extLst>
            </c:dLbl>
            <c:dLbl>
              <c:idx val="3"/>
              <c:layout>
                <c:manualLayout>
                  <c:x val="-2.6058631921824095E-2"/>
                  <c:y val="-6.8046638400969153E-2"/>
                </c:manualLayout>
              </c:layout>
              <c:tx>
                <c:rich>
                  <a:bodyPr/>
                  <a:lstStyle/>
                  <a:p>
                    <a:r>
                      <a:rPr lang="en-US"/>
                      <a:t>&lt; 100 mm</a:t>
                    </a:r>
                  </a:p>
                  <a:p>
                    <a:r>
                      <a:rPr lang="en-US"/>
                      <a:t>3%</a:t>
                    </a:r>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837-4D6F-9D04-EEF8DE429F26}"/>
                </c:ext>
              </c:extLst>
            </c:dLbl>
            <c:dLbl>
              <c:idx val="4"/>
              <c:layout>
                <c:manualLayout>
                  <c:x val="0.19759282532680153"/>
                  <c:y val="0.19377750858065818"/>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5837-4D6F-9D04-EEF8DE429F26}"/>
                </c:ext>
              </c:extLst>
            </c:dLbl>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entury Gothic" panose="020B0502020202020204" pitchFamily="34" charset="0"/>
                    <a:ea typeface="+mn-ea"/>
                    <a:cs typeface="+mn-cs"/>
                  </a:defRPr>
                </a:pPr>
                <a:endParaRPr lang="pl-PL"/>
              </a:p>
            </c:txPr>
            <c:showLegendKey val="0"/>
            <c:showVal val="1"/>
            <c:showCatName val="1"/>
            <c:showSerName val="0"/>
            <c:showPercent val="0"/>
            <c:showBubbleSize val="0"/>
            <c:separator>
</c:separator>
            <c:showLeaderLines val="1"/>
            <c:leaderLines>
              <c:spPr>
                <a:ln w="9525">
                  <a:solidFill>
                    <a:schemeClr val="tx1">
                      <a:lumMod val="35000"/>
                      <a:lumOff val="65000"/>
                    </a:schemeClr>
                  </a:solidFill>
                  <a:round/>
                </a:ln>
              </c:spPr>
            </c:leaderLines>
            <c:extLst>
              <c:ext xmlns:c15="http://schemas.microsoft.com/office/drawing/2012/chart" uri="{CE6537A1-D6FC-4f65-9D91-7224C49458BB}"/>
            </c:extLst>
          </c:dLbls>
          <c:cat>
            <c:strRef>
              <c:f>'Rys. 7.1. Odb_Sprzed_2021_2022'!$I$9:$I$13</c:f>
              <c:strCache>
                <c:ptCount val="5"/>
                <c:pt idx="0">
                  <c:v>300-500 mm</c:v>
                </c:pt>
                <c:pt idx="1">
                  <c:v>500-700 mm</c:v>
                </c:pt>
                <c:pt idx="2">
                  <c:v>&gt;700 mm</c:v>
                </c:pt>
                <c:pt idx="3">
                  <c:v>&lt;100 mm</c:v>
                </c:pt>
                <c:pt idx="4">
                  <c:v>100-300 mm</c:v>
                </c:pt>
              </c:strCache>
            </c:strRef>
          </c:cat>
          <c:val>
            <c:numRef>
              <c:f>'Rys. 7.1. Odb_Sprzed_2021_2022'!$K$9:$K$13</c:f>
              <c:numCache>
                <c:formatCode>0%</c:formatCode>
                <c:ptCount val="5"/>
                <c:pt idx="0">
                  <c:v>0.5</c:v>
                </c:pt>
                <c:pt idx="1">
                  <c:v>0.2</c:v>
                </c:pt>
                <c:pt idx="2">
                  <c:v>0.04</c:v>
                </c:pt>
                <c:pt idx="3">
                  <c:v>0.03</c:v>
                </c:pt>
                <c:pt idx="4">
                  <c:v>0.23</c:v>
                </c:pt>
              </c:numCache>
            </c:numRef>
          </c:val>
          <c:extLst>
            <c:ext xmlns:c16="http://schemas.microsoft.com/office/drawing/2014/chart" uri="{C3380CC4-5D6E-409C-BE32-E72D297353CC}">
              <c16:uniqueId val="{0000000A-5837-4D6F-9D04-EEF8DE429F26}"/>
            </c:ext>
          </c:extLst>
        </c:ser>
        <c:dLbls>
          <c:showLegendKey val="0"/>
          <c:showVal val="0"/>
          <c:showCatName val="0"/>
          <c:showSerName val="0"/>
          <c:showPercent val="0"/>
          <c:showBubbleSize val="0"/>
          <c:showLeaderLines val="1"/>
        </c:dLbls>
        <c:firstSliceAng val="0"/>
      </c:pieChart>
      <c:spPr>
        <a:noFill/>
        <a:ln>
          <a:noFill/>
        </a:ln>
      </c:spPr>
    </c:plotArea>
    <c:legend>
      <c:legendPos val="b"/>
      <c:layout>
        <c:manualLayout>
          <c:xMode val="edge"/>
          <c:yMode val="edge"/>
          <c:x val="0.11509263296485331"/>
          <c:y val="0.84508446059627162"/>
          <c:w val="0.73506989150786117"/>
          <c:h val="0.13782152230971126"/>
        </c:manualLayout>
      </c:layout>
      <c:overlay val="0"/>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entury Gothic" panose="020B0502020202020204" pitchFamily="34" charset="0"/>
              <a:ea typeface="+mn-ea"/>
              <a:cs typeface="+mn-cs"/>
            </a:defRPr>
          </a:pPr>
          <a:endParaRPr lang="pl-PL"/>
        </a:p>
      </c:txPr>
    </c:legend>
    <c:plotVisOnly val="1"/>
    <c:dispBlanksAs val="gap"/>
    <c:showDLblsOverMax val="0"/>
  </c:chart>
  <c:spPr>
    <a:solidFill>
      <a:schemeClr val="bg1"/>
    </a:solidFill>
    <a:ln w="9525">
      <a:noFill/>
      <a:round/>
    </a:ln>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8501854804683"/>
          <c:y val="7.1245227869243616E-2"/>
          <c:w val="0.62146115869128049"/>
          <c:h val="0.84568151992364593"/>
        </c:manualLayout>
      </c:layout>
      <c:pieChart>
        <c:varyColors val="1"/>
        <c:ser>
          <c:idx val="0"/>
          <c:order val="0"/>
          <c:explosion val="2"/>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4C11-4A24-89E1-E96F70AB88A5}"/>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4C11-4A24-89E1-E96F70AB88A5}"/>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4C11-4A24-89E1-E96F70AB88A5}"/>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4C11-4A24-89E1-E96F70AB88A5}"/>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4C11-4A24-89E1-E96F70AB88A5}"/>
              </c:ext>
            </c:extLst>
          </c:dPt>
          <c:dLbls>
            <c:dLbl>
              <c:idx val="0"/>
              <c:layout>
                <c:manualLayout>
                  <c:x val="-0.15960047434389005"/>
                  <c:y val="0.21447982413085104"/>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4C11-4A24-89E1-E96F70AB88A5}"/>
                </c:ext>
              </c:extLst>
            </c:dLbl>
            <c:dLbl>
              <c:idx val="1"/>
              <c:layout>
                <c:manualLayout>
                  <c:x val="-0.15062131847297805"/>
                  <c:y val="-1.4658196134574157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4C11-4A24-89E1-E96F70AB88A5}"/>
                </c:ext>
              </c:extLst>
            </c:dLbl>
            <c:dLbl>
              <c:idx val="2"/>
              <c:layout>
                <c:manualLayout>
                  <c:x val="-0.13939189298950364"/>
                  <c:y val="-0.20061353722356259"/>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4C11-4A24-89E1-E96F70AB88A5}"/>
                </c:ext>
              </c:extLst>
            </c:dLbl>
            <c:dLbl>
              <c:idx val="3"/>
              <c:layout>
                <c:manualLayout>
                  <c:x val="2.6109103736038301E-2"/>
                  <c:y val="-0.15619551616627378"/>
                </c:manualLayout>
              </c:layout>
              <c:tx>
                <c:rich>
                  <a:bodyPr/>
                  <a:lstStyle/>
                  <a:p>
                    <a:r>
                      <a:rPr lang="en-US"/>
                      <a:t>31 - 40 lat</a:t>
                    </a:r>
                  </a:p>
                  <a:p>
                    <a:r>
                      <a:rPr lang="en-US"/>
                      <a:t>14%</a:t>
                    </a:r>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C11-4A24-89E1-E96F70AB88A5}"/>
                </c:ext>
              </c:extLst>
            </c:dLbl>
            <c:dLbl>
              <c:idx val="4"/>
              <c:layout>
                <c:manualLayout>
                  <c:x val="0.19547702425790942"/>
                  <c:y val="7.8337815323567359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4C11-4A24-89E1-E96F70AB88A5}"/>
                </c:ext>
              </c:extLst>
            </c:dLbl>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entury Gothic" panose="020B0502020202020204" pitchFamily="34" charset="0"/>
                    <a:ea typeface="+mn-ea"/>
                    <a:cs typeface="+mn-cs"/>
                  </a:defRPr>
                </a:pPr>
                <a:endParaRPr lang="pl-PL"/>
              </a:p>
            </c:txPr>
            <c:showLegendKey val="0"/>
            <c:showVal val="1"/>
            <c:showCatName val="1"/>
            <c:showSerName val="0"/>
            <c:showPercent val="0"/>
            <c:showBubbleSize val="0"/>
            <c:separator>
</c:separator>
            <c:showLeaderLines val="1"/>
            <c:leaderLines>
              <c:spPr>
                <a:ln w="9525">
                  <a:solidFill>
                    <a:schemeClr val="tx1">
                      <a:lumMod val="35000"/>
                      <a:lumOff val="65000"/>
                    </a:schemeClr>
                  </a:solidFill>
                  <a:round/>
                </a:ln>
              </c:spPr>
            </c:leaderLines>
            <c:extLst>
              <c:ext xmlns:c15="http://schemas.microsoft.com/office/drawing/2012/chart" uri="{CE6537A1-D6FC-4f65-9D91-7224C49458BB}"/>
            </c:extLst>
          </c:dLbls>
          <c:cat>
            <c:strRef>
              <c:f>'Rys. 7.1. Odb_Sprzed_2021_2022'!$I$9:$I$13</c:f>
              <c:strCache>
                <c:ptCount val="5"/>
                <c:pt idx="0">
                  <c:v>&lt;10 lat</c:v>
                </c:pt>
                <c:pt idx="1">
                  <c:v>11-20 lat</c:v>
                </c:pt>
                <c:pt idx="2">
                  <c:v>21-30 lat</c:v>
                </c:pt>
                <c:pt idx="3">
                  <c:v>31-40 lat</c:v>
                </c:pt>
                <c:pt idx="4">
                  <c:v>&gt; 40 lat</c:v>
                </c:pt>
              </c:strCache>
            </c:strRef>
          </c:cat>
          <c:val>
            <c:numRef>
              <c:f>'Rys. 7.1. Odb_Sprzed_2021_2022'!$K$9:$K$13</c:f>
              <c:numCache>
                <c:formatCode>0%</c:formatCode>
                <c:ptCount val="5"/>
                <c:pt idx="0">
                  <c:v>0.24</c:v>
                </c:pt>
                <c:pt idx="1">
                  <c:v>0.06</c:v>
                </c:pt>
                <c:pt idx="2">
                  <c:v>0.15</c:v>
                </c:pt>
                <c:pt idx="3">
                  <c:v>0.14000000000000001</c:v>
                </c:pt>
                <c:pt idx="4">
                  <c:v>0.41</c:v>
                </c:pt>
              </c:numCache>
            </c:numRef>
          </c:val>
          <c:extLst>
            <c:ext xmlns:c16="http://schemas.microsoft.com/office/drawing/2014/chart" uri="{C3380CC4-5D6E-409C-BE32-E72D297353CC}">
              <c16:uniqueId val="{0000000A-4C11-4A24-89E1-E96F70AB88A5}"/>
            </c:ext>
          </c:extLst>
        </c:ser>
        <c:dLbls>
          <c:showLegendKey val="0"/>
          <c:showVal val="0"/>
          <c:showCatName val="0"/>
          <c:showSerName val="0"/>
          <c:showPercent val="0"/>
          <c:showBubbleSize val="0"/>
          <c:showLeaderLines val="1"/>
        </c:dLbls>
        <c:firstSliceAng val="0"/>
      </c:pieChart>
      <c:spPr>
        <a:noFill/>
        <a:ln>
          <a:noFill/>
        </a:ln>
      </c:spPr>
    </c:plotArea>
    <c:legend>
      <c:legendPos val="b"/>
      <c:layout>
        <c:manualLayout>
          <c:xMode val="edge"/>
          <c:yMode val="edge"/>
          <c:x val="0.11304352871010487"/>
          <c:y val="0.92523956063211166"/>
          <c:w val="0.7739127435354568"/>
          <c:h val="7.3858267716535433E-2"/>
        </c:manualLayout>
      </c:layout>
      <c:overlay val="0"/>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Lato" panose="020F0502020204030203" pitchFamily="34" charset="0"/>
              <a:ea typeface="Lato" panose="020F0502020204030203" pitchFamily="34" charset="0"/>
              <a:cs typeface="Lato" panose="020F0502020204030203" pitchFamily="34" charset="0"/>
            </a:defRPr>
          </a:pPr>
          <a:endParaRPr lang="pl-PL"/>
        </a:p>
      </c:txPr>
    </c:legend>
    <c:plotVisOnly val="1"/>
    <c:dispBlanksAs val="gap"/>
    <c:showDLblsOverMax val="0"/>
  </c:chart>
  <c:spPr>
    <a:solidFill>
      <a:schemeClr val="bg1"/>
    </a:solidFill>
    <a:ln w="9525">
      <a:noFill/>
      <a:round/>
    </a:ln>
  </c:spPr>
  <c:txPr>
    <a:bodyPr/>
    <a:lstStyle/>
    <a:p>
      <a:pPr>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w="0">
              <a:solidFill>
                <a:schemeClr val="bg1"/>
              </a:solidFill>
            </a:ln>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0">
                <a:solidFill>
                  <a:schemeClr val="bg1"/>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927D-4348-A492-49F6CFE8446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0">
                <a:solidFill>
                  <a:schemeClr val="bg1"/>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927D-4348-A492-49F6CFE8446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0">
                <a:solidFill>
                  <a:schemeClr val="bg1"/>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927D-4348-A492-49F6CFE8446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0">
                <a:solidFill>
                  <a:schemeClr val="bg1"/>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927D-4348-A492-49F6CFE84465}"/>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0">
                <a:solidFill>
                  <a:schemeClr val="bg1"/>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927D-4348-A492-49F6CFE84465}"/>
              </c:ext>
            </c:extLst>
          </c:dPt>
          <c:dLbls>
            <c:dLbl>
              <c:idx val="3"/>
              <c:layout>
                <c:manualLayout>
                  <c:x val="-0.1161496136306984"/>
                  <c:y val="-0.2681756450882752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927D-4348-A492-49F6CFE84465}"/>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Lato" panose="020F0502020204030203" pitchFamily="34" charset="-18"/>
                    <a:ea typeface="+mn-ea"/>
                    <a:cs typeface="+mn-cs"/>
                  </a:defRPr>
                </a:pPr>
                <a:endParaRPr lang="pl-PL"/>
              </a:p>
            </c:txPr>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PE!$L$58:$L$62</c:f>
              <c:strCache>
                <c:ptCount val="5"/>
                <c:pt idx="0">
                  <c:v>1,6 MPa</c:v>
                </c:pt>
                <c:pt idx="1">
                  <c:v>2,5 MPa</c:v>
                </c:pt>
                <c:pt idx="2">
                  <c:v>4,0 MPa</c:v>
                </c:pt>
                <c:pt idx="3">
                  <c:v>6,3 MPa</c:v>
                </c:pt>
                <c:pt idx="4">
                  <c:v>8,4 MPa</c:v>
                </c:pt>
              </c:strCache>
            </c:strRef>
          </c:cat>
          <c:val>
            <c:numRef>
              <c:f>PE!$AD$58:$AD$62</c:f>
              <c:numCache>
                <c:formatCode>0%</c:formatCode>
                <c:ptCount val="5"/>
                <c:pt idx="0">
                  <c:v>1.3330698228865939E-2</c:v>
                </c:pt>
                <c:pt idx="1">
                  <c:v>1.5361482426293012E-2</c:v>
                </c:pt>
                <c:pt idx="2">
                  <c:v>9.0299271741015152E-2</c:v>
                </c:pt>
                <c:pt idx="3">
                  <c:v>0.71180949322914155</c:v>
                </c:pt>
                <c:pt idx="4">
                  <c:v>0.16919905437468441</c:v>
                </c:pt>
              </c:numCache>
            </c:numRef>
          </c:val>
          <c:extLst>
            <c:ext xmlns:c16="http://schemas.microsoft.com/office/drawing/2014/chart" uri="{C3380CC4-5D6E-409C-BE32-E72D297353CC}">
              <c16:uniqueId val="{0000000A-927D-4348-A492-49F6CFE8446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Lato" panose="020F0502020204030203" pitchFamily="34" charset="-18"/>
              <a:ea typeface="+mn-ea"/>
              <a:cs typeface="+mn-cs"/>
            </a:defRPr>
          </a:pPr>
          <a:endParaRPr lang="pl-PL"/>
        </a:p>
      </c:txPr>
    </c:legend>
    <c:plotVisOnly val="1"/>
    <c:dispBlanksAs val="gap"/>
    <c:showDLblsOverMax val="0"/>
  </c:chart>
  <c:spPr>
    <a:noFill/>
    <a:ln w="9525" cap="flat" cmpd="sng" algn="ctr">
      <a:noFill/>
      <a:round/>
    </a:ln>
    <a:effectLst/>
  </c:spPr>
  <c:txPr>
    <a:bodyPr/>
    <a:lstStyle/>
    <a:p>
      <a:pPr>
        <a:defRPr sz="900">
          <a:latin typeface="Lato" panose="020F0502020204030203" pitchFamily="34" charset="-18"/>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679905176702512"/>
          <c:y val="7.3981974679635631E-2"/>
          <c:w val="0.5532101924759405"/>
          <c:h val="0.92201698745990079"/>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20A-4E65-93CE-2417B3D27A04}"/>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20A-4E65-93CE-2417B3D27A04}"/>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20A-4E65-93CE-2417B3D27A04}"/>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220A-4E65-93CE-2417B3D27A04}"/>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220A-4E65-93CE-2417B3D27A04}"/>
              </c:ext>
            </c:extLst>
          </c:dPt>
          <c:dLbls>
            <c:dLbl>
              <c:idx val="0"/>
              <c:layout>
                <c:manualLayout>
                  <c:x val="-0.13171374213376263"/>
                  <c:y val="0.17382413087934559"/>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fld id="{ABF851FE-8FBB-4EE6-A0DF-470B7DA231F6}" type="CATEGORYNAME">
                      <a:rPr lang="en-US" b="0">
                        <a:solidFill>
                          <a:sysClr val="windowText" lastClr="000000"/>
                        </a:solidFill>
                        <a:latin typeface="Century Gothic" panose="020B0502020202020204" pitchFamily="34" charset="0"/>
                      </a:rPr>
                      <a:pPr>
                        <a:defRPr b="0">
                          <a:solidFill>
                            <a:sysClr val="windowText" lastClr="000000"/>
                          </a:solidFill>
                          <a:latin typeface="Century Gothic" panose="020B0502020202020204" pitchFamily="34" charset="0"/>
                        </a:defRPr>
                      </a:pPr>
                      <a:t>[NAZWA KATEGORII]</a:t>
                    </a:fld>
                    <a:endParaRPr lang="en-US" b="0">
                      <a:solidFill>
                        <a:sysClr val="windowText" lastClr="000000"/>
                      </a:solidFill>
                      <a:latin typeface="Century Gothic" panose="020B0502020202020204" pitchFamily="34" charset="0"/>
                    </a:endParaRPr>
                  </a:p>
                  <a:p>
                    <a:pPr>
                      <a:defRPr b="0">
                        <a:solidFill>
                          <a:sysClr val="windowText" lastClr="000000"/>
                        </a:solidFill>
                        <a:latin typeface="Century Gothic" panose="020B0502020202020204" pitchFamily="34" charset="0"/>
                      </a:defRPr>
                    </a:pPr>
                    <a:r>
                      <a:rPr lang="en-US" b="0">
                        <a:solidFill>
                          <a:sysClr val="windowText" lastClr="000000"/>
                        </a:solidFill>
                        <a:latin typeface="Century Gothic" panose="020B0502020202020204" pitchFamily="34" charset="0"/>
                      </a:rPr>
                      <a:t>20,8%</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20A-4E65-93CE-2417B3D27A04}"/>
                </c:ext>
              </c:extLst>
            </c:dLbl>
            <c:dLbl>
              <c:idx val="1"/>
              <c:layout>
                <c:manualLayout>
                  <c:x val="-0.15805649056051516"/>
                  <c:y val="-0.13803680981595101"/>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fld id="{A4A01664-AC1F-4284-A561-FC9B9A050B6D}" type="CATEGORYNAME">
                      <a:rPr lang="en-US" b="0">
                        <a:solidFill>
                          <a:sysClr val="windowText" lastClr="000000"/>
                        </a:solidFill>
                        <a:latin typeface="Century Gothic" panose="020B0502020202020204" pitchFamily="34" charset="0"/>
                      </a:rPr>
                      <a:pPr>
                        <a:defRPr b="0">
                          <a:solidFill>
                            <a:sysClr val="windowText" lastClr="000000"/>
                          </a:solidFill>
                          <a:latin typeface="Century Gothic" panose="020B0502020202020204" pitchFamily="34" charset="0"/>
                        </a:defRPr>
                      </a:pPr>
                      <a:t>[NAZWA KATEGORII]</a:t>
                    </a:fld>
                    <a:endParaRPr lang="en-US" b="0">
                      <a:solidFill>
                        <a:sysClr val="windowText" lastClr="000000"/>
                      </a:solidFill>
                      <a:latin typeface="Century Gothic" panose="020B0502020202020204" pitchFamily="34" charset="0"/>
                    </a:endParaRPr>
                  </a:p>
                  <a:p>
                    <a:pPr>
                      <a:defRPr b="0">
                        <a:solidFill>
                          <a:sysClr val="windowText" lastClr="000000"/>
                        </a:solidFill>
                        <a:latin typeface="Century Gothic" panose="020B0502020202020204" pitchFamily="34" charset="0"/>
                      </a:defRPr>
                    </a:pPr>
                    <a:r>
                      <a:rPr lang="en-US" b="0">
                        <a:solidFill>
                          <a:sysClr val="windowText" lastClr="000000"/>
                        </a:solidFill>
                        <a:latin typeface="Century Gothic" panose="020B0502020202020204" pitchFamily="34" charset="0"/>
                      </a:rPr>
                      <a:t>14,9%</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20A-4E65-93CE-2417B3D27A04}"/>
                </c:ext>
              </c:extLst>
            </c:dLbl>
            <c:dLbl>
              <c:idx val="2"/>
              <c:layout>
                <c:manualLayout>
                  <c:x val="9.0736133469925304E-2"/>
                  <c:y val="-0.13803680981595093"/>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fld id="{159D7086-0BBE-4BFD-84A9-EE075BD47EB9}" type="CATEGORYNAME">
                      <a:rPr lang="en-US" b="0">
                        <a:solidFill>
                          <a:sysClr val="windowText" lastClr="000000"/>
                        </a:solidFill>
                        <a:latin typeface="Century Gothic" panose="020B0502020202020204" pitchFamily="34" charset="0"/>
                      </a:rPr>
                      <a:pPr>
                        <a:defRPr b="0">
                          <a:solidFill>
                            <a:sysClr val="windowText" lastClr="000000"/>
                          </a:solidFill>
                          <a:latin typeface="Century Gothic" panose="020B0502020202020204" pitchFamily="34" charset="0"/>
                        </a:defRPr>
                      </a:pPr>
                      <a:t>[NAZWA KATEGORII]</a:t>
                    </a:fld>
                    <a:endParaRPr lang="en-US" b="0">
                      <a:solidFill>
                        <a:sysClr val="windowText" lastClr="000000"/>
                      </a:solidFill>
                      <a:latin typeface="Century Gothic" panose="020B0502020202020204" pitchFamily="34" charset="0"/>
                    </a:endParaRPr>
                  </a:p>
                  <a:p>
                    <a:pPr>
                      <a:defRPr b="0">
                        <a:solidFill>
                          <a:sysClr val="windowText" lastClr="000000"/>
                        </a:solidFill>
                        <a:latin typeface="Century Gothic" panose="020B0502020202020204" pitchFamily="34" charset="0"/>
                      </a:defRPr>
                    </a:pPr>
                    <a:r>
                      <a:rPr lang="en-US" b="0">
                        <a:solidFill>
                          <a:sysClr val="windowText" lastClr="000000"/>
                        </a:solidFill>
                        <a:latin typeface="Century Gothic" panose="020B0502020202020204" pitchFamily="34" charset="0"/>
                      </a:rPr>
                      <a:t>32,7%</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20A-4E65-93CE-2417B3D27A04}"/>
                </c:ext>
              </c:extLst>
            </c:dLbl>
            <c:dLbl>
              <c:idx val="3"/>
              <c:layout>
                <c:manualLayout>
                  <c:x val="0.1726913507975999"/>
                  <c:y val="0.12269938650306744"/>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fld id="{B3C7A210-E57F-41C0-A8DC-4FB1EC792A2A}" type="CATEGORYNAME">
                      <a:rPr lang="en-US" b="0">
                        <a:solidFill>
                          <a:sysClr val="windowText" lastClr="000000"/>
                        </a:solidFill>
                        <a:latin typeface="Century Gothic" panose="020B0502020202020204" pitchFamily="34" charset="0"/>
                      </a:rPr>
                      <a:pPr>
                        <a:defRPr b="0">
                          <a:solidFill>
                            <a:sysClr val="windowText" lastClr="000000"/>
                          </a:solidFill>
                          <a:latin typeface="Century Gothic" panose="020B0502020202020204" pitchFamily="34" charset="0"/>
                        </a:defRPr>
                      </a:pPr>
                      <a:t>[NAZWA KATEGORII]</a:t>
                    </a:fld>
                    <a:endParaRPr lang="en-US" b="0">
                      <a:solidFill>
                        <a:sysClr val="windowText" lastClr="000000"/>
                      </a:solidFill>
                      <a:latin typeface="Century Gothic" panose="020B0502020202020204" pitchFamily="34" charset="0"/>
                    </a:endParaRPr>
                  </a:p>
                  <a:p>
                    <a:pPr>
                      <a:defRPr b="0">
                        <a:solidFill>
                          <a:sysClr val="windowText" lastClr="000000"/>
                        </a:solidFill>
                        <a:latin typeface="Century Gothic" panose="020B0502020202020204" pitchFamily="34" charset="0"/>
                      </a:defRPr>
                    </a:pPr>
                    <a:r>
                      <a:rPr lang="en-US" b="0">
                        <a:solidFill>
                          <a:sysClr val="windowText" lastClr="000000"/>
                        </a:solidFill>
                        <a:latin typeface="Century Gothic" panose="020B0502020202020204" pitchFamily="34" charset="0"/>
                      </a:rPr>
                      <a:t>21,3%</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20A-4E65-93CE-2417B3D27A04}"/>
                </c:ext>
              </c:extLst>
            </c:dLbl>
            <c:dLbl>
              <c:idx val="4"/>
              <c:layout>
                <c:manualLayout>
                  <c:x val="1.4634860237084629E-2"/>
                  <c:y val="0.12269938650306748"/>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fld id="{463BE283-EA55-4860-8005-EDC0297728D5}" type="CATEGORYNAME">
                      <a:rPr lang="en-US" b="0">
                        <a:solidFill>
                          <a:sysClr val="windowText" lastClr="000000"/>
                        </a:solidFill>
                        <a:latin typeface="Century Gothic" panose="020B0502020202020204" pitchFamily="34" charset="0"/>
                      </a:rPr>
                      <a:pPr>
                        <a:defRPr b="0">
                          <a:solidFill>
                            <a:sysClr val="windowText" lastClr="000000"/>
                          </a:solidFill>
                          <a:latin typeface="Century Gothic" panose="020B0502020202020204" pitchFamily="34" charset="0"/>
                        </a:defRPr>
                      </a:pPr>
                      <a:t>[NAZWA KATEGORII]</a:t>
                    </a:fld>
                    <a:endParaRPr lang="en-US" b="0">
                      <a:solidFill>
                        <a:sysClr val="windowText" lastClr="000000"/>
                      </a:solidFill>
                      <a:latin typeface="Century Gothic" panose="020B0502020202020204" pitchFamily="34" charset="0"/>
                    </a:endParaRPr>
                  </a:p>
                  <a:p>
                    <a:pPr>
                      <a:defRPr b="0">
                        <a:solidFill>
                          <a:sysClr val="windowText" lastClr="000000"/>
                        </a:solidFill>
                        <a:latin typeface="Century Gothic" panose="020B0502020202020204" pitchFamily="34" charset="0"/>
                      </a:defRPr>
                    </a:pPr>
                    <a:r>
                      <a:rPr lang="en-US" b="0">
                        <a:solidFill>
                          <a:sysClr val="windowText" lastClr="000000"/>
                        </a:solidFill>
                        <a:latin typeface="Century Gothic" panose="020B0502020202020204" pitchFamily="34" charset="0"/>
                      </a:rPr>
                      <a:t>10,2%</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20A-4E65-93CE-2417B3D27A0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ysClr val="windowText" lastClr="000000"/>
                    </a:solidFill>
                    <a:latin typeface="Century Gothic" panose="020B0502020202020204" pitchFamily="34" charset="0"/>
                    <a:ea typeface="+mn-ea"/>
                    <a:cs typeface="+mn-cs"/>
                  </a:defRPr>
                </a:pPr>
                <a:endParaRPr lang="pl-PL"/>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rysunek!$B$2:$F$2</c:f>
              <c:strCache>
                <c:ptCount val="5"/>
                <c:pt idx="0">
                  <c:v>&lt;10 lat </c:v>
                </c:pt>
                <c:pt idx="1">
                  <c:v> 11-20 lat </c:v>
                </c:pt>
                <c:pt idx="2">
                  <c:v>21-30 lat </c:v>
                </c:pt>
                <c:pt idx="3">
                  <c:v>31-40 lat </c:v>
                </c:pt>
                <c:pt idx="4">
                  <c:v>&gt;40 lat </c:v>
                </c:pt>
              </c:strCache>
            </c:strRef>
          </c:cat>
          <c:val>
            <c:numRef>
              <c:f>rysunek!$B$3:$F$3</c:f>
              <c:numCache>
                <c:formatCode>0.00%</c:formatCode>
                <c:ptCount val="5"/>
                <c:pt idx="0">
                  <c:v>0.214</c:v>
                </c:pt>
                <c:pt idx="1">
                  <c:v>0.14399999999999999</c:v>
                </c:pt>
                <c:pt idx="2">
                  <c:v>0.28299999999999997</c:v>
                </c:pt>
                <c:pt idx="3">
                  <c:v>0.245</c:v>
                </c:pt>
                <c:pt idx="4">
                  <c:v>0.114</c:v>
                </c:pt>
              </c:numCache>
            </c:numRef>
          </c:val>
          <c:extLst>
            <c:ext xmlns:c16="http://schemas.microsoft.com/office/drawing/2014/chart" uri="{C3380CC4-5D6E-409C-BE32-E72D297353CC}">
              <c16:uniqueId val="{0000000A-220A-4E65-93CE-2417B3D27A04}"/>
            </c:ext>
          </c:extLst>
        </c:ser>
        <c:dLbls>
          <c:dLblPos val="outEnd"/>
          <c:showLegendKey val="0"/>
          <c:showVal val="0"/>
          <c:showCatName val="1"/>
          <c:showSerName val="0"/>
          <c:showPercent val="0"/>
          <c:showBubbleSize val="0"/>
          <c:showLeaderLines val="1"/>
        </c:dLbls>
        <c:firstSliceAng val="15"/>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73412651666863"/>
          <c:y val="0.17077459688399874"/>
          <c:w val="0.66672579001297527"/>
          <c:h val="0.75396753149168816"/>
        </c:manualLayout>
      </c:layout>
      <c:pieChart>
        <c:varyColors val="1"/>
        <c:ser>
          <c:idx val="0"/>
          <c:order val="0"/>
          <c:explosion val="5"/>
          <c:dPt>
            <c:idx val="0"/>
            <c:bubble3D val="0"/>
            <c:explosion val="2"/>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CCE3-4ABD-8EE4-C81AC0E051DB}"/>
              </c:ext>
            </c:extLst>
          </c:dPt>
          <c:dPt>
            <c:idx val="1"/>
            <c:bubble3D val="0"/>
            <c:explosion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CCE3-4ABD-8EE4-C81AC0E051DB}"/>
              </c:ext>
            </c:extLst>
          </c:dPt>
          <c:dPt>
            <c:idx val="2"/>
            <c:bubble3D val="0"/>
            <c:explosion val="2"/>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CCE3-4ABD-8EE4-C81AC0E051DB}"/>
              </c:ext>
            </c:extLst>
          </c:dPt>
          <c:dPt>
            <c:idx val="3"/>
            <c:bubble3D val="0"/>
            <c:explosion val="2"/>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CCE3-4ABD-8EE4-C81AC0E051DB}"/>
              </c:ext>
            </c:extLst>
          </c:dPt>
          <c:dLbls>
            <c:dLbl>
              <c:idx val="0"/>
              <c:layout>
                <c:manualLayout>
                  <c:x val="-0.249044203816879"/>
                  <c:y val="0.16122458121672481"/>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r>
                      <a:rPr lang="en-US"/>
                      <a:t>gaz wysokometanowy</a:t>
                    </a:r>
                  </a:p>
                  <a:p>
                    <a:pPr>
                      <a:defRPr sz="900" b="0" i="0" u="none" strike="noStrike" kern="1200" baseline="0">
                        <a:solidFill>
                          <a:schemeClr val="tx1">
                            <a:lumMod val="75000"/>
                            <a:lumOff val="25000"/>
                          </a:schemeClr>
                        </a:solidFill>
                        <a:latin typeface="+mn-lt"/>
                        <a:ea typeface="+mn-ea"/>
                        <a:cs typeface="+mn-cs"/>
                      </a:defRPr>
                    </a:pPr>
                    <a:r>
                      <a:rPr lang="en-US"/>
                      <a:t>  33,8% </a:t>
                    </a:r>
                  </a:p>
                  <a:p>
                    <a:pPr>
                      <a:defRPr sz="900" b="0" i="0" u="none" strike="noStrike" kern="1200" baseline="0">
                        <a:solidFill>
                          <a:schemeClr val="tx1">
                            <a:lumMod val="75000"/>
                            <a:lumOff val="25000"/>
                          </a:schemeClr>
                        </a:solidFill>
                        <a:latin typeface="+mn-lt"/>
                        <a:ea typeface="+mn-ea"/>
                        <a:cs typeface="+mn-cs"/>
                      </a:defRPr>
                    </a:pPr>
                    <a:r>
                      <a:rPr lang="en-US"/>
                      <a:t>14,3 TWh</a:t>
                    </a:r>
                  </a:p>
                  <a:p>
                    <a:pPr>
                      <a:defRPr sz="900" b="0" i="0" u="none" strike="noStrike" kern="1200" baseline="0">
                        <a:solidFill>
                          <a:schemeClr val="tx1">
                            <a:lumMod val="75000"/>
                            <a:lumOff val="25000"/>
                          </a:schemeClr>
                        </a:solidFill>
                        <a:latin typeface="+mn-lt"/>
                        <a:ea typeface="+mn-ea"/>
                        <a:cs typeface="+mn-cs"/>
                      </a:defRPr>
                    </a:pPr>
                    <a:endParaRPr lang="en-US"/>
                  </a:p>
                </c:rich>
              </c:tx>
              <c:spPr>
                <a:noFill/>
                <a:ln>
                  <a:noFill/>
                </a:ln>
              </c:spPr>
              <c:dLblPos val="bestFit"/>
              <c:showLegendKey val="0"/>
              <c:showVal val="0"/>
              <c:showCatName val="0"/>
              <c:showSerName val="0"/>
              <c:showPercent val="0"/>
              <c:showBubbleSize val="0"/>
              <c:extLst>
                <c:ext xmlns:c15="http://schemas.microsoft.com/office/drawing/2012/chart" uri="{CE6537A1-D6FC-4f65-9D91-7224C49458BB}">
                  <c15:layout>
                    <c:manualLayout>
                      <c:w val="0.33366149628408365"/>
                      <c:h val="0.25881701335556406"/>
                    </c:manualLayout>
                  </c15:layout>
                  <c15:showDataLabelsRange val="0"/>
                </c:ext>
                <c:ext xmlns:c16="http://schemas.microsoft.com/office/drawing/2014/chart" uri="{C3380CC4-5D6E-409C-BE32-E72D297353CC}">
                  <c16:uniqueId val="{00000001-CCE3-4ABD-8EE4-C81AC0E051DB}"/>
                </c:ext>
              </c:extLst>
            </c:dLbl>
            <c:dLbl>
              <c:idx val="1"/>
              <c:layout>
                <c:manualLayout>
                  <c:x val="-6.3576257290039143E-2"/>
                  <c:y val="-0.12391191909834801"/>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r>
                      <a:rPr lang="en-US"/>
                      <a:t>gaz zaazotowany Lw</a:t>
                    </a:r>
                  </a:p>
                  <a:p>
                    <a:pPr>
                      <a:defRPr sz="900" b="0" i="0" u="none" strike="noStrike" kern="1200" baseline="0">
                        <a:solidFill>
                          <a:schemeClr val="tx1">
                            <a:lumMod val="75000"/>
                            <a:lumOff val="25000"/>
                          </a:schemeClr>
                        </a:solidFill>
                        <a:latin typeface="+mn-lt"/>
                        <a:ea typeface="+mn-ea"/>
                        <a:cs typeface="+mn-cs"/>
                      </a:defRPr>
                    </a:pPr>
                    <a:r>
                      <a:rPr lang="en-US"/>
                      <a:t> 28,4% </a:t>
                    </a:r>
                  </a:p>
                  <a:p>
                    <a:pPr>
                      <a:defRPr sz="900" b="0" i="0" u="none" strike="noStrike" kern="1200" baseline="0">
                        <a:solidFill>
                          <a:schemeClr val="tx1">
                            <a:lumMod val="75000"/>
                            <a:lumOff val="25000"/>
                          </a:schemeClr>
                        </a:solidFill>
                        <a:latin typeface="+mn-lt"/>
                        <a:ea typeface="+mn-ea"/>
                        <a:cs typeface="+mn-cs"/>
                      </a:defRPr>
                    </a:pPr>
                    <a:r>
                      <a:rPr lang="en-US"/>
                      <a:t>11,9 TWh</a:t>
                    </a:r>
                  </a:p>
                </c:rich>
              </c:tx>
              <c:spPr>
                <a:noFill/>
                <a:ln>
                  <a:noFill/>
                </a:ln>
              </c:spPr>
              <c:dLblPos val="bestFit"/>
              <c:showLegendKey val="0"/>
              <c:showVal val="0"/>
              <c:showCatName val="0"/>
              <c:showSerName val="0"/>
              <c:showPercent val="0"/>
              <c:showBubbleSize val="0"/>
              <c:extLst>
                <c:ext xmlns:c15="http://schemas.microsoft.com/office/drawing/2012/chart" uri="{CE6537A1-D6FC-4f65-9D91-7224C49458BB}">
                  <c15:layout>
                    <c:manualLayout>
                      <c:w val="0.22282907662082516"/>
                      <c:h val="0.28394627142195461"/>
                    </c:manualLayout>
                  </c15:layout>
                  <c15:showDataLabelsRange val="0"/>
                </c:ext>
                <c:ext xmlns:c16="http://schemas.microsoft.com/office/drawing/2014/chart" uri="{C3380CC4-5D6E-409C-BE32-E72D297353CC}">
                  <c16:uniqueId val="{00000003-CCE3-4ABD-8EE4-C81AC0E051DB}"/>
                </c:ext>
              </c:extLst>
            </c:dLbl>
            <c:dLbl>
              <c:idx val="2"/>
              <c:layout>
                <c:manualLayout>
                  <c:x val="0.18069047066562649"/>
                  <c:y val="6.7577834460833236E-2"/>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r>
                      <a:rPr lang="en-US"/>
                      <a:t>gaz zaazotowany pozostały</a:t>
                    </a:r>
                  </a:p>
                  <a:p>
                    <a:pPr>
                      <a:defRPr sz="900" b="0" i="0" u="none" strike="noStrike" kern="1200" baseline="0">
                        <a:solidFill>
                          <a:schemeClr val="tx1">
                            <a:lumMod val="75000"/>
                            <a:lumOff val="25000"/>
                          </a:schemeClr>
                        </a:solidFill>
                        <a:latin typeface="+mn-lt"/>
                        <a:ea typeface="+mn-ea"/>
                        <a:cs typeface="+mn-cs"/>
                      </a:defRPr>
                    </a:pPr>
                    <a:r>
                      <a:rPr lang="en-US"/>
                      <a:t> 31,7% </a:t>
                    </a:r>
                  </a:p>
                  <a:p>
                    <a:pPr>
                      <a:defRPr sz="900" b="0" i="0" u="none" strike="noStrike" kern="1200" baseline="0">
                        <a:solidFill>
                          <a:schemeClr val="tx1">
                            <a:lumMod val="75000"/>
                            <a:lumOff val="25000"/>
                          </a:schemeClr>
                        </a:solidFill>
                        <a:latin typeface="+mn-lt"/>
                        <a:ea typeface="+mn-ea"/>
                        <a:cs typeface="+mn-cs"/>
                      </a:defRPr>
                    </a:pPr>
                    <a:r>
                      <a:rPr lang="en-US"/>
                      <a:t>13,4 TWh</a:t>
                    </a:r>
                  </a:p>
                  <a:p>
                    <a:pPr>
                      <a:defRPr sz="900" b="0" i="0" u="none" strike="noStrike" kern="1200" baseline="0">
                        <a:solidFill>
                          <a:schemeClr val="tx1">
                            <a:lumMod val="75000"/>
                            <a:lumOff val="25000"/>
                          </a:schemeClr>
                        </a:solidFill>
                        <a:latin typeface="+mn-lt"/>
                        <a:ea typeface="+mn-ea"/>
                        <a:cs typeface="+mn-cs"/>
                      </a:defRPr>
                    </a:pPr>
                    <a:endParaRPr lang="en-US"/>
                  </a:p>
                </c:rich>
              </c:tx>
              <c:spPr>
                <a:noFill/>
                <a:ln>
                  <a:noFill/>
                </a:ln>
              </c:spPr>
              <c:dLblPos val="bestFit"/>
              <c:showLegendKey val="0"/>
              <c:showVal val="0"/>
              <c:showCatName val="0"/>
              <c:showSerName val="0"/>
              <c:showPercent val="0"/>
              <c:showBubbleSize val="0"/>
              <c:extLst>
                <c:ext xmlns:c15="http://schemas.microsoft.com/office/drawing/2012/chart" uri="{CE6537A1-D6FC-4f65-9D91-7224C49458BB}">
                  <c15:layout>
                    <c:manualLayout>
                      <c:w val="0.22675834970530451"/>
                      <c:h val="0.3377941176470588"/>
                    </c:manualLayout>
                  </c15:layout>
                  <c15:showDataLabelsRange val="0"/>
                </c:ext>
                <c:ext xmlns:c16="http://schemas.microsoft.com/office/drawing/2014/chart" uri="{C3380CC4-5D6E-409C-BE32-E72D297353CC}">
                  <c16:uniqueId val="{00000005-CCE3-4ABD-8EE4-C81AC0E051DB}"/>
                </c:ext>
              </c:extLst>
            </c:dLbl>
            <c:dLbl>
              <c:idx val="3"/>
              <c:layout>
                <c:manualLayout>
                  <c:x val="-0.1252497563541296"/>
                  <c:y val="2.9411764705882353E-2"/>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r>
                      <a:rPr lang="en-US"/>
                      <a:t>gaz inny </a:t>
                    </a:r>
                  </a:p>
                  <a:p>
                    <a:pPr>
                      <a:defRPr sz="900" b="0" i="0" u="none" strike="noStrike" kern="1200" baseline="0">
                        <a:solidFill>
                          <a:schemeClr val="tx1">
                            <a:lumMod val="75000"/>
                            <a:lumOff val="25000"/>
                          </a:schemeClr>
                        </a:solidFill>
                        <a:latin typeface="+mn-lt"/>
                        <a:ea typeface="+mn-ea"/>
                        <a:cs typeface="+mn-cs"/>
                      </a:defRPr>
                    </a:pPr>
                    <a:r>
                      <a:rPr lang="en-US"/>
                      <a:t> 6,2% </a:t>
                    </a:r>
                  </a:p>
                  <a:p>
                    <a:pPr>
                      <a:defRPr sz="900" b="0" i="0" u="none" strike="noStrike" kern="1200" baseline="0">
                        <a:solidFill>
                          <a:schemeClr val="tx1">
                            <a:lumMod val="75000"/>
                            <a:lumOff val="25000"/>
                          </a:schemeClr>
                        </a:solidFill>
                        <a:latin typeface="+mn-lt"/>
                        <a:ea typeface="+mn-ea"/>
                        <a:cs typeface="+mn-cs"/>
                      </a:defRPr>
                    </a:pPr>
                    <a:r>
                      <a:rPr lang="en-US"/>
                      <a:t>2,6 TWh</a:t>
                    </a:r>
                  </a:p>
                </c:rich>
              </c:tx>
              <c:spPr>
                <a:noFill/>
                <a:ln>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CE3-4ABD-8EE4-C81AC0E051DB}"/>
                </c:ext>
              </c:extLst>
            </c:dLbl>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1"/>
            <c:showSerName val="0"/>
            <c:showPercent val="0"/>
            <c:showBubbleSize val="0"/>
            <c:separator>
</c:separator>
            <c:showLeaderLines val="1"/>
            <c:leaderLines>
              <c:spPr>
                <a:ln w="9525">
                  <a:solidFill>
                    <a:schemeClr val="tx1">
                      <a:lumMod val="35000"/>
                      <a:lumOff val="65000"/>
                    </a:schemeClr>
                  </a:solidFill>
                  <a:round/>
                </a:ln>
              </c:spPr>
            </c:leaderLines>
            <c:extLst>
              <c:ext xmlns:c15="http://schemas.microsoft.com/office/drawing/2012/chart" uri="{CE6537A1-D6FC-4f65-9D91-7224C49458BB}"/>
            </c:extLst>
          </c:dLbls>
          <c:cat>
            <c:strRef>
              <c:f>'Rys. 1.1. Wyd 2021_2022'!$L$16:$L$19</c:f>
              <c:strCache>
                <c:ptCount val="4"/>
                <c:pt idx="0">
                  <c:v>gaz wysokometanowy</c:v>
                </c:pt>
                <c:pt idx="1">
                  <c:v>gaz zaazotowany Lw</c:v>
                </c:pt>
                <c:pt idx="2">
                  <c:v>gaz zaazotowany pozostały</c:v>
                </c:pt>
                <c:pt idx="3">
                  <c:v>gaz inny </c:v>
                </c:pt>
              </c:strCache>
            </c:strRef>
          </c:cat>
          <c:val>
            <c:numRef>
              <c:f>'Rys. 1.1. Wyd 2021_2022'!$M$16:$M$19</c:f>
              <c:numCache>
                <c:formatCode>#,##0.00</c:formatCode>
                <c:ptCount val="4"/>
                <c:pt idx="0">
                  <c:v>14.3</c:v>
                </c:pt>
                <c:pt idx="1">
                  <c:v>11.98</c:v>
                </c:pt>
                <c:pt idx="2" formatCode="#\ ##0.0">
                  <c:v>13.37</c:v>
                </c:pt>
                <c:pt idx="3">
                  <c:v>2.6</c:v>
                </c:pt>
              </c:numCache>
            </c:numRef>
          </c:val>
          <c:extLst>
            <c:ext xmlns:c16="http://schemas.microsoft.com/office/drawing/2014/chart" uri="{C3380CC4-5D6E-409C-BE32-E72D297353CC}">
              <c16:uniqueId val="{00000008-CCE3-4ABD-8EE4-C81AC0E051DB}"/>
            </c:ext>
          </c:extLst>
        </c:ser>
        <c:dLbls>
          <c:showLegendKey val="0"/>
          <c:showVal val="0"/>
          <c:showCatName val="0"/>
          <c:showSerName val="0"/>
          <c:showPercent val="0"/>
          <c:showBubbleSize val="0"/>
          <c:showLeaderLines val="1"/>
        </c:dLbls>
        <c:firstSliceAng val="0"/>
      </c:pieChart>
      <c:spPr>
        <a:noFill/>
        <a:ln>
          <a:noFill/>
        </a:ln>
      </c:spPr>
    </c:plotArea>
    <c:plotVisOnly val="1"/>
    <c:dispBlanksAs val="gap"/>
    <c:showDLblsOverMax val="0"/>
  </c:chart>
  <c:spPr>
    <a:solidFill>
      <a:schemeClr val="bg1"/>
    </a:solidFill>
    <a:ln w="9525">
      <a:noFill/>
      <a:round/>
    </a:ln>
  </c:spPr>
  <c:txPr>
    <a:bodyPr/>
    <a:lstStyle/>
    <a:p>
      <a:pPr algn="just">
        <a:defRPr/>
      </a:pPr>
      <a:endParaRPr lang="pl-PL"/>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0.33412</cdr:x>
      <cdr:y>0.03222</cdr:y>
    </cdr:from>
    <cdr:to>
      <cdr:x>0.56503</cdr:x>
      <cdr:y>0.25569</cdr:y>
    </cdr:to>
    <cdr:sp macro="" textlink="">
      <cdr:nvSpPr>
        <cdr:cNvPr id="2" name="pole tekstowe 1"/>
        <cdr:cNvSpPr txBox="1"/>
      </cdr:nvSpPr>
      <cdr:spPr>
        <a:xfrm xmlns:a="http://schemas.openxmlformats.org/drawingml/2006/main">
          <a:off x="1036320" y="91769"/>
          <a:ext cx="1069279" cy="567628"/>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endParaRPr lang="pl-PL" sz="1300" b="1">
            <a:solidFill>
              <a:srgbClr val="0000FF"/>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A3C38-B06B-4E03-B7F7-B480A3B9B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15895</Words>
  <Characters>95370</Characters>
  <Application>Microsoft Office Word</Application>
  <DocSecurity>0</DocSecurity>
  <Lines>794</Lines>
  <Paragraphs>222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111043</CharactersWithSpaces>
  <SharedDoc>false</SharedDoc>
  <HLinks>
    <vt:vector size="270" baseType="variant">
      <vt:variant>
        <vt:i4>1507376</vt:i4>
      </vt:variant>
      <vt:variant>
        <vt:i4>260</vt:i4>
      </vt:variant>
      <vt:variant>
        <vt:i4>0</vt:i4>
      </vt:variant>
      <vt:variant>
        <vt:i4>5</vt:i4>
      </vt:variant>
      <vt:variant>
        <vt:lpwstr/>
      </vt:variant>
      <vt:variant>
        <vt:lpwstr>_Toc142469590</vt:lpwstr>
      </vt:variant>
      <vt:variant>
        <vt:i4>1441840</vt:i4>
      </vt:variant>
      <vt:variant>
        <vt:i4>254</vt:i4>
      </vt:variant>
      <vt:variant>
        <vt:i4>0</vt:i4>
      </vt:variant>
      <vt:variant>
        <vt:i4>5</vt:i4>
      </vt:variant>
      <vt:variant>
        <vt:lpwstr/>
      </vt:variant>
      <vt:variant>
        <vt:lpwstr>_Toc142469589</vt:lpwstr>
      </vt:variant>
      <vt:variant>
        <vt:i4>1441840</vt:i4>
      </vt:variant>
      <vt:variant>
        <vt:i4>248</vt:i4>
      </vt:variant>
      <vt:variant>
        <vt:i4>0</vt:i4>
      </vt:variant>
      <vt:variant>
        <vt:i4>5</vt:i4>
      </vt:variant>
      <vt:variant>
        <vt:lpwstr/>
      </vt:variant>
      <vt:variant>
        <vt:lpwstr>_Toc142469588</vt:lpwstr>
      </vt:variant>
      <vt:variant>
        <vt:i4>1441840</vt:i4>
      </vt:variant>
      <vt:variant>
        <vt:i4>242</vt:i4>
      </vt:variant>
      <vt:variant>
        <vt:i4>0</vt:i4>
      </vt:variant>
      <vt:variant>
        <vt:i4>5</vt:i4>
      </vt:variant>
      <vt:variant>
        <vt:lpwstr/>
      </vt:variant>
      <vt:variant>
        <vt:lpwstr>_Toc142469587</vt:lpwstr>
      </vt:variant>
      <vt:variant>
        <vt:i4>1441840</vt:i4>
      </vt:variant>
      <vt:variant>
        <vt:i4>236</vt:i4>
      </vt:variant>
      <vt:variant>
        <vt:i4>0</vt:i4>
      </vt:variant>
      <vt:variant>
        <vt:i4>5</vt:i4>
      </vt:variant>
      <vt:variant>
        <vt:lpwstr/>
      </vt:variant>
      <vt:variant>
        <vt:lpwstr>_Toc142469586</vt:lpwstr>
      </vt:variant>
      <vt:variant>
        <vt:i4>1441840</vt:i4>
      </vt:variant>
      <vt:variant>
        <vt:i4>230</vt:i4>
      </vt:variant>
      <vt:variant>
        <vt:i4>0</vt:i4>
      </vt:variant>
      <vt:variant>
        <vt:i4>5</vt:i4>
      </vt:variant>
      <vt:variant>
        <vt:lpwstr/>
      </vt:variant>
      <vt:variant>
        <vt:lpwstr>_Toc142469585</vt:lpwstr>
      </vt:variant>
      <vt:variant>
        <vt:i4>1441840</vt:i4>
      </vt:variant>
      <vt:variant>
        <vt:i4>224</vt:i4>
      </vt:variant>
      <vt:variant>
        <vt:i4>0</vt:i4>
      </vt:variant>
      <vt:variant>
        <vt:i4>5</vt:i4>
      </vt:variant>
      <vt:variant>
        <vt:lpwstr/>
      </vt:variant>
      <vt:variant>
        <vt:lpwstr>_Toc142469584</vt:lpwstr>
      </vt:variant>
      <vt:variant>
        <vt:i4>1441840</vt:i4>
      </vt:variant>
      <vt:variant>
        <vt:i4>218</vt:i4>
      </vt:variant>
      <vt:variant>
        <vt:i4>0</vt:i4>
      </vt:variant>
      <vt:variant>
        <vt:i4>5</vt:i4>
      </vt:variant>
      <vt:variant>
        <vt:lpwstr/>
      </vt:variant>
      <vt:variant>
        <vt:lpwstr>_Toc142469583</vt:lpwstr>
      </vt:variant>
      <vt:variant>
        <vt:i4>1441840</vt:i4>
      </vt:variant>
      <vt:variant>
        <vt:i4>212</vt:i4>
      </vt:variant>
      <vt:variant>
        <vt:i4>0</vt:i4>
      </vt:variant>
      <vt:variant>
        <vt:i4>5</vt:i4>
      </vt:variant>
      <vt:variant>
        <vt:lpwstr/>
      </vt:variant>
      <vt:variant>
        <vt:lpwstr>_Toc142469582</vt:lpwstr>
      </vt:variant>
      <vt:variant>
        <vt:i4>1441840</vt:i4>
      </vt:variant>
      <vt:variant>
        <vt:i4>206</vt:i4>
      </vt:variant>
      <vt:variant>
        <vt:i4>0</vt:i4>
      </vt:variant>
      <vt:variant>
        <vt:i4>5</vt:i4>
      </vt:variant>
      <vt:variant>
        <vt:lpwstr/>
      </vt:variant>
      <vt:variant>
        <vt:lpwstr>_Toc142469581</vt:lpwstr>
      </vt:variant>
      <vt:variant>
        <vt:i4>1441840</vt:i4>
      </vt:variant>
      <vt:variant>
        <vt:i4>200</vt:i4>
      </vt:variant>
      <vt:variant>
        <vt:i4>0</vt:i4>
      </vt:variant>
      <vt:variant>
        <vt:i4>5</vt:i4>
      </vt:variant>
      <vt:variant>
        <vt:lpwstr/>
      </vt:variant>
      <vt:variant>
        <vt:lpwstr>_Toc142469580</vt:lpwstr>
      </vt:variant>
      <vt:variant>
        <vt:i4>1638448</vt:i4>
      </vt:variant>
      <vt:variant>
        <vt:i4>194</vt:i4>
      </vt:variant>
      <vt:variant>
        <vt:i4>0</vt:i4>
      </vt:variant>
      <vt:variant>
        <vt:i4>5</vt:i4>
      </vt:variant>
      <vt:variant>
        <vt:lpwstr/>
      </vt:variant>
      <vt:variant>
        <vt:lpwstr>_Toc142469579</vt:lpwstr>
      </vt:variant>
      <vt:variant>
        <vt:i4>1638448</vt:i4>
      </vt:variant>
      <vt:variant>
        <vt:i4>188</vt:i4>
      </vt:variant>
      <vt:variant>
        <vt:i4>0</vt:i4>
      </vt:variant>
      <vt:variant>
        <vt:i4>5</vt:i4>
      </vt:variant>
      <vt:variant>
        <vt:lpwstr/>
      </vt:variant>
      <vt:variant>
        <vt:lpwstr>_Toc142469578</vt:lpwstr>
      </vt:variant>
      <vt:variant>
        <vt:i4>1638448</vt:i4>
      </vt:variant>
      <vt:variant>
        <vt:i4>182</vt:i4>
      </vt:variant>
      <vt:variant>
        <vt:i4>0</vt:i4>
      </vt:variant>
      <vt:variant>
        <vt:i4>5</vt:i4>
      </vt:variant>
      <vt:variant>
        <vt:lpwstr/>
      </vt:variant>
      <vt:variant>
        <vt:lpwstr>_Toc142469577</vt:lpwstr>
      </vt:variant>
      <vt:variant>
        <vt:i4>1638448</vt:i4>
      </vt:variant>
      <vt:variant>
        <vt:i4>176</vt:i4>
      </vt:variant>
      <vt:variant>
        <vt:i4>0</vt:i4>
      </vt:variant>
      <vt:variant>
        <vt:i4>5</vt:i4>
      </vt:variant>
      <vt:variant>
        <vt:lpwstr/>
      </vt:variant>
      <vt:variant>
        <vt:lpwstr>_Toc142469576</vt:lpwstr>
      </vt:variant>
      <vt:variant>
        <vt:i4>1638448</vt:i4>
      </vt:variant>
      <vt:variant>
        <vt:i4>170</vt:i4>
      </vt:variant>
      <vt:variant>
        <vt:i4>0</vt:i4>
      </vt:variant>
      <vt:variant>
        <vt:i4>5</vt:i4>
      </vt:variant>
      <vt:variant>
        <vt:lpwstr/>
      </vt:variant>
      <vt:variant>
        <vt:lpwstr>_Toc142469575</vt:lpwstr>
      </vt:variant>
      <vt:variant>
        <vt:i4>1638448</vt:i4>
      </vt:variant>
      <vt:variant>
        <vt:i4>164</vt:i4>
      </vt:variant>
      <vt:variant>
        <vt:i4>0</vt:i4>
      </vt:variant>
      <vt:variant>
        <vt:i4>5</vt:i4>
      </vt:variant>
      <vt:variant>
        <vt:lpwstr/>
      </vt:variant>
      <vt:variant>
        <vt:lpwstr>_Toc142469574</vt:lpwstr>
      </vt:variant>
      <vt:variant>
        <vt:i4>1638448</vt:i4>
      </vt:variant>
      <vt:variant>
        <vt:i4>158</vt:i4>
      </vt:variant>
      <vt:variant>
        <vt:i4>0</vt:i4>
      </vt:variant>
      <vt:variant>
        <vt:i4>5</vt:i4>
      </vt:variant>
      <vt:variant>
        <vt:lpwstr/>
      </vt:variant>
      <vt:variant>
        <vt:lpwstr>_Toc142469573</vt:lpwstr>
      </vt:variant>
      <vt:variant>
        <vt:i4>1638448</vt:i4>
      </vt:variant>
      <vt:variant>
        <vt:i4>152</vt:i4>
      </vt:variant>
      <vt:variant>
        <vt:i4>0</vt:i4>
      </vt:variant>
      <vt:variant>
        <vt:i4>5</vt:i4>
      </vt:variant>
      <vt:variant>
        <vt:lpwstr/>
      </vt:variant>
      <vt:variant>
        <vt:lpwstr>_Toc142469572</vt:lpwstr>
      </vt:variant>
      <vt:variant>
        <vt:i4>1638448</vt:i4>
      </vt:variant>
      <vt:variant>
        <vt:i4>146</vt:i4>
      </vt:variant>
      <vt:variant>
        <vt:i4>0</vt:i4>
      </vt:variant>
      <vt:variant>
        <vt:i4>5</vt:i4>
      </vt:variant>
      <vt:variant>
        <vt:lpwstr/>
      </vt:variant>
      <vt:variant>
        <vt:lpwstr>_Toc142469571</vt:lpwstr>
      </vt:variant>
      <vt:variant>
        <vt:i4>1638448</vt:i4>
      </vt:variant>
      <vt:variant>
        <vt:i4>140</vt:i4>
      </vt:variant>
      <vt:variant>
        <vt:i4>0</vt:i4>
      </vt:variant>
      <vt:variant>
        <vt:i4>5</vt:i4>
      </vt:variant>
      <vt:variant>
        <vt:lpwstr/>
      </vt:variant>
      <vt:variant>
        <vt:lpwstr>_Toc142469570</vt:lpwstr>
      </vt:variant>
      <vt:variant>
        <vt:i4>1572912</vt:i4>
      </vt:variant>
      <vt:variant>
        <vt:i4>134</vt:i4>
      </vt:variant>
      <vt:variant>
        <vt:i4>0</vt:i4>
      </vt:variant>
      <vt:variant>
        <vt:i4>5</vt:i4>
      </vt:variant>
      <vt:variant>
        <vt:lpwstr/>
      </vt:variant>
      <vt:variant>
        <vt:lpwstr>_Toc142469569</vt:lpwstr>
      </vt:variant>
      <vt:variant>
        <vt:i4>1572912</vt:i4>
      </vt:variant>
      <vt:variant>
        <vt:i4>128</vt:i4>
      </vt:variant>
      <vt:variant>
        <vt:i4>0</vt:i4>
      </vt:variant>
      <vt:variant>
        <vt:i4>5</vt:i4>
      </vt:variant>
      <vt:variant>
        <vt:lpwstr/>
      </vt:variant>
      <vt:variant>
        <vt:lpwstr>_Toc142469568</vt:lpwstr>
      </vt:variant>
      <vt:variant>
        <vt:i4>1572912</vt:i4>
      </vt:variant>
      <vt:variant>
        <vt:i4>122</vt:i4>
      </vt:variant>
      <vt:variant>
        <vt:i4>0</vt:i4>
      </vt:variant>
      <vt:variant>
        <vt:i4>5</vt:i4>
      </vt:variant>
      <vt:variant>
        <vt:lpwstr/>
      </vt:variant>
      <vt:variant>
        <vt:lpwstr>_Toc142469567</vt:lpwstr>
      </vt:variant>
      <vt:variant>
        <vt:i4>1572912</vt:i4>
      </vt:variant>
      <vt:variant>
        <vt:i4>116</vt:i4>
      </vt:variant>
      <vt:variant>
        <vt:i4>0</vt:i4>
      </vt:variant>
      <vt:variant>
        <vt:i4>5</vt:i4>
      </vt:variant>
      <vt:variant>
        <vt:lpwstr/>
      </vt:variant>
      <vt:variant>
        <vt:lpwstr>_Toc142469566</vt:lpwstr>
      </vt:variant>
      <vt:variant>
        <vt:i4>1572912</vt:i4>
      </vt:variant>
      <vt:variant>
        <vt:i4>110</vt:i4>
      </vt:variant>
      <vt:variant>
        <vt:i4>0</vt:i4>
      </vt:variant>
      <vt:variant>
        <vt:i4>5</vt:i4>
      </vt:variant>
      <vt:variant>
        <vt:lpwstr/>
      </vt:variant>
      <vt:variant>
        <vt:lpwstr>_Toc142469565</vt:lpwstr>
      </vt:variant>
      <vt:variant>
        <vt:i4>1572912</vt:i4>
      </vt:variant>
      <vt:variant>
        <vt:i4>104</vt:i4>
      </vt:variant>
      <vt:variant>
        <vt:i4>0</vt:i4>
      </vt:variant>
      <vt:variant>
        <vt:i4>5</vt:i4>
      </vt:variant>
      <vt:variant>
        <vt:lpwstr/>
      </vt:variant>
      <vt:variant>
        <vt:lpwstr>_Toc142469564</vt:lpwstr>
      </vt:variant>
      <vt:variant>
        <vt:i4>1572912</vt:i4>
      </vt:variant>
      <vt:variant>
        <vt:i4>98</vt:i4>
      </vt:variant>
      <vt:variant>
        <vt:i4>0</vt:i4>
      </vt:variant>
      <vt:variant>
        <vt:i4>5</vt:i4>
      </vt:variant>
      <vt:variant>
        <vt:lpwstr/>
      </vt:variant>
      <vt:variant>
        <vt:lpwstr>_Toc142469563</vt:lpwstr>
      </vt:variant>
      <vt:variant>
        <vt:i4>1572912</vt:i4>
      </vt:variant>
      <vt:variant>
        <vt:i4>92</vt:i4>
      </vt:variant>
      <vt:variant>
        <vt:i4>0</vt:i4>
      </vt:variant>
      <vt:variant>
        <vt:i4>5</vt:i4>
      </vt:variant>
      <vt:variant>
        <vt:lpwstr/>
      </vt:variant>
      <vt:variant>
        <vt:lpwstr>_Toc142469562</vt:lpwstr>
      </vt:variant>
      <vt:variant>
        <vt:i4>1572912</vt:i4>
      </vt:variant>
      <vt:variant>
        <vt:i4>86</vt:i4>
      </vt:variant>
      <vt:variant>
        <vt:i4>0</vt:i4>
      </vt:variant>
      <vt:variant>
        <vt:i4>5</vt:i4>
      </vt:variant>
      <vt:variant>
        <vt:lpwstr/>
      </vt:variant>
      <vt:variant>
        <vt:lpwstr>_Toc142469561</vt:lpwstr>
      </vt:variant>
      <vt:variant>
        <vt:i4>1572912</vt:i4>
      </vt:variant>
      <vt:variant>
        <vt:i4>80</vt:i4>
      </vt:variant>
      <vt:variant>
        <vt:i4>0</vt:i4>
      </vt:variant>
      <vt:variant>
        <vt:i4>5</vt:i4>
      </vt:variant>
      <vt:variant>
        <vt:lpwstr/>
      </vt:variant>
      <vt:variant>
        <vt:lpwstr>_Toc142469560</vt:lpwstr>
      </vt:variant>
      <vt:variant>
        <vt:i4>1769520</vt:i4>
      </vt:variant>
      <vt:variant>
        <vt:i4>74</vt:i4>
      </vt:variant>
      <vt:variant>
        <vt:i4>0</vt:i4>
      </vt:variant>
      <vt:variant>
        <vt:i4>5</vt:i4>
      </vt:variant>
      <vt:variant>
        <vt:lpwstr/>
      </vt:variant>
      <vt:variant>
        <vt:lpwstr>_Toc142469559</vt:lpwstr>
      </vt:variant>
      <vt:variant>
        <vt:i4>1769520</vt:i4>
      </vt:variant>
      <vt:variant>
        <vt:i4>68</vt:i4>
      </vt:variant>
      <vt:variant>
        <vt:i4>0</vt:i4>
      </vt:variant>
      <vt:variant>
        <vt:i4>5</vt:i4>
      </vt:variant>
      <vt:variant>
        <vt:lpwstr/>
      </vt:variant>
      <vt:variant>
        <vt:lpwstr>_Toc142469558</vt:lpwstr>
      </vt:variant>
      <vt:variant>
        <vt:i4>1769520</vt:i4>
      </vt:variant>
      <vt:variant>
        <vt:i4>62</vt:i4>
      </vt:variant>
      <vt:variant>
        <vt:i4>0</vt:i4>
      </vt:variant>
      <vt:variant>
        <vt:i4>5</vt:i4>
      </vt:variant>
      <vt:variant>
        <vt:lpwstr/>
      </vt:variant>
      <vt:variant>
        <vt:lpwstr>_Toc142469557</vt:lpwstr>
      </vt:variant>
      <vt:variant>
        <vt:i4>1769520</vt:i4>
      </vt:variant>
      <vt:variant>
        <vt:i4>56</vt:i4>
      </vt:variant>
      <vt:variant>
        <vt:i4>0</vt:i4>
      </vt:variant>
      <vt:variant>
        <vt:i4>5</vt:i4>
      </vt:variant>
      <vt:variant>
        <vt:lpwstr/>
      </vt:variant>
      <vt:variant>
        <vt:lpwstr>_Toc142469556</vt:lpwstr>
      </vt:variant>
      <vt:variant>
        <vt:i4>1769520</vt:i4>
      </vt:variant>
      <vt:variant>
        <vt:i4>50</vt:i4>
      </vt:variant>
      <vt:variant>
        <vt:i4>0</vt:i4>
      </vt:variant>
      <vt:variant>
        <vt:i4>5</vt:i4>
      </vt:variant>
      <vt:variant>
        <vt:lpwstr/>
      </vt:variant>
      <vt:variant>
        <vt:lpwstr>_Toc142469555</vt:lpwstr>
      </vt:variant>
      <vt:variant>
        <vt:i4>1769520</vt:i4>
      </vt:variant>
      <vt:variant>
        <vt:i4>44</vt:i4>
      </vt:variant>
      <vt:variant>
        <vt:i4>0</vt:i4>
      </vt:variant>
      <vt:variant>
        <vt:i4>5</vt:i4>
      </vt:variant>
      <vt:variant>
        <vt:lpwstr/>
      </vt:variant>
      <vt:variant>
        <vt:lpwstr>_Toc142469554</vt:lpwstr>
      </vt:variant>
      <vt:variant>
        <vt:i4>1769520</vt:i4>
      </vt:variant>
      <vt:variant>
        <vt:i4>38</vt:i4>
      </vt:variant>
      <vt:variant>
        <vt:i4>0</vt:i4>
      </vt:variant>
      <vt:variant>
        <vt:i4>5</vt:i4>
      </vt:variant>
      <vt:variant>
        <vt:lpwstr/>
      </vt:variant>
      <vt:variant>
        <vt:lpwstr>_Toc142469553</vt:lpwstr>
      </vt:variant>
      <vt:variant>
        <vt:i4>1769520</vt:i4>
      </vt:variant>
      <vt:variant>
        <vt:i4>32</vt:i4>
      </vt:variant>
      <vt:variant>
        <vt:i4>0</vt:i4>
      </vt:variant>
      <vt:variant>
        <vt:i4>5</vt:i4>
      </vt:variant>
      <vt:variant>
        <vt:lpwstr/>
      </vt:variant>
      <vt:variant>
        <vt:lpwstr>_Toc142469552</vt:lpwstr>
      </vt:variant>
      <vt:variant>
        <vt:i4>1769520</vt:i4>
      </vt:variant>
      <vt:variant>
        <vt:i4>26</vt:i4>
      </vt:variant>
      <vt:variant>
        <vt:i4>0</vt:i4>
      </vt:variant>
      <vt:variant>
        <vt:i4>5</vt:i4>
      </vt:variant>
      <vt:variant>
        <vt:lpwstr/>
      </vt:variant>
      <vt:variant>
        <vt:lpwstr>_Toc142469551</vt:lpwstr>
      </vt:variant>
      <vt:variant>
        <vt:i4>1769520</vt:i4>
      </vt:variant>
      <vt:variant>
        <vt:i4>20</vt:i4>
      </vt:variant>
      <vt:variant>
        <vt:i4>0</vt:i4>
      </vt:variant>
      <vt:variant>
        <vt:i4>5</vt:i4>
      </vt:variant>
      <vt:variant>
        <vt:lpwstr/>
      </vt:variant>
      <vt:variant>
        <vt:lpwstr>_Toc142469550</vt:lpwstr>
      </vt:variant>
      <vt:variant>
        <vt:i4>1703984</vt:i4>
      </vt:variant>
      <vt:variant>
        <vt:i4>14</vt:i4>
      </vt:variant>
      <vt:variant>
        <vt:i4>0</vt:i4>
      </vt:variant>
      <vt:variant>
        <vt:i4>5</vt:i4>
      </vt:variant>
      <vt:variant>
        <vt:lpwstr/>
      </vt:variant>
      <vt:variant>
        <vt:lpwstr>_Toc142469549</vt:lpwstr>
      </vt:variant>
      <vt:variant>
        <vt:i4>1703984</vt:i4>
      </vt:variant>
      <vt:variant>
        <vt:i4>8</vt:i4>
      </vt:variant>
      <vt:variant>
        <vt:i4>0</vt:i4>
      </vt:variant>
      <vt:variant>
        <vt:i4>5</vt:i4>
      </vt:variant>
      <vt:variant>
        <vt:lpwstr/>
      </vt:variant>
      <vt:variant>
        <vt:lpwstr>_Toc142469548</vt:lpwstr>
      </vt:variant>
      <vt:variant>
        <vt:i4>1703984</vt:i4>
      </vt:variant>
      <vt:variant>
        <vt:i4>2</vt:i4>
      </vt:variant>
      <vt:variant>
        <vt:i4>0</vt:i4>
      </vt:variant>
      <vt:variant>
        <vt:i4>5</vt:i4>
      </vt:variant>
      <vt:variant>
        <vt:lpwstr/>
      </vt:variant>
      <vt:variant>
        <vt:lpwstr>_Toc142469547</vt:lpwstr>
      </vt:variant>
      <vt:variant>
        <vt:i4>3932268</vt:i4>
      </vt:variant>
      <vt:variant>
        <vt:i4>0</vt:i4>
      </vt:variant>
      <vt:variant>
        <vt:i4>0</vt:i4>
      </vt:variant>
      <vt:variant>
        <vt:i4>5</vt:i4>
      </vt:variant>
      <vt:variant>
        <vt:lpwstr>https://emerging-europe.com/news/as-latvia-cancels-skulte-lng-project-the-baltic-reliance-on-gas-persists/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2023-09-25T14:51:00Z</dcterms:created>
  <dcterms:modified xsi:type="dcterms:W3CDTF">2023-09-27T12:59:00Z</dcterms:modified>
</cp:coreProperties>
</file>