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369" w:rsidRPr="001B6C34" w:rsidRDefault="00C03FDD">
      <w:pPr>
        <w:tabs>
          <w:tab w:val="right" w:pos="9360"/>
        </w:tabs>
        <w:spacing w:line="360" w:lineRule="auto"/>
        <w:rPr>
          <w:lang w:val="pl-PL"/>
        </w:rPr>
      </w:pPr>
      <w:r>
        <w:tab/>
      </w:r>
      <w:r w:rsidRPr="001B6C34">
        <w:rPr>
          <w:lang w:val="pl-PL"/>
        </w:rPr>
        <w:t>, dnia 19 czerwca 2026 r.</w:t>
      </w:r>
    </w:p>
    <w:p w:rsidR="00370369" w:rsidRPr="001B6C34" w:rsidRDefault="00370369">
      <w:pPr>
        <w:spacing w:line="360" w:lineRule="auto"/>
        <w:jc w:val="both"/>
        <w:rPr>
          <w:lang w:val="pl-PL"/>
        </w:rPr>
      </w:pPr>
    </w:p>
    <w:p w:rsidR="00370369" w:rsidRPr="001B6C34" w:rsidRDefault="00370369">
      <w:pPr>
        <w:spacing w:line="360" w:lineRule="auto"/>
        <w:jc w:val="both"/>
        <w:rPr>
          <w:lang w:val="pl-PL"/>
        </w:rPr>
      </w:pPr>
    </w:p>
    <w:p w:rsidR="00370369" w:rsidRPr="001B6C34" w:rsidRDefault="00370369">
      <w:pPr>
        <w:spacing w:line="360" w:lineRule="auto"/>
        <w:jc w:val="both"/>
        <w:rPr>
          <w:lang w:val="pl-PL"/>
        </w:rPr>
      </w:pPr>
    </w:p>
    <w:p w:rsidR="00370369" w:rsidRPr="001B6C34" w:rsidRDefault="00370369">
      <w:pPr>
        <w:spacing w:after="200" w:line="360" w:lineRule="auto"/>
        <w:jc w:val="both"/>
        <w:rPr>
          <w:lang w:val="pl-PL"/>
        </w:rPr>
      </w:pPr>
    </w:p>
    <w:p w:rsidR="00370369" w:rsidRPr="001B6C34" w:rsidRDefault="00C03FDD">
      <w:pPr>
        <w:spacing w:line="360" w:lineRule="auto"/>
        <w:ind w:left="4680"/>
        <w:rPr>
          <w:lang w:val="pl-PL"/>
        </w:rPr>
      </w:pPr>
      <w:r w:rsidRPr="001B6C34">
        <w:rPr>
          <w:b/>
          <w:bCs/>
          <w:lang w:val="pl-PL"/>
        </w:rPr>
        <w:t>Minister Spraw Wewnętrznych</w:t>
      </w:r>
    </w:p>
    <w:p w:rsidR="00370369" w:rsidRPr="001B6C34" w:rsidRDefault="00C03FDD">
      <w:pPr>
        <w:spacing w:line="360" w:lineRule="auto"/>
        <w:ind w:left="4680"/>
        <w:rPr>
          <w:lang w:val="pl-PL"/>
        </w:rPr>
      </w:pPr>
      <w:r w:rsidRPr="001B6C34">
        <w:rPr>
          <w:b/>
          <w:bCs/>
          <w:lang w:val="pl-PL"/>
        </w:rPr>
        <w:t>i Administracji</w:t>
      </w:r>
    </w:p>
    <w:p w:rsidR="00370369" w:rsidRPr="001B6C34" w:rsidRDefault="00C03FDD">
      <w:pPr>
        <w:spacing w:line="360" w:lineRule="auto"/>
        <w:ind w:left="4680"/>
        <w:rPr>
          <w:lang w:val="pl-PL"/>
        </w:rPr>
      </w:pPr>
      <w:r w:rsidRPr="001B6C34">
        <w:rPr>
          <w:lang w:val="pl-PL"/>
        </w:rPr>
        <w:t>ul. Stefana Batorego 5</w:t>
      </w:r>
    </w:p>
    <w:p w:rsidR="00370369" w:rsidRDefault="00C03FDD">
      <w:pPr>
        <w:spacing w:line="360" w:lineRule="auto"/>
        <w:ind w:left="4680"/>
      </w:pPr>
      <w:r>
        <w:t>02-591 Warszawa</w:t>
      </w:r>
    </w:p>
    <w:p w:rsidR="00370369" w:rsidRDefault="00C03FDD">
      <w:pPr>
        <w:spacing w:after="200" w:line="360" w:lineRule="auto"/>
        <w:ind w:left="4680"/>
      </w:pPr>
      <w:proofErr w:type="spellStart"/>
      <w:r>
        <w:rPr>
          <w:i/>
          <w:iCs/>
        </w:rPr>
        <w:t>doręczenie</w:t>
      </w:r>
      <w:proofErr w:type="spellEnd"/>
      <w:r>
        <w:rPr>
          <w:i/>
          <w:iCs/>
        </w:rPr>
        <w:t>: system e-</w:t>
      </w:r>
      <w:proofErr w:type="spellStart"/>
      <w:r>
        <w:rPr>
          <w:i/>
          <w:iCs/>
        </w:rPr>
        <w:t>Doręczeń</w:t>
      </w:r>
      <w:proofErr w:type="spellEnd"/>
    </w:p>
    <w:p w:rsidR="00370369" w:rsidRPr="001B6C34" w:rsidRDefault="00C03FDD">
      <w:pPr>
        <w:spacing w:after="60" w:line="360" w:lineRule="auto"/>
        <w:jc w:val="both"/>
        <w:rPr>
          <w:lang w:val="pl-PL"/>
        </w:rPr>
      </w:pPr>
      <w:r w:rsidRPr="001B6C34">
        <w:rPr>
          <w:b/>
          <w:bCs/>
          <w:lang w:val="pl-PL"/>
        </w:rPr>
        <w:t xml:space="preserve">Podstawa prawna: </w:t>
      </w:r>
      <w:r w:rsidRPr="001B6C34">
        <w:rPr>
          <w:lang w:val="pl-PL"/>
        </w:rPr>
        <w:t>art. 2 ust. 1–3 oraz art. 4 ustawy z dnia 11 lipca 2014 r. o petycjach (tekst jedn. Dz. U. z 2018 r. poz. 870).</w:t>
      </w:r>
    </w:p>
    <w:p w:rsidR="00370369" w:rsidRPr="001B6C34" w:rsidRDefault="00C03FDD">
      <w:pPr>
        <w:spacing w:after="160" w:line="360" w:lineRule="auto"/>
        <w:jc w:val="both"/>
        <w:rPr>
          <w:lang w:val="pl-PL"/>
        </w:rPr>
      </w:pPr>
      <w:r w:rsidRPr="001B6C34">
        <w:rPr>
          <w:b/>
          <w:bCs/>
          <w:lang w:val="pl-PL"/>
        </w:rPr>
        <w:t xml:space="preserve">Przedmiot: </w:t>
      </w:r>
      <w:r w:rsidRPr="001B6C34">
        <w:rPr>
          <w:lang w:val="pl-PL"/>
        </w:rPr>
        <w:t>petycja w interesie publicznym w sprawie ustanowienia jednolitych kryteriów oraz mecha</w:t>
      </w:r>
      <w:r w:rsidRPr="001B6C34">
        <w:rPr>
          <w:lang w:val="pl-PL"/>
        </w:rPr>
        <w:t>nizmu nadzoru nad stosowaniem przez organy Policji art. 15 ust. 5 ustawy o broni i amunicji wobec osób kończących służbę wskutek orzeczeń komisji lekarskich podległych MSWiA.</w:t>
      </w:r>
    </w:p>
    <w:p w:rsidR="00370369" w:rsidRPr="001B6C34" w:rsidRDefault="00C03FDD">
      <w:pPr>
        <w:spacing w:before="120" w:after="200" w:line="360" w:lineRule="auto"/>
        <w:jc w:val="center"/>
        <w:rPr>
          <w:lang w:val="pl-PL"/>
        </w:rPr>
      </w:pPr>
      <w:r w:rsidRPr="001B6C34">
        <w:rPr>
          <w:b/>
          <w:bCs/>
          <w:lang w:val="pl-PL"/>
        </w:rPr>
        <w:t>PETYCJA W INTERESIE PUBLICZNYM</w:t>
      </w:r>
    </w:p>
    <w:p w:rsidR="00370369" w:rsidRPr="001B6C34" w:rsidRDefault="00C03FDD">
      <w:pPr>
        <w:spacing w:before="240" w:after="120" w:line="360" w:lineRule="auto"/>
        <w:rPr>
          <w:lang w:val="pl-PL"/>
        </w:rPr>
      </w:pPr>
      <w:r w:rsidRPr="001B6C34">
        <w:rPr>
          <w:b/>
          <w:bCs/>
          <w:lang w:val="pl-PL"/>
        </w:rPr>
        <w:t>I. PODMIOT I ADRESAT PETYCJI</w:t>
      </w:r>
    </w:p>
    <w:p w:rsidR="00370369" w:rsidRPr="001B6C34" w:rsidRDefault="00C03FDD">
      <w:pPr>
        <w:spacing w:after="120" w:line="360" w:lineRule="auto"/>
        <w:jc w:val="both"/>
        <w:rPr>
          <w:lang w:val="pl-PL"/>
        </w:rPr>
      </w:pPr>
      <w:r w:rsidRPr="001B6C34">
        <w:rPr>
          <w:lang w:val="pl-PL"/>
        </w:rPr>
        <w:t xml:space="preserve">Petycję wnosi </w:t>
      </w:r>
      <w:r w:rsidR="001B6C34">
        <w:rPr>
          <w:lang w:val="pl-PL"/>
        </w:rPr>
        <w:tab/>
      </w:r>
      <w:r w:rsidRPr="001B6C34">
        <w:rPr>
          <w:lang w:val="pl-PL"/>
        </w:rPr>
        <w:t xml:space="preserve">, zamieszkały </w:t>
      </w:r>
      <w:r w:rsidR="001B6C34">
        <w:rPr>
          <w:lang w:val="pl-PL"/>
        </w:rPr>
        <w:tab/>
      </w:r>
      <w:r w:rsidR="001B6C34">
        <w:rPr>
          <w:lang w:val="pl-PL"/>
        </w:rPr>
        <w:tab/>
      </w:r>
      <w:r w:rsidRPr="001B6C34">
        <w:rPr>
          <w:lang w:val="pl-PL"/>
        </w:rPr>
        <w:t>, adres do doręczeń elektronicznych:</w:t>
      </w:r>
      <w:r w:rsidR="001B6C34">
        <w:rPr>
          <w:lang w:val="pl-PL"/>
        </w:rPr>
        <w:tab/>
      </w:r>
      <w:r w:rsidR="001B6C34">
        <w:rPr>
          <w:lang w:val="pl-PL"/>
        </w:rPr>
        <w:tab/>
      </w:r>
      <w:r w:rsidR="001B6C34">
        <w:rPr>
          <w:lang w:val="pl-PL"/>
        </w:rPr>
        <w:tab/>
      </w:r>
      <w:r w:rsidRPr="001B6C34">
        <w:rPr>
          <w:lang w:val="pl-PL"/>
        </w:rPr>
        <w:t>. Petycja składana jest w interesie publicznym (art. 2 ust. 3 ustawy o petycjach).</w:t>
      </w:r>
    </w:p>
    <w:p w:rsidR="00370369" w:rsidRPr="001B6C34" w:rsidRDefault="00C03FDD">
      <w:pPr>
        <w:spacing w:after="120" w:line="360" w:lineRule="auto"/>
        <w:jc w:val="both"/>
        <w:rPr>
          <w:lang w:val="pl-PL"/>
        </w:rPr>
      </w:pPr>
      <w:r w:rsidRPr="001B6C34">
        <w:rPr>
          <w:lang w:val="pl-PL"/>
        </w:rPr>
        <w:t xml:space="preserve">Adresatem petycji jest Minister Spraw Wewnętrznych i Administracji jako organ </w:t>
      </w:r>
      <w:r w:rsidRPr="001B6C34">
        <w:rPr>
          <w:lang w:val="pl-PL"/>
        </w:rPr>
        <w:t>sprawujący nadzór nad Policją (art. 5 ust. 2 ustawy z dnia 6 kwietnia 1990 r. o Policji) oraz organ właściwy w sprawach komisji lekarskich podległych ministrowi właściwemu do spraw wewnętrznych (ustawa z dnia 28 listopada 2014 r. o komisjach lekarskich pod</w:t>
      </w:r>
      <w:r w:rsidRPr="001B6C34">
        <w:rPr>
          <w:lang w:val="pl-PL"/>
        </w:rPr>
        <w:t>ległych ministrowi właściwemu do spraw wewnętrznych).</w:t>
      </w:r>
    </w:p>
    <w:p w:rsidR="00370369" w:rsidRPr="001B6C34" w:rsidRDefault="00C03FDD">
      <w:pPr>
        <w:spacing w:before="240" w:after="120" w:line="360" w:lineRule="auto"/>
        <w:rPr>
          <w:lang w:val="pl-PL"/>
        </w:rPr>
      </w:pPr>
      <w:r w:rsidRPr="001B6C34">
        <w:rPr>
          <w:b/>
          <w:bCs/>
          <w:lang w:val="pl-PL"/>
        </w:rPr>
        <w:t>II. STAN FAKTYCZNY STANOWIĄCY PODSTAWĘ PETYCJI</w:t>
      </w:r>
    </w:p>
    <w:p w:rsidR="00370369" w:rsidRPr="001B6C34" w:rsidRDefault="00C03FDD">
      <w:pPr>
        <w:spacing w:after="120" w:line="360" w:lineRule="auto"/>
        <w:jc w:val="both"/>
        <w:rPr>
          <w:lang w:val="pl-PL"/>
        </w:rPr>
      </w:pPr>
      <w:r w:rsidRPr="001B6C34">
        <w:rPr>
          <w:lang w:val="pl-PL"/>
        </w:rPr>
        <w:t>Wnoszący ujawnił okoliczności wskazujące, że organy Policji wykonują czynności z art. 15 ust. 5 ustawy z dnia 21 maja 1999 r. o broni i amunicji (tekst jed</w:t>
      </w:r>
      <w:r w:rsidRPr="001B6C34">
        <w:rPr>
          <w:lang w:val="pl-PL"/>
        </w:rPr>
        <w:t>n. Dz. U. z 2024 r. poz. 485) – tj. zobowiązywanie posiadaczy broni do poddania się badaniom lekarskim i psychologicznym – bez jednolitych, weryfikowalnych kryteriów doboru osób obejmowanych tą czynnością.</w:t>
      </w:r>
    </w:p>
    <w:p w:rsidR="00370369" w:rsidRPr="001B6C34" w:rsidRDefault="00C03FDD">
      <w:pPr>
        <w:spacing w:after="120" w:line="360" w:lineRule="auto"/>
        <w:jc w:val="both"/>
        <w:rPr>
          <w:lang w:val="pl-PL"/>
        </w:rPr>
      </w:pPr>
      <w:r w:rsidRPr="001B6C34">
        <w:rPr>
          <w:lang w:val="pl-PL"/>
        </w:rPr>
        <w:t>Okoliczności te wynikają z następujących, niezależnych od siebie źródeł:</w:t>
      </w:r>
    </w:p>
    <w:p w:rsidR="00370369" w:rsidRPr="001B6C34" w:rsidRDefault="00C03FDD">
      <w:pPr>
        <w:pStyle w:val="Akapitzlist"/>
        <w:numPr>
          <w:ilvl w:val="0"/>
          <w:numId w:val="2"/>
        </w:numPr>
        <w:spacing w:after="120" w:line="360" w:lineRule="auto"/>
        <w:jc w:val="both"/>
        <w:rPr>
          <w:lang w:val="pl-PL"/>
        </w:rPr>
      </w:pPr>
      <w:r w:rsidRPr="001B6C34">
        <w:rPr>
          <w:b/>
          <w:bCs/>
          <w:lang w:val="pl-PL"/>
        </w:rPr>
        <w:t xml:space="preserve">ustaleń kontroli Najwyższej Izby Kontroli (P/25/089) </w:t>
      </w:r>
      <w:r w:rsidRPr="001B6C34">
        <w:rPr>
          <w:lang w:val="pl-PL"/>
        </w:rPr>
        <w:t>wskazujących na brak systemowego mechanizmu w obszarze weryfikacji posiadaczy broni po orzeczeniach komisji lekarskich;</w:t>
      </w:r>
    </w:p>
    <w:p w:rsidR="00370369" w:rsidRPr="001B6C34" w:rsidRDefault="00C03FDD">
      <w:pPr>
        <w:pStyle w:val="Akapitzlist"/>
        <w:numPr>
          <w:ilvl w:val="0"/>
          <w:numId w:val="2"/>
        </w:numPr>
        <w:spacing w:after="120" w:line="360" w:lineRule="auto"/>
        <w:jc w:val="both"/>
        <w:rPr>
          <w:lang w:val="pl-PL"/>
        </w:rPr>
      </w:pPr>
      <w:r w:rsidRPr="001B6C34">
        <w:rPr>
          <w:lang w:val="pl-PL"/>
        </w:rPr>
        <w:t xml:space="preserve">pisemnych </w:t>
      </w:r>
      <w:r w:rsidRPr="001B6C34">
        <w:rPr>
          <w:lang w:val="pl-PL"/>
        </w:rPr>
        <w:t xml:space="preserve">oświadczeń Komendy Wojewódzkiej Policji w Poznaniu z dnia 5 czerwca 2026 r. (znak </w:t>
      </w:r>
      <w:r w:rsidR="001B6C34">
        <w:rPr>
          <w:lang w:val="pl-PL"/>
        </w:rPr>
        <w:tab/>
      </w:r>
      <w:r w:rsidR="001B6C34">
        <w:rPr>
          <w:lang w:val="pl-PL"/>
        </w:rPr>
        <w:tab/>
      </w:r>
      <w:r w:rsidR="001B6C34">
        <w:rPr>
          <w:lang w:val="pl-PL"/>
        </w:rPr>
        <w:tab/>
      </w:r>
      <w:r w:rsidRPr="001B6C34">
        <w:rPr>
          <w:lang w:val="pl-PL"/>
        </w:rPr>
        <w:t xml:space="preserve">), w których organ przyznał, że </w:t>
      </w:r>
      <w:r w:rsidRPr="001B6C34">
        <w:rPr>
          <w:b/>
          <w:bCs/>
          <w:lang w:val="pl-PL"/>
        </w:rPr>
        <w:t>nie prowadzi ewidencji, danych statystycznych ani wewnętrznej procedury</w:t>
      </w:r>
      <w:r w:rsidRPr="001B6C34">
        <w:rPr>
          <w:lang w:val="pl-PL"/>
        </w:rPr>
        <w:t xml:space="preserve"> dotyczących weryfikacji posiadaczy broni po orzeczeni</w:t>
      </w:r>
      <w:r w:rsidRPr="001B6C34">
        <w:rPr>
          <w:lang w:val="pl-PL"/>
        </w:rPr>
        <w:t>u komisji lekarskiej MSWiA, a do Wydziału Kadr i Szkolenia nie występuje cyklicznie;</w:t>
      </w:r>
    </w:p>
    <w:p w:rsidR="00370369" w:rsidRPr="001B6C34" w:rsidRDefault="00C03FDD">
      <w:pPr>
        <w:pStyle w:val="Akapitzlist"/>
        <w:numPr>
          <w:ilvl w:val="0"/>
          <w:numId w:val="2"/>
        </w:numPr>
        <w:spacing w:after="120" w:line="360" w:lineRule="auto"/>
        <w:jc w:val="both"/>
        <w:rPr>
          <w:lang w:val="pl-PL"/>
        </w:rPr>
      </w:pPr>
      <w:r w:rsidRPr="001B6C34">
        <w:rPr>
          <w:lang w:val="pl-PL"/>
        </w:rPr>
        <w:lastRenderedPageBreak/>
        <w:t xml:space="preserve">pisemnego oświadczenia Wydziału Postępowań Administracyjnych KWP w Poznaniu z dnia 3 czerwca 2026 r., zgodnie z którym czynności w sprawie indywidualnej podjęto </w:t>
      </w:r>
      <w:r w:rsidRPr="001B6C34">
        <w:rPr>
          <w:b/>
          <w:bCs/>
          <w:lang w:val="pl-PL"/>
        </w:rPr>
        <w:t>„doraźnie”</w:t>
      </w:r>
      <w:r w:rsidRPr="001B6C34">
        <w:rPr>
          <w:lang w:val="pl-PL"/>
        </w:rPr>
        <w:t>.</w:t>
      </w:r>
    </w:p>
    <w:p w:rsidR="00370369" w:rsidRPr="001B6C34" w:rsidRDefault="00C03FDD">
      <w:pPr>
        <w:spacing w:after="120" w:line="360" w:lineRule="auto"/>
        <w:jc w:val="both"/>
        <w:rPr>
          <w:lang w:val="pl-PL"/>
        </w:rPr>
      </w:pPr>
      <w:r w:rsidRPr="001B6C34">
        <w:rPr>
          <w:lang w:val="pl-PL"/>
        </w:rPr>
        <w:t>Z zestawienia tych źródeł wynika wniosek o charakterze systemowym: skoro nie istnieją ewidencja, statystyka, procedura ani cykliczny mechanizm pozyskiwania informacji, to objęcie konkretnej osoby czynnością z art. 15 ust. 5 nie jest rezultatem jednolitej</w:t>
      </w:r>
      <w:r w:rsidRPr="001B6C34">
        <w:rPr>
          <w:lang w:val="pl-PL"/>
        </w:rPr>
        <w:t xml:space="preserve"> praktyki, lecz każdorazowo wynikiem inicjatywy podejmowanej bez ustalonych kryteriów doboru.</w:t>
      </w:r>
    </w:p>
    <w:p w:rsidR="00370369" w:rsidRPr="001B6C34" w:rsidRDefault="00C03FDD">
      <w:pPr>
        <w:spacing w:before="240" w:after="120" w:line="360" w:lineRule="auto"/>
        <w:rPr>
          <w:lang w:val="pl-PL"/>
        </w:rPr>
      </w:pPr>
      <w:r w:rsidRPr="001B6C34">
        <w:rPr>
          <w:b/>
          <w:bCs/>
          <w:lang w:val="pl-PL"/>
        </w:rPr>
        <w:t>III. PROBLEM W INTERESIE PUBLICZNYM</w:t>
      </w:r>
    </w:p>
    <w:p w:rsidR="00370369" w:rsidRPr="001B6C34" w:rsidRDefault="00C03FDD">
      <w:pPr>
        <w:spacing w:after="120" w:line="360" w:lineRule="auto"/>
        <w:jc w:val="both"/>
        <w:rPr>
          <w:lang w:val="pl-PL"/>
        </w:rPr>
      </w:pPr>
      <w:r w:rsidRPr="001B6C34">
        <w:rPr>
          <w:lang w:val="pl-PL"/>
        </w:rPr>
        <w:t>Wykonywanie kompetencji o charakterze uznaniowym bez jednolitych kryteriów i bez możliwości wykazania jednolitości praktyki ro</w:t>
      </w:r>
      <w:r w:rsidRPr="001B6C34">
        <w:rPr>
          <w:lang w:val="pl-PL"/>
        </w:rPr>
        <w:t>dzi ryzyko naruszenia:</w:t>
      </w:r>
    </w:p>
    <w:p w:rsidR="00370369" w:rsidRPr="001B6C34" w:rsidRDefault="00C03FDD">
      <w:pPr>
        <w:pStyle w:val="Akapitzlist"/>
        <w:numPr>
          <w:ilvl w:val="0"/>
          <w:numId w:val="3"/>
        </w:numPr>
        <w:spacing w:after="120" w:line="360" w:lineRule="auto"/>
        <w:jc w:val="both"/>
        <w:rPr>
          <w:lang w:val="pl-PL"/>
        </w:rPr>
      </w:pPr>
      <w:r w:rsidRPr="001B6C34">
        <w:rPr>
          <w:b/>
          <w:bCs/>
          <w:lang w:val="pl-PL"/>
        </w:rPr>
        <w:t xml:space="preserve">zasady równości wobec prawa (art. 32 Konstytucji RP) </w:t>
      </w:r>
      <w:r w:rsidRPr="001B6C34">
        <w:rPr>
          <w:lang w:val="pl-PL"/>
        </w:rPr>
        <w:t xml:space="preserve">– osoby znajdujące się w takim samym stanie faktycznym i prawnym (kończące służbę wskutek orzeczenia komisji lekarskiej MSWiA i posiadające broń) mogą być traktowane odmiennie bez </w:t>
      </w:r>
      <w:r w:rsidRPr="001B6C34">
        <w:rPr>
          <w:lang w:val="pl-PL"/>
        </w:rPr>
        <w:t>obiektywnego kryterium różnicującego;</w:t>
      </w:r>
    </w:p>
    <w:p w:rsidR="00370369" w:rsidRPr="001B6C34" w:rsidRDefault="00C03FDD">
      <w:pPr>
        <w:pStyle w:val="Akapitzlist"/>
        <w:numPr>
          <w:ilvl w:val="0"/>
          <w:numId w:val="3"/>
        </w:numPr>
        <w:spacing w:after="120" w:line="360" w:lineRule="auto"/>
        <w:jc w:val="both"/>
        <w:rPr>
          <w:lang w:val="pl-PL"/>
        </w:rPr>
      </w:pPr>
      <w:r w:rsidRPr="001B6C34">
        <w:rPr>
          <w:b/>
          <w:bCs/>
          <w:lang w:val="pl-PL"/>
        </w:rPr>
        <w:t xml:space="preserve">zasad ogólnych postępowania administracyjnego (art. 8 § 1 i § 2 k.p.a.) </w:t>
      </w:r>
      <w:r w:rsidRPr="001B6C34">
        <w:rPr>
          <w:lang w:val="pl-PL"/>
        </w:rPr>
        <w:t>– w zakresie bezstronności, równego traktowania oraz zakazu odstępowania bez uzasadnionej przyczyny od utrwalonej praktyki rozstrzygania spraw w t</w:t>
      </w:r>
      <w:r w:rsidRPr="001B6C34">
        <w:rPr>
          <w:lang w:val="pl-PL"/>
        </w:rPr>
        <w:t>akim samym stanie faktycznym i prawnym;</w:t>
      </w:r>
    </w:p>
    <w:p w:rsidR="00370369" w:rsidRPr="001B6C34" w:rsidRDefault="00C03FDD">
      <w:pPr>
        <w:pStyle w:val="Akapitzlist"/>
        <w:numPr>
          <w:ilvl w:val="0"/>
          <w:numId w:val="3"/>
        </w:numPr>
        <w:spacing w:after="120" w:line="360" w:lineRule="auto"/>
        <w:jc w:val="both"/>
        <w:rPr>
          <w:lang w:val="pl-PL"/>
        </w:rPr>
      </w:pPr>
      <w:r w:rsidRPr="001B6C34">
        <w:rPr>
          <w:b/>
          <w:bCs/>
          <w:lang w:val="pl-PL"/>
        </w:rPr>
        <w:t xml:space="preserve">zasady proporcjonalności i równego rozłożenia ciężarów </w:t>
      </w:r>
      <w:r w:rsidRPr="001B6C34">
        <w:rPr>
          <w:lang w:val="pl-PL"/>
        </w:rPr>
        <w:t>– koszty badań lekarskich i psychologicznych, zgodnie z art. 15 ust. 8 ustawy o broni i amunicji, ponosi osoba badana, co przy braku kryteriów prowadzi do nierów</w:t>
      </w:r>
      <w:r w:rsidRPr="001B6C34">
        <w:rPr>
          <w:lang w:val="pl-PL"/>
        </w:rPr>
        <w:t>nego obciążenia majątkowego osób w tożsamej sytuacji;</w:t>
      </w:r>
    </w:p>
    <w:p w:rsidR="00370369" w:rsidRPr="001B6C34" w:rsidRDefault="00C03FDD">
      <w:pPr>
        <w:pStyle w:val="Akapitzlist"/>
        <w:numPr>
          <w:ilvl w:val="0"/>
          <w:numId w:val="3"/>
        </w:numPr>
        <w:spacing w:after="120" w:line="360" w:lineRule="auto"/>
        <w:jc w:val="both"/>
        <w:rPr>
          <w:lang w:val="pl-PL"/>
        </w:rPr>
      </w:pPr>
      <w:r w:rsidRPr="001B6C34">
        <w:rPr>
          <w:b/>
          <w:bCs/>
          <w:lang w:val="pl-PL"/>
        </w:rPr>
        <w:t xml:space="preserve">zasad ochrony danych o stanie zdrowia </w:t>
      </w:r>
      <w:r w:rsidRPr="001B6C34">
        <w:rPr>
          <w:lang w:val="pl-PL"/>
        </w:rPr>
        <w:t>– przepływ danych pochodzących z orzeczeń komisji lekarskich MSWiA pomiędzy komórkami organizacyjnymi Policji wymaga jednoznacznej podstawy i celu przetwarzania.</w:t>
      </w:r>
    </w:p>
    <w:p w:rsidR="00370369" w:rsidRPr="001B6C34" w:rsidRDefault="00C03FDD">
      <w:pPr>
        <w:spacing w:after="120" w:line="360" w:lineRule="auto"/>
        <w:jc w:val="both"/>
        <w:rPr>
          <w:lang w:val="pl-PL"/>
        </w:rPr>
      </w:pPr>
      <w:r w:rsidRPr="001B6C34">
        <w:rPr>
          <w:lang w:val="pl-PL"/>
        </w:rPr>
        <w:t>Pr</w:t>
      </w:r>
      <w:r w:rsidRPr="001B6C34">
        <w:rPr>
          <w:lang w:val="pl-PL"/>
        </w:rPr>
        <w:t>oblem dotyczy nieokreślonego kręgu osób – funkcjonariuszy kończących corocznie służbę wskutek orzeczeń komisji lekarskich MSWiA i posiadających pozwolenia na broń lub dopuszczenia – a zatem ma wymiar publiczny, wykraczający poza sprawę indywidualną.</w:t>
      </w:r>
    </w:p>
    <w:p w:rsidR="00370369" w:rsidRPr="001B6C34" w:rsidRDefault="00C03FDD">
      <w:pPr>
        <w:spacing w:before="240" w:after="120" w:line="360" w:lineRule="auto"/>
        <w:rPr>
          <w:lang w:val="pl-PL"/>
        </w:rPr>
      </w:pPr>
      <w:r w:rsidRPr="001B6C34">
        <w:rPr>
          <w:b/>
          <w:bCs/>
          <w:lang w:val="pl-PL"/>
        </w:rPr>
        <w:t>IV. ŻĄ</w:t>
      </w:r>
      <w:r w:rsidRPr="001B6C34">
        <w:rPr>
          <w:b/>
          <w:bCs/>
          <w:lang w:val="pl-PL"/>
        </w:rPr>
        <w:t>DANIA PETYCJI</w:t>
      </w:r>
    </w:p>
    <w:p w:rsidR="00370369" w:rsidRPr="001B6C34" w:rsidRDefault="00C03FDD">
      <w:pPr>
        <w:spacing w:after="120" w:line="360" w:lineRule="auto"/>
        <w:jc w:val="both"/>
        <w:rPr>
          <w:lang w:val="pl-PL"/>
        </w:rPr>
      </w:pPr>
      <w:r w:rsidRPr="001B6C34">
        <w:rPr>
          <w:lang w:val="pl-PL"/>
        </w:rPr>
        <w:t>Wnoszę o podjęcie przez Ministra Spraw Wewnętrznych i Administracji, w ramach nadzoru nad Policją, działań zmierzających do:</w:t>
      </w:r>
    </w:p>
    <w:p w:rsidR="00370369" w:rsidRPr="001B6C34" w:rsidRDefault="00C03FDD">
      <w:pPr>
        <w:pStyle w:val="Akapitzlist"/>
        <w:numPr>
          <w:ilvl w:val="0"/>
          <w:numId w:val="4"/>
        </w:numPr>
        <w:spacing w:after="120" w:line="360" w:lineRule="auto"/>
        <w:jc w:val="both"/>
        <w:rPr>
          <w:lang w:val="pl-PL"/>
        </w:rPr>
      </w:pPr>
      <w:r w:rsidRPr="001B6C34">
        <w:rPr>
          <w:lang w:val="pl-PL"/>
        </w:rPr>
        <w:t>ustanowienia jednolitych, weryfikowalnych kryteriów stosowania art. 15 ust. 5 ustawy o broni i amunicji wobec osób ko</w:t>
      </w:r>
      <w:r w:rsidRPr="001B6C34">
        <w:rPr>
          <w:lang w:val="pl-PL"/>
        </w:rPr>
        <w:t>ńczących służbę wskutek orzeczeń rejonowych komisji lekarskich MSWiA, w tym dokumentowania okoliczności „dostatecznie uzasadniających podejrzenie” w rozumieniu tego przepisu;</w:t>
      </w:r>
    </w:p>
    <w:p w:rsidR="00370369" w:rsidRPr="001B6C34" w:rsidRDefault="00C03FDD">
      <w:pPr>
        <w:pStyle w:val="Akapitzlist"/>
        <w:numPr>
          <w:ilvl w:val="0"/>
          <w:numId w:val="4"/>
        </w:numPr>
        <w:spacing w:after="120" w:line="360" w:lineRule="auto"/>
        <w:jc w:val="both"/>
        <w:rPr>
          <w:lang w:val="pl-PL"/>
        </w:rPr>
      </w:pPr>
      <w:r w:rsidRPr="001B6C34">
        <w:rPr>
          <w:lang w:val="pl-PL"/>
        </w:rPr>
        <w:t xml:space="preserve">wprowadzenia mechanizmu ewidencjonowania i monitorowania czynności podejmowanych </w:t>
      </w:r>
      <w:r w:rsidRPr="001B6C34">
        <w:rPr>
          <w:lang w:val="pl-PL"/>
        </w:rPr>
        <w:t>w trybie art. 15 ust. 5, umożliwiającego kontrolę jednolitości praktyki oraz zapewnienie równego traktowania;</w:t>
      </w:r>
    </w:p>
    <w:p w:rsidR="00370369" w:rsidRPr="001B6C34" w:rsidRDefault="00C03FDD">
      <w:pPr>
        <w:pStyle w:val="Akapitzlist"/>
        <w:numPr>
          <w:ilvl w:val="0"/>
          <w:numId w:val="4"/>
        </w:numPr>
        <w:spacing w:after="120" w:line="360" w:lineRule="auto"/>
        <w:jc w:val="both"/>
        <w:rPr>
          <w:lang w:val="pl-PL"/>
        </w:rPr>
      </w:pPr>
      <w:r w:rsidRPr="001B6C34">
        <w:rPr>
          <w:lang w:val="pl-PL"/>
        </w:rPr>
        <w:t>określenia podstawy prawnej, celu i zakresu przekazywania danych o stanie zdrowia pochodzących z orzeczeń komisji lekarskich MSWiA pomiędzy komórk</w:t>
      </w:r>
      <w:r w:rsidRPr="001B6C34">
        <w:rPr>
          <w:lang w:val="pl-PL"/>
        </w:rPr>
        <w:t>ami organizacyjnymi Policji, z poszanowaniem zasad legalności, ograniczenia celem i minimalizacji danych;</w:t>
      </w:r>
    </w:p>
    <w:p w:rsidR="00370369" w:rsidRPr="001B6C34" w:rsidRDefault="00C03FDD">
      <w:pPr>
        <w:pStyle w:val="Akapitzlist"/>
        <w:numPr>
          <w:ilvl w:val="0"/>
          <w:numId w:val="4"/>
        </w:numPr>
        <w:spacing w:after="120" w:line="360" w:lineRule="auto"/>
        <w:jc w:val="both"/>
        <w:rPr>
          <w:lang w:val="pl-PL"/>
        </w:rPr>
      </w:pPr>
      <w:r w:rsidRPr="001B6C34">
        <w:rPr>
          <w:lang w:val="pl-PL"/>
        </w:rPr>
        <w:lastRenderedPageBreak/>
        <w:t>rozważenia wydania wytycznych lub podjęcia inicjatywy legislacyjnej eliminujących dowolność przy wykonywaniu kompetencji z art. 15 ust. 5 ustawy o bro</w:t>
      </w:r>
      <w:r w:rsidRPr="001B6C34">
        <w:rPr>
          <w:lang w:val="pl-PL"/>
        </w:rPr>
        <w:t>ni i amunicji.</w:t>
      </w:r>
    </w:p>
    <w:p w:rsidR="00370369" w:rsidRPr="001B6C34" w:rsidRDefault="00C03FDD">
      <w:pPr>
        <w:spacing w:before="240" w:after="120" w:line="360" w:lineRule="auto"/>
        <w:rPr>
          <w:lang w:val="pl-PL"/>
        </w:rPr>
      </w:pPr>
      <w:r w:rsidRPr="001B6C34">
        <w:rPr>
          <w:b/>
          <w:bCs/>
          <w:lang w:val="pl-PL"/>
        </w:rPr>
        <w:t>V. UZASADNIENIE INTERESU PUBLICZNEGO</w:t>
      </w:r>
    </w:p>
    <w:p w:rsidR="00370369" w:rsidRPr="001B6C34" w:rsidRDefault="00C03FDD">
      <w:pPr>
        <w:spacing w:after="120" w:line="360" w:lineRule="auto"/>
        <w:jc w:val="both"/>
        <w:rPr>
          <w:lang w:val="pl-PL"/>
        </w:rPr>
      </w:pPr>
      <w:r w:rsidRPr="001B6C34">
        <w:rPr>
          <w:lang w:val="pl-PL"/>
        </w:rPr>
        <w:t>Ujednolicenie kryteriów oraz wprowadzenie mechanizmu kontroli służy ochronie zaufania obywateli do organów państwa, zapewnieniu równego traktowania osób w tożsamej sytuacji prawnej oraz prawidłowemu i cel</w:t>
      </w:r>
      <w:r w:rsidRPr="001B6C34">
        <w:rPr>
          <w:lang w:val="pl-PL"/>
        </w:rPr>
        <w:t>owemu przetwarzaniu danych szczególnej kategorii. Ustalenia NIK (P/25/089) oraz pisemne przyznania organu Policji potwierdzają, że problem ma charakter rzeczywisty i systemowy, a jego rozwiązanie leży w interesie publicznym.</w:t>
      </w:r>
    </w:p>
    <w:p w:rsidR="00370369" w:rsidRPr="001B6C34" w:rsidRDefault="00C03FDD">
      <w:pPr>
        <w:spacing w:before="240" w:after="120" w:line="360" w:lineRule="auto"/>
        <w:rPr>
          <w:lang w:val="pl-PL"/>
        </w:rPr>
      </w:pPr>
      <w:r w:rsidRPr="001B6C34">
        <w:rPr>
          <w:b/>
          <w:bCs/>
          <w:lang w:val="pl-PL"/>
        </w:rPr>
        <w:t>VI. ZASTRZEŻENIA</w:t>
      </w:r>
    </w:p>
    <w:p w:rsidR="00370369" w:rsidRPr="001B6C34" w:rsidRDefault="00C03FDD">
      <w:pPr>
        <w:spacing w:after="120" w:line="360" w:lineRule="auto"/>
        <w:jc w:val="both"/>
        <w:rPr>
          <w:lang w:val="pl-PL"/>
        </w:rPr>
      </w:pPr>
      <w:r w:rsidRPr="001B6C34">
        <w:rPr>
          <w:lang w:val="pl-PL"/>
        </w:rPr>
        <w:t>Niniejsza pety</w:t>
      </w:r>
      <w:r w:rsidRPr="001B6C34">
        <w:rPr>
          <w:lang w:val="pl-PL"/>
        </w:rPr>
        <w:t xml:space="preserve">cja dotyczy wyłącznie wymiaru systemowego i nadzorczego. Indywidualne postępowanie skargowe wnoszącego (sygn. </w:t>
      </w:r>
      <w:r w:rsidR="001B6C34">
        <w:rPr>
          <w:lang w:val="pl-PL"/>
        </w:rPr>
        <w:tab/>
      </w:r>
      <w:r w:rsidR="001B6C34">
        <w:rPr>
          <w:lang w:val="pl-PL"/>
        </w:rPr>
        <w:tab/>
      </w:r>
      <w:r w:rsidR="001B6C34">
        <w:rPr>
          <w:lang w:val="pl-PL"/>
        </w:rPr>
        <w:tab/>
      </w:r>
      <w:r w:rsidRPr="001B6C34">
        <w:rPr>
          <w:lang w:val="pl-PL"/>
        </w:rPr>
        <w:t>) toczy się odrębnie i nie jest przedmiotem petycji. Petycja nie zmierza do rozstrzygnięcia sprawy indywidualnej, lecz do usu</w:t>
      </w:r>
      <w:r w:rsidRPr="001B6C34">
        <w:rPr>
          <w:lang w:val="pl-PL"/>
        </w:rPr>
        <w:t>nięcia nieprawidłowości o charakterze ogólnym.</w:t>
      </w:r>
    </w:p>
    <w:p w:rsidR="00370369" w:rsidRPr="001B6C34" w:rsidRDefault="00C03FDD">
      <w:pPr>
        <w:spacing w:after="120" w:line="360" w:lineRule="auto"/>
        <w:jc w:val="both"/>
        <w:rPr>
          <w:lang w:val="pl-PL"/>
        </w:rPr>
      </w:pPr>
      <w:r w:rsidRPr="001B6C34">
        <w:rPr>
          <w:b/>
          <w:bCs/>
          <w:lang w:val="pl-PL"/>
        </w:rPr>
        <w:t xml:space="preserve">Zgoda na ujawnienie danych osobowych: </w:t>
      </w:r>
      <w:r w:rsidRPr="001B6C34">
        <w:rPr>
          <w:lang w:val="pl-PL"/>
        </w:rPr>
        <w:t>nie wyrażam zgody na ujawnienie na stronie internetowej adresata danych osobowych podmiotu wnoszącego petycję (art. 4 ust. 3 ustawy o petycjach).</w:t>
      </w:r>
    </w:p>
    <w:p w:rsidR="00370369" w:rsidRPr="001B6C34" w:rsidRDefault="00C03FDD">
      <w:pPr>
        <w:spacing w:after="120" w:line="360" w:lineRule="auto"/>
        <w:jc w:val="both"/>
        <w:rPr>
          <w:lang w:val="pl-PL"/>
        </w:rPr>
      </w:pPr>
      <w:r w:rsidRPr="001B6C34">
        <w:rPr>
          <w:lang w:val="pl-PL"/>
        </w:rPr>
        <w:t xml:space="preserve">Wnoszę o rozpatrzenie petycji bez zbędnej zwłoki, nie później niż w terminie 3 miesięcy od dnia jej złożenia (art. 10 ust. 1 ustawy o petycjach), oraz o zawiadomienie o sposobie jej załatwienia za pośrednictwem systemu e-Doręczeń, z uzasadnieniem (art. 13 </w:t>
      </w:r>
      <w:r w:rsidRPr="001B6C34">
        <w:rPr>
          <w:lang w:val="pl-PL"/>
        </w:rPr>
        <w:t>ust. 1 ustawy o petycjach). W razie uznania się za niewłaściwego w jakimkolwiek zakresie – wnoszę o przekazanie petycji według właściwości (art. 6 ust. 1 ustawy o petycjach).</w:t>
      </w:r>
    </w:p>
    <w:p w:rsidR="00370369" w:rsidRPr="001B6C34" w:rsidRDefault="00370369">
      <w:pPr>
        <w:spacing w:line="360" w:lineRule="auto"/>
        <w:rPr>
          <w:lang w:val="pl-PL"/>
        </w:rPr>
      </w:pPr>
    </w:p>
    <w:p w:rsidR="00370369" w:rsidRPr="001B6C34" w:rsidRDefault="00C03FDD">
      <w:pPr>
        <w:spacing w:before="240" w:line="360" w:lineRule="auto"/>
        <w:jc w:val="center"/>
        <w:rPr>
          <w:lang w:val="pl-PL"/>
        </w:rPr>
      </w:pPr>
      <w:r w:rsidRPr="001B6C34">
        <w:rPr>
          <w:lang w:val="pl-PL"/>
        </w:rPr>
        <w:t>Z poważaniem</w:t>
      </w:r>
    </w:p>
    <w:p w:rsidR="00370369" w:rsidRPr="001B6C34" w:rsidRDefault="00370369">
      <w:pPr>
        <w:spacing w:before="240" w:line="360" w:lineRule="auto"/>
        <w:jc w:val="center"/>
        <w:rPr>
          <w:lang w:val="pl-PL"/>
        </w:rPr>
      </w:pPr>
    </w:p>
    <w:p w:rsidR="00370369" w:rsidRPr="001B6C34" w:rsidRDefault="00C03FDD">
      <w:pPr>
        <w:spacing w:after="240" w:line="360" w:lineRule="auto"/>
        <w:jc w:val="center"/>
        <w:rPr>
          <w:lang w:val="pl-PL"/>
        </w:rPr>
      </w:pPr>
      <w:r w:rsidRPr="001B6C34">
        <w:rPr>
          <w:i/>
          <w:iCs/>
          <w:lang w:val="pl-PL"/>
        </w:rPr>
        <w:t>/ dokument podpisany elektronicznie – podpis zaufany /</w:t>
      </w:r>
    </w:p>
    <w:p w:rsidR="00370369" w:rsidRDefault="00C03FDD">
      <w:pPr>
        <w:spacing w:line="360" w:lineRule="auto"/>
        <w:jc w:val="both"/>
      </w:pPr>
      <w:proofErr w:type="spellStart"/>
      <w:r>
        <w:rPr>
          <w:b/>
          <w:bCs/>
        </w:rPr>
        <w:t>Załączniki</w:t>
      </w:r>
      <w:proofErr w:type="spellEnd"/>
      <w:r>
        <w:rPr>
          <w:b/>
          <w:bCs/>
        </w:rPr>
        <w:t>:</w:t>
      </w:r>
    </w:p>
    <w:p w:rsidR="00370369" w:rsidRPr="001B6C34" w:rsidRDefault="00C03FDD">
      <w:pPr>
        <w:pStyle w:val="Akapitzlist"/>
        <w:numPr>
          <w:ilvl w:val="0"/>
          <w:numId w:val="5"/>
        </w:numPr>
        <w:spacing w:after="120" w:line="360" w:lineRule="auto"/>
        <w:jc w:val="both"/>
        <w:rPr>
          <w:lang w:val="pl-PL"/>
        </w:rPr>
      </w:pPr>
      <w:r w:rsidRPr="001B6C34">
        <w:rPr>
          <w:lang w:val="pl-PL"/>
        </w:rPr>
        <w:t>kopia pisma KWP w Poznaniu z dnia 5 czerwca 2026 r. (</w:t>
      </w:r>
      <w:r w:rsidR="001B6C34">
        <w:rPr>
          <w:lang w:val="pl-PL"/>
        </w:rPr>
        <w:tab/>
      </w:r>
      <w:r w:rsidR="001B6C34">
        <w:rPr>
          <w:lang w:val="pl-PL"/>
        </w:rPr>
        <w:tab/>
      </w:r>
      <w:r w:rsidR="001B6C34">
        <w:rPr>
          <w:lang w:val="pl-PL"/>
        </w:rPr>
        <w:tab/>
      </w:r>
      <w:bookmarkStart w:id="0" w:name="_GoBack"/>
      <w:bookmarkEnd w:id="0"/>
      <w:r w:rsidRPr="001B6C34">
        <w:rPr>
          <w:lang w:val="pl-PL"/>
        </w:rPr>
        <w:t>);</w:t>
      </w:r>
    </w:p>
    <w:p w:rsidR="00370369" w:rsidRPr="001B6C34" w:rsidRDefault="00C03FDD">
      <w:pPr>
        <w:pStyle w:val="Akapitzlist"/>
        <w:numPr>
          <w:ilvl w:val="0"/>
          <w:numId w:val="5"/>
        </w:numPr>
        <w:spacing w:after="120" w:line="360" w:lineRule="auto"/>
        <w:jc w:val="both"/>
        <w:rPr>
          <w:lang w:val="pl-PL"/>
        </w:rPr>
      </w:pPr>
      <w:r w:rsidRPr="001B6C34">
        <w:rPr>
          <w:lang w:val="pl-PL"/>
        </w:rPr>
        <w:t>kopia pisma WPA KWP w Poznaniu z dnia 3 czerwca 2026 r.</w:t>
      </w:r>
    </w:p>
    <w:sectPr w:rsidR="00370369" w:rsidRPr="001B6C34">
      <w:foot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3FDD" w:rsidRDefault="00C03FDD">
      <w:r>
        <w:separator/>
      </w:r>
    </w:p>
  </w:endnote>
  <w:endnote w:type="continuationSeparator" w:id="0">
    <w:p w:rsidR="00C03FDD" w:rsidRDefault="00C03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369" w:rsidRDefault="00C03FDD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 w:rsidR="001B6C34">
      <w:rPr>
        <w:sz w:val="18"/>
        <w:szCs w:val="18"/>
      </w:rPr>
      <w:fldChar w:fldCharType="separate"/>
    </w:r>
    <w:r w:rsidR="001B6C34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3FDD" w:rsidRDefault="00C03FDD">
      <w:r>
        <w:separator/>
      </w:r>
    </w:p>
  </w:footnote>
  <w:footnote w:type="continuationSeparator" w:id="0">
    <w:p w:rsidR="00C03FDD" w:rsidRDefault="00C03F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97D54"/>
    <w:multiLevelType w:val="hybridMultilevel"/>
    <w:tmpl w:val="CC6AABB4"/>
    <w:lvl w:ilvl="0" w:tplc="9C063EE4">
      <w:start w:val="1"/>
      <w:numFmt w:val="decimal"/>
      <w:lvlText w:val="%1)"/>
      <w:lvlJc w:val="left"/>
      <w:pPr>
        <w:ind w:left="600" w:hanging="360"/>
      </w:pPr>
    </w:lvl>
    <w:lvl w:ilvl="1" w:tplc="108623B4">
      <w:numFmt w:val="decimal"/>
      <w:lvlText w:val=""/>
      <w:lvlJc w:val="left"/>
    </w:lvl>
    <w:lvl w:ilvl="2" w:tplc="006EC0D8">
      <w:numFmt w:val="decimal"/>
      <w:lvlText w:val=""/>
      <w:lvlJc w:val="left"/>
    </w:lvl>
    <w:lvl w:ilvl="3" w:tplc="95D6E0A0">
      <w:numFmt w:val="decimal"/>
      <w:lvlText w:val=""/>
      <w:lvlJc w:val="left"/>
    </w:lvl>
    <w:lvl w:ilvl="4" w:tplc="0DA015DA">
      <w:numFmt w:val="decimal"/>
      <w:lvlText w:val=""/>
      <w:lvlJc w:val="left"/>
    </w:lvl>
    <w:lvl w:ilvl="5" w:tplc="D18C8CCC">
      <w:numFmt w:val="decimal"/>
      <w:lvlText w:val=""/>
      <w:lvlJc w:val="left"/>
    </w:lvl>
    <w:lvl w:ilvl="6" w:tplc="DD98898E">
      <w:numFmt w:val="decimal"/>
      <w:lvlText w:val=""/>
      <w:lvlJc w:val="left"/>
    </w:lvl>
    <w:lvl w:ilvl="7" w:tplc="6C184594">
      <w:numFmt w:val="decimal"/>
      <w:lvlText w:val=""/>
      <w:lvlJc w:val="left"/>
    </w:lvl>
    <w:lvl w:ilvl="8" w:tplc="C2CC7D96">
      <w:numFmt w:val="decimal"/>
      <w:lvlText w:val=""/>
      <w:lvlJc w:val="left"/>
    </w:lvl>
  </w:abstractNum>
  <w:abstractNum w:abstractNumId="1" w15:restartNumberingAfterBreak="0">
    <w:nsid w:val="28905139"/>
    <w:multiLevelType w:val="hybridMultilevel"/>
    <w:tmpl w:val="77F4650A"/>
    <w:lvl w:ilvl="0" w:tplc="8774E48C">
      <w:start w:val="1"/>
      <w:numFmt w:val="decimal"/>
      <w:lvlText w:val="%1)"/>
      <w:lvlJc w:val="left"/>
      <w:pPr>
        <w:ind w:left="600" w:hanging="360"/>
      </w:pPr>
    </w:lvl>
    <w:lvl w:ilvl="1" w:tplc="5F20DA3C">
      <w:numFmt w:val="decimal"/>
      <w:lvlText w:val=""/>
      <w:lvlJc w:val="left"/>
    </w:lvl>
    <w:lvl w:ilvl="2" w:tplc="C4127AAA">
      <w:numFmt w:val="decimal"/>
      <w:lvlText w:val=""/>
      <w:lvlJc w:val="left"/>
    </w:lvl>
    <w:lvl w:ilvl="3" w:tplc="397EF3D2">
      <w:numFmt w:val="decimal"/>
      <w:lvlText w:val=""/>
      <w:lvlJc w:val="left"/>
    </w:lvl>
    <w:lvl w:ilvl="4" w:tplc="45DED5D6">
      <w:numFmt w:val="decimal"/>
      <w:lvlText w:val=""/>
      <w:lvlJc w:val="left"/>
    </w:lvl>
    <w:lvl w:ilvl="5" w:tplc="0FE8A19C">
      <w:numFmt w:val="decimal"/>
      <w:lvlText w:val=""/>
      <w:lvlJc w:val="left"/>
    </w:lvl>
    <w:lvl w:ilvl="6" w:tplc="4C0830A0">
      <w:numFmt w:val="decimal"/>
      <w:lvlText w:val=""/>
      <w:lvlJc w:val="left"/>
    </w:lvl>
    <w:lvl w:ilvl="7" w:tplc="E28808EA">
      <w:numFmt w:val="decimal"/>
      <w:lvlText w:val=""/>
      <w:lvlJc w:val="left"/>
    </w:lvl>
    <w:lvl w:ilvl="8" w:tplc="7BC4B3C6">
      <w:numFmt w:val="decimal"/>
      <w:lvlText w:val=""/>
      <w:lvlJc w:val="left"/>
    </w:lvl>
  </w:abstractNum>
  <w:abstractNum w:abstractNumId="2" w15:restartNumberingAfterBreak="0">
    <w:nsid w:val="37C25EA8"/>
    <w:multiLevelType w:val="hybridMultilevel"/>
    <w:tmpl w:val="5A10B0C4"/>
    <w:lvl w:ilvl="0" w:tplc="BCE2E40E">
      <w:start w:val="1"/>
      <w:numFmt w:val="bullet"/>
      <w:lvlText w:val="●"/>
      <w:lvlJc w:val="left"/>
      <w:pPr>
        <w:ind w:left="720" w:hanging="360"/>
      </w:pPr>
    </w:lvl>
    <w:lvl w:ilvl="1" w:tplc="8FD2D4DE">
      <w:start w:val="1"/>
      <w:numFmt w:val="bullet"/>
      <w:lvlText w:val="○"/>
      <w:lvlJc w:val="left"/>
      <w:pPr>
        <w:ind w:left="1440" w:hanging="360"/>
      </w:pPr>
    </w:lvl>
    <w:lvl w:ilvl="2" w:tplc="04407CEC">
      <w:start w:val="1"/>
      <w:numFmt w:val="bullet"/>
      <w:lvlText w:val="■"/>
      <w:lvlJc w:val="left"/>
      <w:pPr>
        <w:ind w:left="2160" w:hanging="360"/>
      </w:pPr>
    </w:lvl>
    <w:lvl w:ilvl="3" w:tplc="E042C2E6">
      <w:start w:val="1"/>
      <w:numFmt w:val="bullet"/>
      <w:lvlText w:val="●"/>
      <w:lvlJc w:val="left"/>
      <w:pPr>
        <w:ind w:left="2880" w:hanging="360"/>
      </w:pPr>
    </w:lvl>
    <w:lvl w:ilvl="4" w:tplc="A4DE420E">
      <w:start w:val="1"/>
      <w:numFmt w:val="bullet"/>
      <w:lvlText w:val="○"/>
      <w:lvlJc w:val="left"/>
      <w:pPr>
        <w:ind w:left="3600" w:hanging="360"/>
      </w:pPr>
    </w:lvl>
    <w:lvl w:ilvl="5" w:tplc="90AA4E02">
      <w:start w:val="1"/>
      <w:numFmt w:val="bullet"/>
      <w:lvlText w:val="■"/>
      <w:lvlJc w:val="left"/>
      <w:pPr>
        <w:ind w:left="4320" w:hanging="360"/>
      </w:pPr>
    </w:lvl>
    <w:lvl w:ilvl="6" w:tplc="FD2ABA14">
      <w:start w:val="1"/>
      <w:numFmt w:val="bullet"/>
      <w:lvlText w:val="●"/>
      <w:lvlJc w:val="left"/>
      <w:pPr>
        <w:ind w:left="5040" w:hanging="360"/>
      </w:pPr>
    </w:lvl>
    <w:lvl w:ilvl="7" w:tplc="4AF4E022">
      <w:start w:val="1"/>
      <w:numFmt w:val="bullet"/>
      <w:lvlText w:val="●"/>
      <w:lvlJc w:val="left"/>
      <w:pPr>
        <w:ind w:left="5760" w:hanging="360"/>
      </w:pPr>
    </w:lvl>
    <w:lvl w:ilvl="8" w:tplc="1BFA9FC4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3D9C58D1"/>
    <w:multiLevelType w:val="hybridMultilevel"/>
    <w:tmpl w:val="037E642E"/>
    <w:lvl w:ilvl="0" w:tplc="D5162400">
      <w:start w:val="1"/>
      <w:numFmt w:val="lowerLetter"/>
      <w:lvlText w:val="%1)"/>
      <w:lvlJc w:val="left"/>
      <w:pPr>
        <w:ind w:left="600" w:hanging="360"/>
      </w:pPr>
    </w:lvl>
    <w:lvl w:ilvl="1" w:tplc="8C4CBD06">
      <w:numFmt w:val="decimal"/>
      <w:lvlText w:val=""/>
      <w:lvlJc w:val="left"/>
    </w:lvl>
    <w:lvl w:ilvl="2" w:tplc="1D861656">
      <w:numFmt w:val="decimal"/>
      <w:lvlText w:val=""/>
      <w:lvlJc w:val="left"/>
    </w:lvl>
    <w:lvl w:ilvl="3" w:tplc="2A6A71FC">
      <w:numFmt w:val="decimal"/>
      <w:lvlText w:val=""/>
      <w:lvlJc w:val="left"/>
    </w:lvl>
    <w:lvl w:ilvl="4" w:tplc="4E2E9362">
      <w:numFmt w:val="decimal"/>
      <w:lvlText w:val=""/>
      <w:lvlJc w:val="left"/>
    </w:lvl>
    <w:lvl w:ilvl="5" w:tplc="B5F4DB6C">
      <w:numFmt w:val="decimal"/>
      <w:lvlText w:val=""/>
      <w:lvlJc w:val="left"/>
    </w:lvl>
    <w:lvl w:ilvl="6" w:tplc="70BA0356">
      <w:numFmt w:val="decimal"/>
      <w:lvlText w:val=""/>
      <w:lvlJc w:val="left"/>
    </w:lvl>
    <w:lvl w:ilvl="7" w:tplc="3E0A7716">
      <w:numFmt w:val="decimal"/>
      <w:lvlText w:val=""/>
      <w:lvlJc w:val="left"/>
    </w:lvl>
    <w:lvl w:ilvl="8" w:tplc="088055CE">
      <w:numFmt w:val="decimal"/>
      <w:lvlText w:val=""/>
      <w:lvlJc w:val="left"/>
    </w:lvl>
  </w:abstractNum>
  <w:abstractNum w:abstractNumId="4" w15:restartNumberingAfterBreak="0">
    <w:nsid w:val="4BED1A3F"/>
    <w:multiLevelType w:val="hybridMultilevel"/>
    <w:tmpl w:val="2528B884"/>
    <w:lvl w:ilvl="0" w:tplc="54EC5388">
      <w:start w:val="1"/>
      <w:numFmt w:val="lowerLetter"/>
      <w:lvlText w:val="%1)"/>
      <w:lvlJc w:val="left"/>
      <w:pPr>
        <w:ind w:left="600" w:hanging="360"/>
      </w:pPr>
    </w:lvl>
    <w:lvl w:ilvl="1" w:tplc="1B1A2038">
      <w:numFmt w:val="decimal"/>
      <w:lvlText w:val=""/>
      <w:lvlJc w:val="left"/>
    </w:lvl>
    <w:lvl w:ilvl="2" w:tplc="89C27FF2">
      <w:numFmt w:val="decimal"/>
      <w:lvlText w:val=""/>
      <w:lvlJc w:val="left"/>
    </w:lvl>
    <w:lvl w:ilvl="3" w:tplc="CBDA23C4">
      <w:numFmt w:val="decimal"/>
      <w:lvlText w:val=""/>
      <w:lvlJc w:val="left"/>
    </w:lvl>
    <w:lvl w:ilvl="4" w:tplc="944C92F6">
      <w:numFmt w:val="decimal"/>
      <w:lvlText w:val=""/>
      <w:lvlJc w:val="left"/>
    </w:lvl>
    <w:lvl w:ilvl="5" w:tplc="567ADEA8">
      <w:numFmt w:val="decimal"/>
      <w:lvlText w:val=""/>
      <w:lvlJc w:val="left"/>
    </w:lvl>
    <w:lvl w:ilvl="6" w:tplc="72FCBD6A">
      <w:numFmt w:val="decimal"/>
      <w:lvlText w:val=""/>
      <w:lvlJc w:val="left"/>
    </w:lvl>
    <w:lvl w:ilvl="7" w:tplc="0B1A2F86">
      <w:numFmt w:val="decimal"/>
      <w:lvlText w:val=""/>
      <w:lvlJc w:val="left"/>
    </w:lvl>
    <w:lvl w:ilvl="8" w:tplc="76F27E52">
      <w:numFmt w:val="decimal"/>
      <w:lvlText w:val=""/>
      <w:lvlJc w:val="left"/>
    </w:lvl>
  </w:abstractNum>
  <w:num w:numId="1">
    <w:abstractNumId w:val="2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369"/>
    <w:rsid w:val="001B6C34"/>
    <w:rsid w:val="00370369"/>
    <w:rsid w:val="00C03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A11FC"/>
  <w15:docId w15:val="{FA0985F2-AD83-4B82-AB46-6C62971E3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qFormat/>
    <w:pPr>
      <w:outlineLvl w:val="3"/>
    </w:pPr>
    <w:rPr>
      <w:i/>
      <w:iCs/>
      <w:color w:val="2E74B5"/>
    </w:rPr>
  </w:style>
  <w:style w:type="paragraph" w:styleId="Nagwek5">
    <w:name w:val="heading 5"/>
    <w:qFormat/>
    <w:pPr>
      <w:outlineLvl w:val="4"/>
    </w:pPr>
    <w:rPr>
      <w:color w:val="2E74B5"/>
    </w:rPr>
  </w:style>
  <w:style w:type="paragraph" w:styleId="Nagwek6">
    <w:name w:val="heading 6"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1004</Words>
  <Characters>5729</Characters>
  <Application>Microsoft Office Word</Application>
  <DocSecurity>0</DocSecurity>
  <Lines>47</Lines>
  <Paragraphs>13</Paragraphs>
  <ScaleCrop>false</ScaleCrop>
  <Company>MSWiA</Company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Tymczyszyn Paweł</cp:lastModifiedBy>
  <cp:revision>2</cp:revision>
  <dcterms:created xsi:type="dcterms:W3CDTF">2026-09-03T13:53:00Z</dcterms:created>
  <dcterms:modified xsi:type="dcterms:W3CDTF">2026-09-03T13:53:00Z</dcterms:modified>
</cp:coreProperties>
</file>