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50CA" w14:textId="77777777" w:rsidR="005850D6" w:rsidRPr="005850D6" w:rsidRDefault="005850D6" w:rsidP="005850D6">
      <w:pPr>
        <w:rPr>
          <w:b/>
          <w:bCs/>
          <w:lang w:val="en-GB"/>
        </w:rPr>
      </w:pPr>
      <w:r w:rsidRPr="005850D6">
        <w:rPr>
          <w:b/>
          <w:bCs/>
          <w:lang w:val="en-GB"/>
        </w:rPr>
        <w:t>OECD Working Group on Bribery expresses strong concerns about Poland’s lack of progress in fighting foreign bribery</w:t>
      </w:r>
    </w:p>
    <w:p w14:paraId="2F690CC2" w14:textId="77777777" w:rsidR="005850D6" w:rsidRPr="005850D6" w:rsidRDefault="005850D6" w:rsidP="005850D6">
      <w:pPr>
        <w:rPr>
          <w:lang w:val="en-GB"/>
        </w:rPr>
      </w:pPr>
      <w:r w:rsidRPr="005850D6">
        <w:rPr>
          <w:lang w:val="en-GB"/>
        </w:rPr>
        <w:t>Press release</w:t>
      </w:r>
    </w:p>
    <w:p w14:paraId="6C1B2ADE" w14:textId="77777777" w:rsidR="005850D6" w:rsidRPr="005850D6" w:rsidRDefault="005850D6" w:rsidP="005850D6">
      <w:pPr>
        <w:rPr>
          <w:lang w:val="en-GB"/>
        </w:rPr>
      </w:pPr>
      <w:r w:rsidRPr="005850D6">
        <w:rPr>
          <w:lang w:val="en-GB"/>
        </w:rPr>
        <w:t>20 December 2024</w:t>
      </w:r>
    </w:p>
    <w:p w14:paraId="631B27BB" w14:textId="77777777" w:rsidR="005850D6" w:rsidRPr="005850D6" w:rsidRDefault="005850D6" w:rsidP="005850D6">
      <w:pPr>
        <w:rPr>
          <w:lang w:val="en-GB"/>
        </w:rPr>
      </w:pPr>
      <w:r w:rsidRPr="005850D6">
        <w:rPr>
          <w:lang w:val="en-GB"/>
        </w:rPr>
        <w:t>The OECD Working Group on Bribery decided at its December 2024 meeting to request Poland to urgently develop an action plan to address deficiencies in implementing the OECD Convention on Combating Bribery of Foreign Public Officials in International Business Transactions. According to the </w:t>
      </w:r>
      <w:hyperlink r:id="rId5" w:tgtFrame="_blank" w:tooltip="new follow-up assessment report" w:history="1">
        <w:r w:rsidRPr="005850D6">
          <w:rPr>
            <w:rStyle w:val="Hipercze"/>
            <w:lang w:val="en-GB"/>
          </w:rPr>
          <w:t>new follow-up assessment report</w:t>
        </w:r>
      </w:hyperlink>
      <w:r w:rsidRPr="005850D6">
        <w:rPr>
          <w:lang w:val="en-GB"/>
        </w:rPr>
        <w:t>, Poland has made insufficient progress over the past 2 years on key areas and the vast majority of the Working Group’s recommendations from 2022 remain unimplemented.</w:t>
      </w:r>
    </w:p>
    <w:p w14:paraId="23D013B2" w14:textId="77777777" w:rsidR="005850D6" w:rsidRPr="005850D6" w:rsidRDefault="005850D6" w:rsidP="005850D6">
      <w:pPr>
        <w:rPr>
          <w:lang w:val="en-GB"/>
        </w:rPr>
      </w:pPr>
      <w:r w:rsidRPr="005850D6">
        <w:rPr>
          <w:lang w:val="en-GB"/>
        </w:rPr>
        <w:t>The Working Group is gravely concerned about the lack of meaningful steps to implement the recommendations concerning prosecutorial and judicial independence under Article 5 of the Convention. The law to ensure that the majority of the National Council of Judiciary is elected without the influence of the executive and legislative branches passed in July 2024, but it is still not in force due to a pending revision at the Constitutional Court, initiated by the President of the Republic. The Minister of Justice remains the Prosecutor General and thus still dominates the Prosecutor’s Office and can influence the functioning of the courts. No steps have been taken to exclude executive influence in the appointment, discipline and removal of prosecutors. The Minister of Justice continues to be able to disclose information on ongoing investigations for vaguely defined reasons and to any recipients. </w:t>
      </w:r>
    </w:p>
    <w:p w14:paraId="00904738" w14:textId="77777777" w:rsidR="005850D6" w:rsidRPr="005850D6" w:rsidRDefault="005850D6" w:rsidP="005850D6">
      <w:pPr>
        <w:rPr>
          <w:lang w:val="en-GB"/>
        </w:rPr>
      </w:pPr>
      <w:r w:rsidRPr="005850D6">
        <w:rPr>
          <w:lang w:val="en-GB"/>
        </w:rPr>
        <w:t>Equally concerning are further unaddressed shortcomings that severely undermine Poland’s compliance with the Convention. The application of corporate liability remains virtually impossible as it requires a natural person’s conviction. Poland has no national strategy to fight foreign bribery. The Ministry of Foreign Affairs appears disinterested in detecting or raising awareness of foreign bribery. Remedies for whistleblowers who suffer retaliation under the new whistleblowing law are inadequate. </w:t>
      </w:r>
    </w:p>
    <w:p w14:paraId="3A08E19F" w14:textId="77777777" w:rsidR="005850D6" w:rsidRPr="005850D6" w:rsidRDefault="005850D6" w:rsidP="005850D6">
      <w:pPr>
        <w:rPr>
          <w:lang w:val="en-GB"/>
        </w:rPr>
      </w:pPr>
      <w:r w:rsidRPr="005850D6">
        <w:rPr>
          <w:lang w:val="en-GB"/>
        </w:rPr>
        <w:t>On the positive side, all recommendations regarding money laundering predicated on foreign bribery have been addressed by the Polish financial intelligence unit. Meaningful steps in the implementation of the recommendations were taken by the Deputy Prosecutor General through the issuing of guidelines to prosecutors concerning the investigation and prosecution of foreign bribery.</w:t>
      </w:r>
    </w:p>
    <w:p w14:paraId="01C46609" w14:textId="77777777" w:rsidR="005850D6" w:rsidRPr="005850D6" w:rsidRDefault="005850D6" w:rsidP="005850D6">
      <w:pPr>
        <w:rPr>
          <w:lang w:val="en-GB"/>
        </w:rPr>
      </w:pPr>
      <w:r w:rsidRPr="005850D6">
        <w:rPr>
          <w:lang w:val="en-GB"/>
        </w:rPr>
        <w:t>In conclusion, the Working Group decided to invite Poland to develop an action plan for the implementation of the priority recommendations. Requesting an action plan is one of a series of possible measures available for the Working Group in case of continued failure to adequately implement the OECD Anti-Bribery Convention under the Working Group’s </w:t>
      </w:r>
      <w:hyperlink r:id="rId6" w:tgtFrame="_blank" w:tooltip="monitoring procedures" w:history="1">
        <w:r w:rsidRPr="005850D6">
          <w:rPr>
            <w:rStyle w:val="Hipercze"/>
            <w:lang w:val="en-GB"/>
          </w:rPr>
          <w:t>monitoring procedures</w:t>
        </w:r>
      </w:hyperlink>
      <w:r w:rsidRPr="005850D6">
        <w:rPr>
          <w:lang w:val="en-GB"/>
        </w:rPr>
        <w:t> for its 4th Round of mutual evaluations. The Working Group on Bribery will assess Poland’s action plan at its upcoming plenary meeting in March 2025.</w:t>
      </w:r>
    </w:p>
    <w:p w14:paraId="262B2BC6" w14:textId="77777777" w:rsidR="0054033F" w:rsidRPr="005850D6" w:rsidRDefault="0054033F">
      <w:pPr>
        <w:rPr>
          <w:lang w:val="en-GB"/>
        </w:rPr>
      </w:pPr>
    </w:p>
    <w:sectPr w:rsidR="0054033F" w:rsidRPr="005850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B6E4E"/>
    <w:multiLevelType w:val="multilevel"/>
    <w:tmpl w:val="E506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42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D6"/>
    <w:rsid w:val="0003628F"/>
    <w:rsid w:val="0054033F"/>
    <w:rsid w:val="005850D6"/>
    <w:rsid w:val="00677B35"/>
    <w:rsid w:val="007D6C70"/>
    <w:rsid w:val="00A815A1"/>
    <w:rsid w:val="00D551A6"/>
    <w:rsid w:val="00EB3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B2AB"/>
  <w15:chartTrackingRefBased/>
  <w15:docId w15:val="{968EE301-05C1-4EFA-85C0-9E42B048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85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85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850D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850D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850D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850D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850D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850D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850D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50D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850D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850D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850D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850D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850D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850D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850D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850D6"/>
    <w:rPr>
      <w:rFonts w:eastAsiaTheme="majorEastAsia" w:cstheme="majorBidi"/>
      <w:color w:val="272727" w:themeColor="text1" w:themeTint="D8"/>
    </w:rPr>
  </w:style>
  <w:style w:type="paragraph" w:styleId="Tytu">
    <w:name w:val="Title"/>
    <w:basedOn w:val="Normalny"/>
    <w:next w:val="Normalny"/>
    <w:link w:val="TytuZnak"/>
    <w:uiPriority w:val="10"/>
    <w:qFormat/>
    <w:rsid w:val="00585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850D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850D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850D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850D6"/>
    <w:pPr>
      <w:spacing w:before="160"/>
      <w:jc w:val="center"/>
    </w:pPr>
    <w:rPr>
      <w:i/>
      <w:iCs/>
      <w:color w:val="404040" w:themeColor="text1" w:themeTint="BF"/>
    </w:rPr>
  </w:style>
  <w:style w:type="character" w:customStyle="1" w:styleId="CytatZnak">
    <w:name w:val="Cytat Znak"/>
    <w:basedOn w:val="Domylnaczcionkaakapitu"/>
    <w:link w:val="Cytat"/>
    <w:uiPriority w:val="29"/>
    <w:rsid w:val="005850D6"/>
    <w:rPr>
      <w:i/>
      <w:iCs/>
      <w:color w:val="404040" w:themeColor="text1" w:themeTint="BF"/>
    </w:rPr>
  </w:style>
  <w:style w:type="paragraph" w:styleId="Akapitzlist">
    <w:name w:val="List Paragraph"/>
    <w:basedOn w:val="Normalny"/>
    <w:uiPriority w:val="34"/>
    <w:qFormat/>
    <w:rsid w:val="005850D6"/>
    <w:pPr>
      <w:ind w:left="720"/>
      <w:contextualSpacing/>
    </w:pPr>
  </w:style>
  <w:style w:type="character" w:styleId="Wyrnienieintensywne">
    <w:name w:val="Intense Emphasis"/>
    <w:basedOn w:val="Domylnaczcionkaakapitu"/>
    <w:uiPriority w:val="21"/>
    <w:qFormat/>
    <w:rsid w:val="005850D6"/>
    <w:rPr>
      <w:i/>
      <w:iCs/>
      <w:color w:val="0F4761" w:themeColor="accent1" w:themeShade="BF"/>
    </w:rPr>
  </w:style>
  <w:style w:type="paragraph" w:styleId="Cytatintensywny">
    <w:name w:val="Intense Quote"/>
    <w:basedOn w:val="Normalny"/>
    <w:next w:val="Normalny"/>
    <w:link w:val="CytatintensywnyZnak"/>
    <w:uiPriority w:val="30"/>
    <w:qFormat/>
    <w:rsid w:val="00585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850D6"/>
    <w:rPr>
      <w:i/>
      <w:iCs/>
      <w:color w:val="0F4761" w:themeColor="accent1" w:themeShade="BF"/>
    </w:rPr>
  </w:style>
  <w:style w:type="character" w:styleId="Odwoanieintensywne">
    <w:name w:val="Intense Reference"/>
    <w:basedOn w:val="Domylnaczcionkaakapitu"/>
    <w:uiPriority w:val="32"/>
    <w:qFormat/>
    <w:rsid w:val="005850D6"/>
    <w:rPr>
      <w:b/>
      <w:bCs/>
      <w:smallCaps/>
      <w:color w:val="0F4761" w:themeColor="accent1" w:themeShade="BF"/>
      <w:spacing w:val="5"/>
    </w:rPr>
  </w:style>
  <w:style w:type="character" w:styleId="Hipercze">
    <w:name w:val="Hyperlink"/>
    <w:basedOn w:val="Domylnaczcionkaakapitu"/>
    <w:uiPriority w:val="99"/>
    <w:unhideWhenUsed/>
    <w:rsid w:val="005850D6"/>
    <w:rPr>
      <w:color w:val="467886" w:themeColor="hyperlink"/>
      <w:u w:val="single"/>
    </w:rPr>
  </w:style>
  <w:style w:type="character" w:styleId="Nierozpoznanawzmianka">
    <w:name w:val="Unresolved Mention"/>
    <w:basedOn w:val="Domylnaczcionkaakapitu"/>
    <w:uiPriority w:val="99"/>
    <w:semiHidden/>
    <w:unhideWhenUsed/>
    <w:rsid w:val="00585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4315">
      <w:bodyDiv w:val="1"/>
      <w:marLeft w:val="0"/>
      <w:marRight w:val="0"/>
      <w:marTop w:val="0"/>
      <w:marBottom w:val="0"/>
      <w:divBdr>
        <w:top w:val="none" w:sz="0" w:space="0" w:color="auto"/>
        <w:left w:val="none" w:sz="0" w:space="0" w:color="auto"/>
        <w:bottom w:val="none" w:sz="0" w:space="0" w:color="auto"/>
        <w:right w:val="none" w:sz="0" w:space="0" w:color="auto"/>
      </w:divBdr>
      <w:divsChild>
        <w:div w:id="1635527632">
          <w:marLeft w:val="0"/>
          <w:marRight w:val="0"/>
          <w:marTop w:val="0"/>
          <w:marBottom w:val="0"/>
          <w:divBdr>
            <w:top w:val="none" w:sz="0" w:space="0" w:color="auto"/>
            <w:left w:val="none" w:sz="0" w:space="0" w:color="auto"/>
            <w:bottom w:val="none" w:sz="0" w:space="0" w:color="auto"/>
            <w:right w:val="none" w:sz="0" w:space="0" w:color="auto"/>
          </w:divBdr>
          <w:divsChild>
            <w:div w:id="456804173">
              <w:marLeft w:val="0"/>
              <w:marRight w:val="0"/>
              <w:marTop w:val="0"/>
              <w:marBottom w:val="0"/>
              <w:divBdr>
                <w:top w:val="none" w:sz="0" w:space="0" w:color="auto"/>
                <w:left w:val="none" w:sz="0" w:space="0" w:color="auto"/>
                <w:bottom w:val="none" w:sz="0" w:space="0" w:color="auto"/>
                <w:right w:val="none" w:sz="0" w:space="0" w:color="auto"/>
              </w:divBdr>
              <w:divsChild>
                <w:div w:id="47730854">
                  <w:marLeft w:val="0"/>
                  <w:marRight w:val="0"/>
                  <w:marTop w:val="0"/>
                  <w:marBottom w:val="0"/>
                  <w:divBdr>
                    <w:top w:val="none" w:sz="0" w:space="0" w:color="auto"/>
                    <w:left w:val="none" w:sz="0" w:space="0" w:color="auto"/>
                    <w:bottom w:val="none" w:sz="0" w:space="0" w:color="auto"/>
                    <w:right w:val="none" w:sz="0" w:space="0" w:color="auto"/>
                  </w:divBdr>
                  <w:divsChild>
                    <w:div w:id="218131383">
                      <w:marLeft w:val="0"/>
                      <w:marRight w:val="0"/>
                      <w:marTop w:val="0"/>
                      <w:marBottom w:val="0"/>
                      <w:divBdr>
                        <w:top w:val="none" w:sz="0" w:space="0" w:color="auto"/>
                        <w:left w:val="none" w:sz="0" w:space="0" w:color="auto"/>
                        <w:bottom w:val="none" w:sz="0" w:space="0" w:color="auto"/>
                        <w:right w:val="none" w:sz="0" w:space="0" w:color="auto"/>
                      </w:divBdr>
                      <w:divsChild>
                        <w:div w:id="11499932">
                          <w:marLeft w:val="0"/>
                          <w:marRight w:val="0"/>
                          <w:marTop w:val="0"/>
                          <w:marBottom w:val="0"/>
                          <w:divBdr>
                            <w:top w:val="none" w:sz="0" w:space="0" w:color="auto"/>
                            <w:left w:val="none" w:sz="0" w:space="0" w:color="auto"/>
                            <w:bottom w:val="none" w:sz="0" w:space="0" w:color="auto"/>
                            <w:right w:val="none" w:sz="0" w:space="0" w:color="auto"/>
                          </w:divBdr>
                          <w:divsChild>
                            <w:div w:id="764377884">
                              <w:marLeft w:val="0"/>
                              <w:marRight w:val="0"/>
                              <w:marTop w:val="0"/>
                              <w:marBottom w:val="0"/>
                              <w:divBdr>
                                <w:top w:val="none" w:sz="0" w:space="0" w:color="auto"/>
                                <w:left w:val="none" w:sz="0" w:space="0" w:color="auto"/>
                                <w:bottom w:val="none" w:sz="0" w:space="0" w:color="auto"/>
                                <w:right w:val="none" w:sz="0" w:space="0" w:color="auto"/>
                              </w:divBdr>
                              <w:divsChild>
                                <w:div w:id="1319730512">
                                  <w:marLeft w:val="0"/>
                                  <w:marRight w:val="0"/>
                                  <w:marTop w:val="0"/>
                                  <w:marBottom w:val="0"/>
                                  <w:divBdr>
                                    <w:top w:val="none" w:sz="0" w:space="0" w:color="auto"/>
                                    <w:left w:val="none" w:sz="0" w:space="0" w:color="auto"/>
                                    <w:bottom w:val="none" w:sz="0" w:space="0" w:color="auto"/>
                                    <w:right w:val="none" w:sz="0" w:space="0" w:color="auto"/>
                                  </w:divBdr>
                                  <w:divsChild>
                                    <w:div w:id="503325830">
                                      <w:marLeft w:val="0"/>
                                      <w:marRight w:val="0"/>
                                      <w:marTop w:val="0"/>
                                      <w:marBottom w:val="0"/>
                                      <w:divBdr>
                                        <w:top w:val="none" w:sz="0" w:space="0" w:color="auto"/>
                                        <w:left w:val="none" w:sz="0" w:space="0" w:color="auto"/>
                                        <w:bottom w:val="none" w:sz="0" w:space="0" w:color="auto"/>
                                        <w:right w:val="none" w:sz="0" w:space="0" w:color="auto"/>
                                      </w:divBdr>
                                    </w:div>
                                  </w:divsChild>
                                </w:div>
                                <w:div w:id="6425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751177">
          <w:marLeft w:val="0"/>
          <w:marRight w:val="0"/>
          <w:marTop w:val="0"/>
          <w:marBottom w:val="0"/>
          <w:divBdr>
            <w:top w:val="none" w:sz="0" w:space="0" w:color="auto"/>
            <w:left w:val="none" w:sz="0" w:space="0" w:color="auto"/>
            <w:bottom w:val="none" w:sz="0" w:space="0" w:color="auto"/>
            <w:right w:val="none" w:sz="0" w:space="0" w:color="auto"/>
          </w:divBdr>
          <w:divsChild>
            <w:div w:id="1099372577">
              <w:marLeft w:val="0"/>
              <w:marRight w:val="0"/>
              <w:marTop w:val="0"/>
              <w:marBottom w:val="0"/>
              <w:divBdr>
                <w:top w:val="none" w:sz="0" w:space="0" w:color="auto"/>
                <w:left w:val="none" w:sz="0" w:space="0" w:color="auto"/>
                <w:bottom w:val="none" w:sz="0" w:space="0" w:color="auto"/>
                <w:right w:val="none" w:sz="0" w:space="0" w:color="auto"/>
              </w:divBdr>
              <w:divsChild>
                <w:div w:id="208999420">
                  <w:marLeft w:val="0"/>
                  <w:marRight w:val="0"/>
                  <w:marTop w:val="0"/>
                  <w:marBottom w:val="0"/>
                  <w:divBdr>
                    <w:top w:val="none" w:sz="0" w:space="0" w:color="auto"/>
                    <w:left w:val="none" w:sz="0" w:space="0" w:color="auto"/>
                    <w:bottom w:val="none" w:sz="0" w:space="0" w:color="auto"/>
                    <w:right w:val="none" w:sz="0" w:space="0" w:color="auto"/>
                  </w:divBdr>
                  <w:divsChild>
                    <w:div w:id="2042246118">
                      <w:marLeft w:val="0"/>
                      <w:marRight w:val="0"/>
                      <w:marTop w:val="0"/>
                      <w:marBottom w:val="0"/>
                      <w:divBdr>
                        <w:top w:val="none" w:sz="0" w:space="0" w:color="auto"/>
                        <w:left w:val="none" w:sz="0" w:space="0" w:color="auto"/>
                        <w:bottom w:val="none" w:sz="0" w:space="0" w:color="auto"/>
                        <w:right w:val="none" w:sz="0" w:space="0" w:color="auto"/>
                      </w:divBdr>
                      <w:divsChild>
                        <w:div w:id="9100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15828">
          <w:marLeft w:val="0"/>
          <w:marRight w:val="0"/>
          <w:marTop w:val="0"/>
          <w:marBottom w:val="0"/>
          <w:divBdr>
            <w:top w:val="none" w:sz="0" w:space="0" w:color="auto"/>
            <w:left w:val="none" w:sz="0" w:space="0" w:color="auto"/>
            <w:bottom w:val="none" w:sz="0" w:space="0" w:color="auto"/>
            <w:right w:val="none" w:sz="0" w:space="0" w:color="auto"/>
          </w:divBdr>
          <w:divsChild>
            <w:div w:id="1653368541">
              <w:marLeft w:val="0"/>
              <w:marRight w:val="0"/>
              <w:marTop w:val="0"/>
              <w:marBottom w:val="0"/>
              <w:divBdr>
                <w:top w:val="none" w:sz="0" w:space="0" w:color="auto"/>
                <w:left w:val="none" w:sz="0" w:space="0" w:color="auto"/>
                <w:bottom w:val="none" w:sz="0" w:space="0" w:color="auto"/>
                <w:right w:val="none" w:sz="0" w:space="0" w:color="auto"/>
              </w:divBdr>
              <w:divsChild>
                <w:div w:id="807018782">
                  <w:marLeft w:val="0"/>
                  <w:marRight w:val="0"/>
                  <w:marTop w:val="0"/>
                  <w:marBottom w:val="0"/>
                  <w:divBdr>
                    <w:top w:val="none" w:sz="0" w:space="0" w:color="auto"/>
                    <w:left w:val="none" w:sz="0" w:space="0" w:color="auto"/>
                    <w:bottom w:val="none" w:sz="0" w:space="0" w:color="auto"/>
                    <w:right w:val="none" w:sz="0" w:space="0" w:color="auto"/>
                  </w:divBdr>
                  <w:divsChild>
                    <w:div w:id="1830100792">
                      <w:marLeft w:val="0"/>
                      <w:marRight w:val="0"/>
                      <w:marTop w:val="0"/>
                      <w:marBottom w:val="0"/>
                      <w:divBdr>
                        <w:top w:val="none" w:sz="0" w:space="0" w:color="auto"/>
                        <w:left w:val="none" w:sz="0" w:space="0" w:color="auto"/>
                        <w:bottom w:val="none" w:sz="0" w:space="0" w:color="auto"/>
                        <w:right w:val="none" w:sz="0" w:space="0" w:color="auto"/>
                      </w:divBdr>
                      <w:divsChild>
                        <w:div w:id="8717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0934">
                  <w:marLeft w:val="0"/>
                  <w:marRight w:val="0"/>
                  <w:marTop w:val="0"/>
                  <w:marBottom w:val="0"/>
                  <w:divBdr>
                    <w:top w:val="none" w:sz="0" w:space="0" w:color="auto"/>
                    <w:left w:val="none" w:sz="0" w:space="0" w:color="auto"/>
                    <w:bottom w:val="none" w:sz="0" w:space="0" w:color="auto"/>
                    <w:right w:val="none" w:sz="0" w:space="0" w:color="auto"/>
                  </w:divBdr>
                  <w:divsChild>
                    <w:div w:id="1641380388">
                      <w:marLeft w:val="0"/>
                      <w:marRight w:val="0"/>
                      <w:marTop w:val="0"/>
                      <w:marBottom w:val="0"/>
                      <w:divBdr>
                        <w:top w:val="none" w:sz="0" w:space="0" w:color="auto"/>
                        <w:left w:val="none" w:sz="0" w:space="0" w:color="auto"/>
                        <w:bottom w:val="none" w:sz="0" w:space="0" w:color="auto"/>
                        <w:right w:val="none" w:sz="0" w:space="0" w:color="auto"/>
                      </w:divBdr>
                      <w:divsChild>
                        <w:div w:id="821504666">
                          <w:marLeft w:val="0"/>
                          <w:marRight w:val="0"/>
                          <w:marTop w:val="0"/>
                          <w:marBottom w:val="0"/>
                          <w:divBdr>
                            <w:top w:val="none" w:sz="0" w:space="0" w:color="auto"/>
                            <w:left w:val="none" w:sz="0" w:space="0" w:color="auto"/>
                            <w:bottom w:val="none" w:sz="0" w:space="0" w:color="auto"/>
                            <w:right w:val="none" w:sz="0" w:space="0" w:color="auto"/>
                          </w:divBdr>
                          <w:divsChild>
                            <w:div w:id="2314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479362">
      <w:bodyDiv w:val="1"/>
      <w:marLeft w:val="0"/>
      <w:marRight w:val="0"/>
      <w:marTop w:val="0"/>
      <w:marBottom w:val="0"/>
      <w:divBdr>
        <w:top w:val="none" w:sz="0" w:space="0" w:color="auto"/>
        <w:left w:val="none" w:sz="0" w:space="0" w:color="auto"/>
        <w:bottom w:val="none" w:sz="0" w:space="0" w:color="auto"/>
        <w:right w:val="none" w:sz="0" w:space="0" w:color="auto"/>
      </w:divBdr>
      <w:divsChild>
        <w:div w:id="1303386983">
          <w:marLeft w:val="0"/>
          <w:marRight w:val="0"/>
          <w:marTop w:val="0"/>
          <w:marBottom w:val="0"/>
          <w:divBdr>
            <w:top w:val="none" w:sz="0" w:space="0" w:color="auto"/>
            <w:left w:val="none" w:sz="0" w:space="0" w:color="auto"/>
            <w:bottom w:val="none" w:sz="0" w:space="0" w:color="auto"/>
            <w:right w:val="none" w:sz="0" w:space="0" w:color="auto"/>
          </w:divBdr>
          <w:divsChild>
            <w:div w:id="25644740">
              <w:marLeft w:val="0"/>
              <w:marRight w:val="0"/>
              <w:marTop w:val="0"/>
              <w:marBottom w:val="0"/>
              <w:divBdr>
                <w:top w:val="none" w:sz="0" w:space="0" w:color="auto"/>
                <w:left w:val="none" w:sz="0" w:space="0" w:color="auto"/>
                <w:bottom w:val="none" w:sz="0" w:space="0" w:color="auto"/>
                <w:right w:val="none" w:sz="0" w:space="0" w:color="auto"/>
              </w:divBdr>
              <w:divsChild>
                <w:div w:id="1299609955">
                  <w:marLeft w:val="0"/>
                  <w:marRight w:val="0"/>
                  <w:marTop w:val="0"/>
                  <w:marBottom w:val="0"/>
                  <w:divBdr>
                    <w:top w:val="none" w:sz="0" w:space="0" w:color="auto"/>
                    <w:left w:val="none" w:sz="0" w:space="0" w:color="auto"/>
                    <w:bottom w:val="none" w:sz="0" w:space="0" w:color="auto"/>
                    <w:right w:val="none" w:sz="0" w:space="0" w:color="auto"/>
                  </w:divBdr>
                  <w:divsChild>
                    <w:div w:id="44260984">
                      <w:marLeft w:val="0"/>
                      <w:marRight w:val="0"/>
                      <w:marTop w:val="0"/>
                      <w:marBottom w:val="0"/>
                      <w:divBdr>
                        <w:top w:val="none" w:sz="0" w:space="0" w:color="auto"/>
                        <w:left w:val="none" w:sz="0" w:space="0" w:color="auto"/>
                        <w:bottom w:val="none" w:sz="0" w:space="0" w:color="auto"/>
                        <w:right w:val="none" w:sz="0" w:space="0" w:color="auto"/>
                      </w:divBdr>
                      <w:divsChild>
                        <w:div w:id="842744129">
                          <w:marLeft w:val="0"/>
                          <w:marRight w:val="0"/>
                          <w:marTop w:val="0"/>
                          <w:marBottom w:val="0"/>
                          <w:divBdr>
                            <w:top w:val="none" w:sz="0" w:space="0" w:color="auto"/>
                            <w:left w:val="none" w:sz="0" w:space="0" w:color="auto"/>
                            <w:bottom w:val="none" w:sz="0" w:space="0" w:color="auto"/>
                            <w:right w:val="none" w:sz="0" w:space="0" w:color="auto"/>
                          </w:divBdr>
                          <w:divsChild>
                            <w:div w:id="60296324">
                              <w:marLeft w:val="0"/>
                              <w:marRight w:val="0"/>
                              <w:marTop w:val="0"/>
                              <w:marBottom w:val="0"/>
                              <w:divBdr>
                                <w:top w:val="none" w:sz="0" w:space="0" w:color="auto"/>
                                <w:left w:val="none" w:sz="0" w:space="0" w:color="auto"/>
                                <w:bottom w:val="none" w:sz="0" w:space="0" w:color="auto"/>
                                <w:right w:val="none" w:sz="0" w:space="0" w:color="auto"/>
                              </w:divBdr>
                              <w:divsChild>
                                <w:div w:id="406080113">
                                  <w:marLeft w:val="0"/>
                                  <w:marRight w:val="0"/>
                                  <w:marTop w:val="0"/>
                                  <w:marBottom w:val="0"/>
                                  <w:divBdr>
                                    <w:top w:val="none" w:sz="0" w:space="0" w:color="auto"/>
                                    <w:left w:val="none" w:sz="0" w:space="0" w:color="auto"/>
                                    <w:bottom w:val="none" w:sz="0" w:space="0" w:color="auto"/>
                                    <w:right w:val="none" w:sz="0" w:space="0" w:color="auto"/>
                                  </w:divBdr>
                                  <w:divsChild>
                                    <w:div w:id="2091147848">
                                      <w:marLeft w:val="0"/>
                                      <w:marRight w:val="0"/>
                                      <w:marTop w:val="0"/>
                                      <w:marBottom w:val="0"/>
                                      <w:divBdr>
                                        <w:top w:val="none" w:sz="0" w:space="0" w:color="auto"/>
                                        <w:left w:val="none" w:sz="0" w:space="0" w:color="auto"/>
                                        <w:bottom w:val="none" w:sz="0" w:space="0" w:color="auto"/>
                                        <w:right w:val="none" w:sz="0" w:space="0" w:color="auto"/>
                                      </w:divBdr>
                                    </w:div>
                                  </w:divsChild>
                                </w:div>
                                <w:div w:id="163135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022395">
          <w:marLeft w:val="0"/>
          <w:marRight w:val="0"/>
          <w:marTop w:val="0"/>
          <w:marBottom w:val="0"/>
          <w:divBdr>
            <w:top w:val="none" w:sz="0" w:space="0" w:color="auto"/>
            <w:left w:val="none" w:sz="0" w:space="0" w:color="auto"/>
            <w:bottom w:val="none" w:sz="0" w:space="0" w:color="auto"/>
            <w:right w:val="none" w:sz="0" w:space="0" w:color="auto"/>
          </w:divBdr>
          <w:divsChild>
            <w:div w:id="1444113731">
              <w:marLeft w:val="0"/>
              <w:marRight w:val="0"/>
              <w:marTop w:val="0"/>
              <w:marBottom w:val="0"/>
              <w:divBdr>
                <w:top w:val="none" w:sz="0" w:space="0" w:color="auto"/>
                <w:left w:val="none" w:sz="0" w:space="0" w:color="auto"/>
                <w:bottom w:val="none" w:sz="0" w:space="0" w:color="auto"/>
                <w:right w:val="none" w:sz="0" w:space="0" w:color="auto"/>
              </w:divBdr>
              <w:divsChild>
                <w:div w:id="1944417604">
                  <w:marLeft w:val="0"/>
                  <w:marRight w:val="0"/>
                  <w:marTop w:val="0"/>
                  <w:marBottom w:val="0"/>
                  <w:divBdr>
                    <w:top w:val="none" w:sz="0" w:space="0" w:color="auto"/>
                    <w:left w:val="none" w:sz="0" w:space="0" w:color="auto"/>
                    <w:bottom w:val="none" w:sz="0" w:space="0" w:color="auto"/>
                    <w:right w:val="none" w:sz="0" w:space="0" w:color="auto"/>
                  </w:divBdr>
                  <w:divsChild>
                    <w:div w:id="1788157360">
                      <w:marLeft w:val="0"/>
                      <w:marRight w:val="0"/>
                      <w:marTop w:val="0"/>
                      <w:marBottom w:val="0"/>
                      <w:divBdr>
                        <w:top w:val="none" w:sz="0" w:space="0" w:color="auto"/>
                        <w:left w:val="none" w:sz="0" w:space="0" w:color="auto"/>
                        <w:bottom w:val="none" w:sz="0" w:space="0" w:color="auto"/>
                        <w:right w:val="none" w:sz="0" w:space="0" w:color="auto"/>
                      </w:divBdr>
                      <w:divsChild>
                        <w:div w:id="6714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651713">
          <w:marLeft w:val="0"/>
          <w:marRight w:val="0"/>
          <w:marTop w:val="0"/>
          <w:marBottom w:val="0"/>
          <w:divBdr>
            <w:top w:val="none" w:sz="0" w:space="0" w:color="auto"/>
            <w:left w:val="none" w:sz="0" w:space="0" w:color="auto"/>
            <w:bottom w:val="none" w:sz="0" w:space="0" w:color="auto"/>
            <w:right w:val="none" w:sz="0" w:space="0" w:color="auto"/>
          </w:divBdr>
          <w:divsChild>
            <w:div w:id="1567490545">
              <w:marLeft w:val="0"/>
              <w:marRight w:val="0"/>
              <w:marTop w:val="0"/>
              <w:marBottom w:val="0"/>
              <w:divBdr>
                <w:top w:val="none" w:sz="0" w:space="0" w:color="auto"/>
                <w:left w:val="none" w:sz="0" w:space="0" w:color="auto"/>
                <w:bottom w:val="none" w:sz="0" w:space="0" w:color="auto"/>
                <w:right w:val="none" w:sz="0" w:space="0" w:color="auto"/>
              </w:divBdr>
              <w:divsChild>
                <w:div w:id="99299412">
                  <w:marLeft w:val="0"/>
                  <w:marRight w:val="0"/>
                  <w:marTop w:val="0"/>
                  <w:marBottom w:val="0"/>
                  <w:divBdr>
                    <w:top w:val="none" w:sz="0" w:space="0" w:color="auto"/>
                    <w:left w:val="none" w:sz="0" w:space="0" w:color="auto"/>
                    <w:bottom w:val="none" w:sz="0" w:space="0" w:color="auto"/>
                    <w:right w:val="none" w:sz="0" w:space="0" w:color="auto"/>
                  </w:divBdr>
                  <w:divsChild>
                    <w:div w:id="578831632">
                      <w:marLeft w:val="0"/>
                      <w:marRight w:val="0"/>
                      <w:marTop w:val="0"/>
                      <w:marBottom w:val="0"/>
                      <w:divBdr>
                        <w:top w:val="none" w:sz="0" w:space="0" w:color="auto"/>
                        <w:left w:val="none" w:sz="0" w:space="0" w:color="auto"/>
                        <w:bottom w:val="none" w:sz="0" w:space="0" w:color="auto"/>
                        <w:right w:val="none" w:sz="0" w:space="0" w:color="auto"/>
                      </w:divBdr>
                      <w:divsChild>
                        <w:div w:id="15576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4631">
                  <w:marLeft w:val="0"/>
                  <w:marRight w:val="0"/>
                  <w:marTop w:val="0"/>
                  <w:marBottom w:val="0"/>
                  <w:divBdr>
                    <w:top w:val="none" w:sz="0" w:space="0" w:color="auto"/>
                    <w:left w:val="none" w:sz="0" w:space="0" w:color="auto"/>
                    <w:bottom w:val="none" w:sz="0" w:space="0" w:color="auto"/>
                    <w:right w:val="none" w:sz="0" w:space="0" w:color="auto"/>
                  </w:divBdr>
                  <w:divsChild>
                    <w:div w:id="645547009">
                      <w:marLeft w:val="0"/>
                      <w:marRight w:val="0"/>
                      <w:marTop w:val="0"/>
                      <w:marBottom w:val="0"/>
                      <w:divBdr>
                        <w:top w:val="none" w:sz="0" w:space="0" w:color="auto"/>
                        <w:left w:val="none" w:sz="0" w:space="0" w:color="auto"/>
                        <w:bottom w:val="none" w:sz="0" w:space="0" w:color="auto"/>
                        <w:right w:val="none" w:sz="0" w:space="0" w:color="auto"/>
                      </w:divBdr>
                      <w:divsChild>
                        <w:div w:id="1403336071">
                          <w:marLeft w:val="0"/>
                          <w:marRight w:val="0"/>
                          <w:marTop w:val="0"/>
                          <w:marBottom w:val="0"/>
                          <w:divBdr>
                            <w:top w:val="none" w:sz="0" w:space="0" w:color="auto"/>
                            <w:left w:val="none" w:sz="0" w:space="0" w:color="auto"/>
                            <w:bottom w:val="none" w:sz="0" w:space="0" w:color="auto"/>
                            <w:right w:val="none" w:sz="0" w:space="0" w:color="auto"/>
                          </w:divBdr>
                          <w:divsChild>
                            <w:div w:id="72456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ecd.org/content/dam/oecd/en/topics/policy-sub-issues/fighting-foreign-bribery/phase-4-guide-2023.pdf" TargetMode="External"/><Relationship Id="rId5" Type="http://schemas.openxmlformats.org/officeDocument/2006/relationships/hyperlink" Target="https://www.oecd.org/en/publications/2024/12/oecd-anti-bribery-convention-phase-4-two-year-follow-up-report-on-poland_545b8761.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2839</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Górzyńska Marzena  (DWMPC)</dc:creator>
  <cp:keywords/>
  <dc:description/>
  <cp:lastModifiedBy>Kisłowski Karol  (DWMPC)</cp:lastModifiedBy>
  <cp:revision>2</cp:revision>
  <dcterms:created xsi:type="dcterms:W3CDTF">2025-01-31T08:50:00Z</dcterms:created>
  <dcterms:modified xsi:type="dcterms:W3CDTF">2025-01-31T08:50:00Z</dcterms:modified>
</cp:coreProperties>
</file>