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D94CCC" w14:textId="5A881D6E" w:rsidR="008C0E92" w:rsidRPr="004D77E0" w:rsidRDefault="008C0E92" w:rsidP="008C0E92">
      <w:pPr>
        <w:jc w:val="right"/>
        <w:rPr>
          <w:rFonts w:ascii="Lato" w:hAnsi="Lato"/>
          <w:b/>
          <w:bCs/>
          <w:color w:val="00B0F0"/>
          <w:sz w:val="28"/>
          <w:szCs w:val="28"/>
        </w:rPr>
      </w:pPr>
    </w:p>
    <w:p w14:paraId="441F566B" w14:textId="78111D70" w:rsidR="0048087E" w:rsidRPr="004D77E0" w:rsidRDefault="0048087E" w:rsidP="0048087E">
      <w:pPr>
        <w:jc w:val="center"/>
        <w:rPr>
          <w:rFonts w:ascii="Lato" w:hAnsi="Lato"/>
          <w:b/>
          <w:bCs/>
          <w:color w:val="00B0F0"/>
          <w:sz w:val="36"/>
          <w:szCs w:val="36"/>
          <w:u w:val="single"/>
        </w:rPr>
      </w:pPr>
      <w:r w:rsidRPr="004D77E0">
        <w:rPr>
          <w:rFonts w:ascii="Lato" w:hAnsi="Lato"/>
          <w:b/>
          <w:bCs/>
          <w:color w:val="00B0F0"/>
          <w:sz w:val="36"/>
          <w:szCs w:val="36"/>
          <w:u w:val="single"/>
        </w:rPr>
        <w:t>PROJEKT OBWIESZCZENIA REFUNDACYJNEGO NR 80 (1 PAŹDZIERNIKA 2025 r.)</w:t>
      </w:r>
    </w:p>
    <w:p w14:paraId="014317F3" w14:textId="42100B8E" w:rsidR="0048087E" w:rsidRPr="00A733DA" w:rsidRDefault="0048087E" w:rsidP="0048087E">
      <w:pPr>
        <w:spacing w:before="240" w:after="120" w:line="360" w:lineRule="auto"/>
        <w:jc w:val="both"/>
        <w:rPr>
          <w:rFonts w:ascii="Lato" w:hAnsi="Lato"/>
        </w:rPr>
      </w:pPr>
      <w:r w:rsidRPr="004D77E0">
        <w:rPr>
          <w:rFonts w:ascii="Lato" w:hAnsi="Lato"/>
        </w:rPr>
        <w:t xml:space="preserve">Prezentowane podsumowanie projektu obwieszczenia refundacyjnego nr 80 </w:t>
      </w:r>
      <w:r w:rsidRPr="004D77E0">
        <w:rPr>
          <w:rFonts w:ascii="Lato" w:hAnsi="Lato"/>
          <w:b/>
          <w:bCs/>
        </w:rPr>
        <w:t>nie stanowi jego ostatecznej wersji</w:t>
      </w:r>
      <w:r w:rsidRPr="004D77E0">
        <w:rPr>
          <w:rFonts w:ascii="Lato" w:hAnsi="Lato"/>
        </w:rPr>
        <w:t>, bowiem nadal trwają prace administracyjne nad finalnym wykazem refundowanych leków, środków spożywczych specjalnego przeznaczenia żywieniowego oraz wyrobów medycznych obowiązującym od 1</w:t>
      </w:r>
      <w:r w:rsidR="00795B9B">
        <w:rPr>
          <w:rFonts w:ascii="Lato" w:hAnsi="Lato"/>
        </w:rPr>
        <w:t> </w:t>
      </w:r>
      <w:r w:rsidRPr="00A733DA">
        <w:rPr>
          <w:rFonts w:ascii="Lato" w:hAnsi="Lato"/>
        </w:rPr>
        <w:t xml:space="preserve">października 2025 r. </w:t>
      </w:r>
    </w:p>
    <w:p w14:paraId="05FA66ED" w14:textId="739F4194" w:rsidR="0048087E" w:rsidRPr="00A733DA" w:rsidRDefault="0048087E" w:rsidP="0048087E">
      <w:pPr>
        <w:spacing w:before="240" w:after="120" w:line="360" w:lineRule="auto"/>
        <w:jc w:val="both"/>
        <w:rPr>
          <w:rFonts w:ascii="Lato" w:hAnsi="Lato"/>
        </w:rPr>
      </w:pPr>
      <w:r w:rsidRPr="00A733DA">
        <w:rPr>
          <w:rFonts w:ascii="Lato" w:hAnsi="Lato"/>
        </w:rPr>
        <w:t xml:space="preserve">Uwzględniając niniejszy projekt, w czwartym wykazie w roku 2025, finansowaniem ze środków publicznych zostanie objętych </w:t>
      </w:r>
      <w:r w:rsidR="00B92D4D" w:rsidRPr="00A733DA">
        <w:rPr>
          <w:rFonts w:ascii="Lato" w:hAnsi="Lato"/>
          <w:b/>
          <w:bCs/>
        </w:rPr>
        <w:t>50</w:t>
      </w:r>
      <w:r w:rsidRPr="00A733DA">
        <w:rPr>
          <w:rFonts w:ascii="Lato" w:hAnsi="Lato"/>
          <w:b/>
          <w:bCs/>
        </w:rPr>
        <w:t xml:space="preserve"> nowych cząsteczko – wskazań</w:t>
      </w:r>
      <w:r w:rsidRPr="00A733DA">
        <w:rPr>
          <w:rFonts w:ascii="Lato" w:hAnsi="Lato"/>
        </w:rPr>
        <w:t>, w</w:t>
      </w:r>
      <w:r w:rsidR="00795B9B">
        <w:rPr>
          <w:rFonts w:ascii="Lato" w:hAnsi="Lato"/>
        </w:rPr>
        <w:t> </w:t>
      </w:r>
      <w:r w:rsidRPr="00A733DA">
        <w:rPr>
          <w:rFonts w:ascii="Lato" w:hAnsi="Lato"/>
        </w:rPr>
        <w:t>tym:</w:t>
      </w:r>
    </w:p>
    <w:p w14:paraId="724B3490" w14:textId="67FEFAE7" w:rsidR="0048087E" w:rsidRPr="00A733DA" w:rsidRDefault="00061904" w:rsidP="0048087E">
      <w:pPr>
        <w:pStyle w:val="Akapitzlist"/>
        <w:numPr>
          <w:ilvl w:val="0"/>
          <w:numId w:val="25"/>
        </w:numPr>
        <w:spacing w:before="240" w:after="120" w:line="360" w:lineRule="auto"/>
        <w:jc w:val="both"/>
        <w:rPr>
          <w:rFonts w:ascii="Lato" w:hAnsi="Lato"/>
        </w:rPr>
      </w:pPr>
      <w:r w:rsidRPr="00A733DA">
        <w:rPr>
          <w:rFonts w:ascii="Lato" w:hAnsi="Lato"/>
        </w:rPr>
        <w:t>22</w:t>
      </w:r>
      <w:r w:rsidR="0048087E" w:rsidRPr="00A733DA">
        <w:rPr>
          <w:rFonts w:ascii="Lato" w:hAnsi="Lato"/>
        </w:rPr>
        <w:t xml:space="preserve"> cząsteczko – wskaza</w:t>
      </w:r>
      <w:r w:rsidR="005D7E09">
        <w:rPr>
          <w:rFonts w:ascii="Lato" w:hAnsi="Lato"/>
        </w:rPr>
        <w:t>nia</w:t>
      </w:r>
      <w:r w:rsidR="0048087E" w:rsidRPr="00A733DA">
        <w:rPr>
          <w:rFonts w:ascii="Lato" w:hAnsi="Lato"/>
        </w:rPr>
        <w:t xml:space="preserve"> onkologiczn</w:t>
      </w:r>
      <w:r w:rsidR="005D7E09">
        <w:rPr>
          <w:rFonts w:ascii="Lato" w:hAnsi="Lato"/>
        </w:rPr>
        <w:t>e</w:t>
      </w:r>
      <w:r w:rsidR="0048087E" w:rsidRPr="00A733DA">
        <w:rPr>
          <w:rFonts w:ascii="Lato" w:hAnsi="Lato"/>
        </w:rPr>
        <w:t>,</w:t>
      </w:r>
    </w:p>
    <w:p w14:paraId="4A2C72ED" w14:textId="6E3A6708" w:rsidR="0048087E" w:rsidRPr="00A733DA" w:rsidRDefault="00061904" w:rsidP="0048087E">
      <w:pPr>
        <w:pStyle w:val="Akapitzlist"/>
        <w:numPr>
          <w:ilvl w:val="0"/>
          <w:numId w:val="25"/>
        </w:numPr>
        <w:spacing w:before="240" w:after="120" w:line="360" w:lineRule="auto"/>
        <w:jc w:val="both"/>
        <w:rPr>
          <w:rFonts w:ascii="Lato" w:hAnsi="Lato"/>
        </w:rPr>
      </w:pPr>
      <w:r w:rsidRPr="00A733DA">
        <w:rPr>
          <w:rFonts w:ascii="Lato" w:hAnsi="Lato"/>
        </w:rPr>
        <w:t>28</w:t>
      </w:r>
      <w:r w:rsidR="0048087E" w:rsidRPr="00A733DA">
        <w:rPr>
          <w:rFonts w:ascii="Lato" w:hAnsi="Lato"/>
        </w:rPr>
        <w:t xml:space="preserve"> cząsteczko - wskazań nieonkologicznych,</w:t>
      </w:r>
    </w:p>
    <w:p w14:paraId="2641DD5E" w14:textId="77777777" w:rsidR="0048087E" w:rsidRPr="00A733DA" w:rsidRDefault="0048087E" w:rsidP="0048087E">
      <w:pPr>
        <w:pStyle w:val="Akapitzlist"/>
        <w:numPr>
          <w:ilvl w:val="0"/>
          <w:numId w:val="25"/>
        </w:numPr>
        <w:spacing w:before="240" w:after="120" w:line="360" w:lineRule="auto"/>
        <w:jc w:val="both"/>
        <w:rPr>
          <w:rFonts w:ascii="Lato" w:hAnsi="Lato"/>
        </w:rPr>
      </w:pPr>
      <w:r w:rsidRPr="00A733DA">
        <w:rPr>
          <w:rFonts w:ascii="Lato" w:hAnsi="Lato"/>
        </w:rPr>
        <w:t>12 cząsteczko - wskazań dedykowanych chorobom rzadkim.</w:t>
      </w:r>
    </w:p>
    <w:p w14:paraId="47D62EDF" w14:textId="1FF96DB7" w:rsidR="0048087E" w:rsidRPr="004D77E0" w:rsidRDefault="0048087E" w:rsidP="0048087E">
      <w:pPr>
        <w:spacing w:before="240" w:after="120" w:line="360" w:lineRule="auto"/>
        <w:jc w:val="both"/>
        <w:rPr>
          <w:rFonts w:ascii="Lato" w:hAnsi="Lato"/>
          <w:b/>
          <w:bCs/>
          <w:u w:val="single"/>
        </w:rPr>
      </w:pPr>
      <w:r w:rsidRPr="004D77E0">
        <w:rPr>
          <w:rFonts w:ascii="Lato" w:hAnsi="Lato"/>
          <w:b/>
          <w:bCs/>
          <w:u w:val="single"/>
        </w:rPr>
        <w:t>Z uwagi na trwające prace formalno-prawne oraz merytoryczne w zakresie opracowania ostatecznych treści programów lekowych, projekt obwieszczenia refundacyjnego nr 80 nie uwzględnia wszystkich nowych terapii, które ujęto w poniższym zestawieniu.</w:t>
      </w:r>
    </w:p>
    <w:p w14:paraId="6B466A0C" w14:textId="77777777" w:rsidR="004D093B" w:rsidRPr="004D77E0" w:rsidRDefault="004D093B">
      <w:pPr>
        <w:suppressAutoHyphens w:val="0"/>
        <w:rPr>
          <w:rFonts w:ascii="Lato" w:hAnsi="Lato"/>
          <w:sz w:val="24"/>
          <w:szCs w:val="24"/>
        </w:rPr>
      </w:pPr>
      <w:r w:rsidRPr="004D77E0">
        <w:rPr>
          <w:rFonts w:ascii="Lato" w:hAnsi="Lato"/>
          <w:sz w:val="24"/>
          <w:szCs w:val="24"/>
        </w:rPr>
        <w:br w:type="page"/>
      </w:r>
    </w:p>
    <w:p w14:paraId="06A06678" w14:textId="7D136BFD" w:rsidR="00AD08C5" w:rsidRPr="004D77E0" w:rsidRDefault="006A7DCE" w:rsidP="005058F2">
      <w:pPr>
        <w:jc w:val="center"/>
        <w:rPr>
          <w:rFonts w:ascii="Lato" w:hAnsi="Lato"/>
          <w:b/>
          <w:bCs/>
          <w:color w:val="00B0F0"/>
          <w:sz w:val="28"/>
          <w:szCs w:val="28"/>
        </w:rPr>
      </w:pPr>
      <w:r w:rsidRPr="004D77E0">
        <w:rPr>
          <w:rFonts w:ascii="Lato" w:hAnsi="Lato"/>
          <w:b/>
          <w:bCs/>
          <w:color w:val="00B0F0"/>
          <w:sz w:val="28"/>
          <w:szCs w:val="28"/>
        </w:rPr>
        <w:lastRenderedPageBreak/>
        <w:t>NOWE WSKAZANIA ORAZ ZMIANY W PROGRA</w:t>
      </w:r>
      <w:bookmarkStart w:id="0" w:name="_Hlk95686308"/>
      <w:r w:rsidRPr="004D77E0">
        <w:rPr>
          <w:rFonts w:ascii="Lato" w:hAnsi="Lato"/>
          <w:b/>
          <w:bCs/>
          <w:color w:val="00B0F0"/>
          <w:sz w:val="28"/>
          <w:szCs w:val="28"/>
        </w:rPr>
        <w:t>M</w:t>
      </w:r>
      <w:bookmarkEnd w:id="0"/>
      <w:r w:rsidRPr="004D77E0">
        <w:rPr>
          <w:rFonts w:ascii="Lato" w:hAnsi="Lato"/>
          <w:b/>
          <w:bCs/>
          <w:color w:val="00B0F0"/>
          <w:sz w:val="28"/>
          <w:szCs w:val="28"/>
        </w:rPr>
        <w:t>ACH LEKOWYCH</w:t>
      </w:r>
      <w:r w:rsidR="0056748F" w:rsidRPr="004D77E0">
        <w:rPr>
          <w:rFonts w:ascii="Lato" w:hAnsi="Lato"/>
          <w:b/>
          <w:bCs/>
          <w:color w:val="00B0F0"/>
          <w:sz w:val="28"/>
          <w:szCs w:val="28"/>
        </w:rPr>
        <w:t xml:space="preserve"> i CHEMIOTERAPII</w:t>
      </w:r>
    </w:p>
    <w:tbl>
      <w:tblPr>
        <w:tblW w:w="5000" w:type="pct"/>
        <w:tblCellMar>
          <w:top w:w="113" w:type="dxa"/>
          <w:left w:w="10" w:type="dxa"/>
          <w:bottom w:w="113" w:type="dxa"/>
          <w:right w:w="10" w:type="dxa"/>
        </w:tblCellMar>
        <w:tblLook w:val="0000" w:firstRow="0" w:lastRow="0" w:firstColumn="0" w:lastColumn="0" w:noHBand="0" w:noVBand="0"/>
      </w:tblPr>
      <w:tblGrid>
        <w:gridCol w:w="533"/>
        <w:gridCol w:w="1477"/>
        <w:gridCol w:w="1944"/>
        <w:gridCol w:w="1867"/>
        <w:gridCol w:w="3390"/>
        <w:gridCol w:w="6171"/>
      </w:tblGrid>
      <w:tr w:rsidR="005058F2" w:rsidRPr="004D77E0" w14:paraId="7E2E9B6A" w14:textId="77777777" w:rsidTr="004D093B">
        <w:trPr>
          <w:cantSplit/>
          <w:trHeight w:val="186"/>
        </w:trPr>
        <w:tc>
          <w:tcPr>
            <w:tcW w:w="500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94C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87C9CE" w14:textId="77777777" w:rsidR="005058F2" w:rsidRPr="004D77E0" w:rsidRDefault="005058F2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FFFFFF"/>
              </w:rPr>
            </w:pPr>
            <w:r w:rsidRPr="004D77E0">
              <w:rPr>
                <w:rFonts w:ascii="Lato" w:hAnsi="Lato" w:cstheme="majorHAnsi"/>
                <w:b/>
                <w:bCs/>
                <w:color w:val="FFFFFF"/>
              </w:rPr>
              <w:t>Programy lekowe i chemioterapia</w:t>
            </w:r>
          </w:p>
        </w:tc>
      </w:tr>
      <w:tr w:rsidR="005058F2" w:rsidRPr="004D77E0" w14:paraId="1C096482" w14:textId="77777777" w:rsidTr="004D093B">
        <w:trPr>
          <w:cantSplit/>
          <w:trHeight w:val="206"/>
        </w:trPr>
        <w:tc>
          <w:tcPr>
            <w:tcW w:w="5000" w:type="pct"/>
            <w:gridSpan w:val="6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0D3F6C" w14:textId="047D7715" w:rsidR="005058F2" w:rsidRPr="004D77E0" w:rsidRDefault="005058F2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FFFFFF"/>
              </w:rPr>
            </w:pPr>
            <w:r w:rsidRPr="004D77E0">
              <w:rPr>
                <w:rFonts w:ascii="Lato" w:hAnsi="Lato" w:cstheme="majorHAnsi"/>
                <w:b/>
                <w:bCs/>
                <w:color w:val="FFFFFF"/>
              </w:rPr>
              <w:t>Nowe wskazania onkologiczne</w:t>
            </w:r>
          </w:p>
        </w:tc>
      </w:tr>
      <w:tr w:rsidR="006D7964" w:rsidRPr="004D77E0" w14:paraId="60CDF2D4" w14:textId="77777777" w:rsidTr="00F453C2">
        <w:trPr>
          <w:cantSplit/>
          <w:trHeight w:val="20"/>
        </w:trPr>
        <w:tc>
          <w:tcPr>
            <w:tcW w:w="1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618D0B" w14:textId="77777777" w:rsidR="005058F2" w:rsidRPr="004D77E0" w:rsidRDefault="005058F2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Lp.</w:t>
            </w:r>
          </w:p>
        </w:tc>
        <w:tc>
          <w:tcPr>
            <w:tcW w:w="4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6CB337" w14:textId="77777777" w:rsidR="005058F2" w:rsidRPr="004D77E0" w:rsidRDefault="005058F2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Nazwa leku</w:t>
            </w:r>
          </w:p>
        </w:tc>
        <w:tc>
          <w:tcPr>
            <w:tcW w:w="6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24251E" w14:textId="77777777" w:rsidR="005058F2" w:rsidRPr="004D77E0" w:rsidRDefault="005058F2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Substancja czynna</w:t>
            </w:r>
          </w:p>
        </w:tc>
        <w:tc>
          <w:tcPr>
            <w:tcW w:w="6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B0A519" w14:textId="77777777" w:rsidR="005058F2" w:rsidRPr="004D77E0" w:rsidRDefault="005058F2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Numer programu lekowego/załącznika chemioterapii</w:t>
            </w:r>
          </w:p>
        </w:tc>
        <w:tc>
          <w:tcPr>
            <w:tcW w:w="11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BA8893" w14:textId="77777777" w:rsidR="005058F2" w:rsidRPr="004D77E0" w:rsidRDefault="005058F2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Nazwa programu lekowego/ Załącznika chemioterapii</w:t>
            </w:r>
          </w:p>
        </w:tc>
        <w:tc>
          <w:tcPr>
            <w:tcW w:w="20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164232" w14:textId="77777777" w:rsidR="005058F2" w:rsidRPr="004D77E0" w:rsidRDefault="005058F2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Doprecyzowanie wskazania</w:t>
            </w:r>
          </w:p>
        </w:tc>
      </w:tr>
      <w:tr w:rsidR="001321BE" w:rsidRPr="004D77E0" w14:paraId="1F4280B1" w14:textId="77777777" w:rsidTr="00F453C2">
        <w:trPr>
          <w:cantSplit/>
          <w:trHeight w:val="20"/>
        </w:trPr>
        <w:tc>
          <w:tcPr>
            <w:tcW w:w="1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E9A6C0" w14:textId="2270F3EE" w:rsidR="001321BE" w:rsidRPr="004D77E0" w:rsidRDefault="001321BE" w:rsidP="001321B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>1</w:t>
            </w:r>
            <w:r w:rsidR="007D3AA2"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</w:p>
        </w:tc>
        <w:tc>
          <w:tcPr>
            <w:tcW w:w="4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AEF7A1" w14:textId="6EC507FD" w:rsidR="001321BE" w:rsidRPr="004D77E0" w:rsidRDefault="001321BE" w:rsidP="001321B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b/>
                <w:bCs/>
                <w:sz w:val="18"/>
                <w:szCs w:val="18"/>
              </w:rPr>
              <w:t>Fruzaqla</w:t>
            </w:r>
          </w:p>
        </w:tc>
        <w:tc>
          <w:tcPr>
            <w:tcW w:w="6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5EBA34" w14:textId="17D05977" w:rsidR="001321BE" w:rsidRPr="004D77E0" w:rsidRDefault="001321BE" w:rsidP="001321BE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i/>
                <w:iCs/>
                <w:sz w:val="18"/>
                <w:szCs w:val="18"/>
              </w:rPr>
              <w:t>frukwintynib</w:t>
            </w:r>
          </w:p>
        </w:tc>
        <w:tc>
          <w:tcPr>
            <w:tcW w:w="6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1A00C8" w14:textId="0AA97818" w:rsidR="001321BE" w:rsidRPr="004D77E0" w:rsidRDefault="001321BE" w:rsidP="001321B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sz w:val="18"/>
                <w:szCs w:val="18"/>
              </w:rPr>
              <w:t>B.4</w:t>
            </w:r>
          </w:p>
        </w:tc>
        <w:tc>
          <w:tcPr>
            <w:tcW w:w="11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9CD2B8" w14:textId="6D2107BA" w:rsidR="001321BE" w:rsidRPr="004D77E0" w:rsidRDefault="001321BE" w:rsidP="001321B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sz w:val="18"/>
                <w:szCs w:val="18"/>
              </w:rPr>
              <w:t>LECZENIE CHORYCH NA RAKA JELITA GRUBEGO (ICD-10: C18 – C20)</w:t>
            </w:r>
          </w:p>
        </w:tc>
        <w:tc>
          <w:tcPr>
            <w:tcW w:w="20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4CC36C" w14:textId="27326621" w:rsidR="001321BE" w:rsidRPr="004D77E0" w:rsidRDefault="001321BE" w:rsidP="001321B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>Leczenie frukwintynibem w monoterapii dorosłych pacjentów z zaawansowanym rakiem elita grubego, po udokumentowanej nieskuteczności chemioterapii opartej na fluoropirymidynie, oksaliplatynie i irynotekanie, lekach anty-VEGF, lekach anty-EGFR oraz triflurydynie z typiracylem lub regorafenibie (III lub kolejne linie leczenia).</w:t>
            </w:r>
          </w:p>
        </w:tc>
      </w:tr>
      <w:tr w:rsidR="00661BA2" w:rsidRPr="004D77E0" w14:paraId="4EA5D316" w14:textId="77777777" w:rsidTr="00F453C2">
        <w:trPr>
          <w:cantSplit/>
          <w:trHeight w:val="20"/>
        </w:trPr>
        <w:tc>
          <w:tcPr>
            <w:tcW w:w="1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2A5E8E" w14:textId="0623A29F" w:rsidR="00661BA2" w:rsidRPr="004D77E0" w:rsidRDefault="00661BA2" w:rsidP="00661BA2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>2.</w:t>
            </w:r>
          </w:p>
        </w:tc>
        <w:tc>
          <w:tcPr>
            <w:tcW w:w="4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7A3346" w14:textId="2F64A365" w:rsidR="00661BA2" w:rsidRPr="004D77E0" w:rsidRDefault="00661BA2" w:rsidP="00661BA2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b/>
                <w:bCs/>
                <w:sz w:val="18"/>
                <w:szCs w:val="18"/>
              </w:rPr>
              <w:t>Tagrisso</w:t>
            </w:r>
          </w:p>
        </w:tc>
        <w:tc>
          <w:tcPr>
            <w:tcW w:w="6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0DB510" w14:textId="42DD291E" w:rsidR="00661BA2" w:rsidRPr="004D77E0" w:rsidRDefault="00661BA2" w:rsidP="00661BA2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i/>
                <w:iCs/>
                <w:sz w:val="18"/>
                <w:szCs w:val="18"/>
              </w:rPr>
              <w:t>ozymertynib</w:t>
            </w:r>
          </w:p>
        </w:tc>
        <w:tc>
          <w:tcPr>
            <w:tcW w:w="6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E7D5DE" w14:textId="397F2C0E" w:rsidR="00661BA2" w:rsidRPr="004D77E0" w:rsidRDefault="00661BA2" w:rsidP="00661BA2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sz w:val="18"/>
                <w:szCs w:val="18"/>
              </w:rPr>
              <w:t>B.6</w:t>
            </w:r>
          </w:p>
        </w:tc>
        <w:tc>
          <w:tcPr>
            <w:tcW w:w="11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048230" w14:textId="5EC9EBDA" w:rsidR="00661BA2" w:rsidRPr="004D77E0" w:rsidRDefault="00661BA2" w:rsidP="00661BA2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sz w:val="18"/>
                <w:szCs w:val="18"/>
              </w:rPr>
              <w:t>LECZENIE CHORYCH NA RAKA PŁUCA (ICD-10: C34) ORAZ MIĘDZYBŁONIAKA OPŁUCNEJ (ICD-10: C45)</w:t>
            </w:r>
          </w:p>
        </w:tc>
        <w:tc>
          <w:tcPr>
            <w:tcW w:w="20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032B6E" w14:textId="0369F113" w:rsidR="00661BA2" w:rsidRPr="004D77E0" w:rsidRDefault="00661BA2" w:rsidP="00661BA2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sz w:val="18"/>
                <w:szCs w:val="18"/>
              </w:rPr>
              <w:t>Leczenie konsolidujące</w:t>
            </w: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dorosłych</w:t>
            </w:r>
            <w:r w:rsidRPr="004D77E0">
              <w:rPr>
                <w:rFonts w:ascii="Lato" w:hAnsi="Lato" w:cstheme="majorHAnsi"/>
                <w:sz w:val="18"/>
                <w:szCs w:val="18"/>
              </w:rPr>
              <w:t xml:space="preserve"> pacjentów z miejscowo zaawansowanym, nieoperacyjnym niedrobnokomórkowym rakiem płuca, u których występuje mutacja delecji w eksonie 19 lub substytucji L858R w eksonie 21 genu EGFR, i u których nie doszło do progresji choroby w trakcie lub po zakończeniu chemioradioterapii opartej na pochodnych platyny. </w:t>
            </w:r>
          </w:p>
        </w:tc>
      </w:tr>
      <w:tr w:rsidR="00661BA2" w:rsidRPr="004D77E0" w14:paraId="5A345E23" w14:textId="77777777" w:rsidTr="00F453C2">
        <w:trPr>
          <w:cantSplit/>
          <w:trHeight w:val="20"/>
        </w:trPr>
        <w:tc>
          <w:tcPr>
            <w:tcW w:w="1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D0E88B" w14:textId="20226FB3" w:rsidR="00661BA2" w:rsidRPr="004D77E0" w:rsidRDefault="00661BA2" w:rsidP="00661BA2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sz w:val="18"/>
                <w:szCs w:val="18"/>
              </w:rPr>
              <w:t>3.</w:t>
            </w:r>
          </w:p>
        </w:tc>
        <w:tc>
          <w:tcPr>
            <w:tcW w:w="4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76100A" w14:textId="405A16A2" w:rsidR="00661BA2" w:rsidRPr="004D77E0" w:rsidRDefault="00661BA2" w:rsidP="00661BA2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Kisqali</w:t>
            </w:r>
          </w:p>
        </w:tc>
        <w:tc>
          <w:tcPr>
            <w:tcW w:w="6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5206B5" w14:textId="5B232A61" w:rsidR="00661BA2" w:rsidRPr="004D77E0" w:rsidRDefault="00661BA2" w:rsidP="00661BA2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rybocyklib</w:t>
            </w:r>
          </w:p>
        </w:tc>
        <w:tc>
          <w:tcPr>
            <w:tcW w:w="6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D814A2" w14:textId="6F1DA9CC" w:rsidR="00661BA2" w:rsidRPr="004D77E0" w:rsidRDefault="00661BA2" w:rsidP="00661BA2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>B.9.FM</w:t>
            </w:r>
          </w:p>
        </w:tc>
        <w:tc>
          <w:tcPr>
            <w:tcW w:w="11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9C849D" w14:textId="6007D9CA" w:rsidR="00661BA2" w:rsidRPr="004D77E0" w:rsidRDefault="00661BA2" w:rsidP="00661BA2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>LECZENIE CHORYCH NA RAKA PIERSI (ICD-10: C50)</w:t>
            </w:r>
          </w:p>
        </w:tc>
        <w:tc>
          <w:tcPr>
            <w:tcW w:w="20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9834F5" w14:textId="283AFCC4" w:rsidR="00661BA2" w:rsidRPr="004D77E0" w:rsidRDefault="00661BA2" w:rsidP="00661BA2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Leczenie uzupełniające (adjuwantowe) rybocyklibem w skojarzeniu z inhibitorem aromatazy dorosłych pacjentów z wczesnym HR-dodatnim, HER2-ujemnym rakiem piersi. </w:t>
            </w:r>
          </w:p>
        </w:tc>
      </w:tr>
      <w:tr w:rsidR="00661BA2" w:rsidRPr="004D77E0" w14:paraId="2F304C7B" w14:textId="77777777" w:rsidTr="00F453C2">
        <w:trPr>
          <w:cantSplit/>
          <w:trHeight w:val="20"/>
        </w:trPr>
        <w:tc>
          <w:tcPr>
            <w:tcW w:w="1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F3EF10" w14:textId="6423F9DF" w:rsidR="00661BA2" w:rsidRPr="004D77E0" w:rsidRDefault="00661BA2" w:rsidP="00661BA2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sz w:val="18"/>
                <w:szCs w:val="18"/>
              </w:rPr>
              <w:t>4.</w:t>
            </w:r>
          </w:p>
        </w:tc>
        <w:tc>
          <w:tcPr>
            <w:tcW w:w="4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270B9C" w14:textId="79FFB1A2" w:rsidR="00661BA2" w:rsidRPr="004D77E0" w:rsidRDefault="00661BA2" w:rsidP="00661BA2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Phesqo</w:t>
            </w:r>
          </w:p>
        </w:tc>
        <w:tc>
          <w:tcPr>
            <w:tcW w:w="6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4E8A29" w14:textId="77777777" w:rsidR="00661BA2" w:rsidRPr="004D77E0" w:rsidRDefault="00661BA2" w:rsidP="00661BA2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pertuzumab + trastuzumab</w:t>
            </w:r>
          </w:p>
          <w:p w14:paraId="61F52E7F" w14:textId="1D173FE8" w:rsidR="00661BA2" w:rsidRPr="004D77E0" w:rsidRDefault="00661BA2" w:rsidP="00661BA2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>(do podań podskórnych, s.c.)</w:t>
            </w:r>
          </w:p>
        </w:tc>
        <w:tc>
          <w:tcPr>
            <w:tcW w:w="6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059B47" w14:textId="1FFB682C" w:rsidR="00661BA2" w:rsidRPr="004D77E0" w:rsidRDefault="00661BA2" w:rsidP="00661BA2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>B.9.FM</w:t>
            </w:r>
          </w:p>
        </w:tc>
        <w:tc>
          <w:tcPr>
            <w:tcW w:w="11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229DCD" w14:textId="0AD81F01" w:rsidR="00661BA2" w:rsidRPr="004D77E0" w:rsidRDefault="00661BA2" w:rsidP="00661BA2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>LECZENIE CHORYCH NA RAKA PIERSI (ICD-10: C50)</w:t>
            </w:r>
          </w:p>
        </w:tc>
        <w:tc>
          <w:tcPr>
            <w:tcW w:w="20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0CA559" w14:textId="202A13A0" w:rsidR="00661BA2" w:rsidRPr="004D77E0" w:rsidRDefault="00661BA2" w:rsidP="00661BA2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>Leczenie dorosłych pacjentów na HER2 dodatniego raka piersi w formie podań podskórnych:</w:t>
            </w: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br/>
              <w:t>- przedoperacyjne (neoadjuwantowe) raka piersi pertuzumabem w skojarzeniu z trastuzumabem i chemioterapią.</w:t>
            </w:r>
            <w:r w:rsidRPr="004D77E0">
              <w:rPr>
                <w:rFonts w:ascii="Arial" w:hAnsi="Arial" w:cs="Arial"/>
                <w:color w:val="000000"/>
                <w:sz w:val="18"/>
                <w:szCs w:val="18"/>
              </w:rPr>
              <w:t>​</w:t>
            </w:r>
            <w:r w:rsidRPr="00F453C2">
              <w:rPr>
                <w:rFonts w:ascii="Lato" w:hAnsi="Lato" w:cs="Arial"/>
                <w:color w:val="000000"/>
                <w:sz w:val="18"/>
                <w:szCs w:val="18"/>
              </w:rPr>
              <w:t xml:space="preserve"> </w:t>
            </w:r>
            <w:r w:rsidRPr="00F453C2">
              <w:rPr>
                <w:rFonts w:ascii="Lato" w:hAnsi="Lato" w:cs="Arial"/>
                <w:color w:val="000000"/>
                <w:sz w:val="18"/>
                <w:szCs w:val="18"/>
              </w:rPr>
              <w:br/>
            </w: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- przerzutowego raka piersi pertuzumabem w skojarzeniu z trastuzumabem i docetakselem w I linia leczenia przerzutowego raka piersi. </w:t>
            </w:r>
          </w:p>
        </w:tc>
      </w:tr>
      <w:tr w:rsidR="00661BA2" w:rsidRPr="004D77E0" w14:paraId="41B567AC" w14:textId="77777777" w:rsidTr="00F453C2">
        <w:trPr>
          <w:cantSplit/>
          <w:trHeight w:val="20"/>
        </w:trPr>
        <w:tc>
          <w:tcPr>
            <w:tcW w:w="1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30FECB" w14:textId="5335C3AA" w:rsidR="00661BA2" w:rsidRPr="004D77E0" w:rsidRDefault="00661BA2" w:rsidP="00661BA2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sz w:val="18"/>
                <w:szCs w:val="18"/>
              </w:rPr>
              <w:t>5.</w:t>
            </w:r>
          </w:p>
        </w:tc>
        <w:tc>
          <w:tcPr>
            <w:tcW w:w="4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ABA0DD" w14:textId="093FA5B0" w:rsidR="00661BA2" w:rsidRPr="004D77E0" w:rsidRDefault="00661BA2" w:rsidP="00661BA2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Truqap</w:t>
            </w:r>
          </w:p>
        </w:tc>
        <w:tc>
          <w:tcPr>
            <w:tcW w:w="6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472683" w14:textId="69C40C21" w:rsidR="00661BA2" w:rsidRPr="004D77E0" w:rsidRDefault="00661BA2" w:rsidP="00661BA2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kapiwasertyb</w:t>
            </w:r>
          </w:p>
        </w:tc>
        <w:tc>
          <w:tcPr>
            <w:tcW w:w="6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9D3C78" w14:textId="21123ADC" w:rsidR="00661BA2" w:rsidRPr="004D77E0" w:rsidRDefault="00661BA2" w:rsidP="00661BA2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>B.9.FM</w:t>
            </w:r>
          </w:p>
        </w:tc>
        <w:tc>
          <w:tcPr>
            <w:tcW w:w="11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258902" w14:textId="5368E0D6" w:rsidR="00661BA2" w:rsidRPr="004D77E0" w:rsidRDefault="00661BA2" w:rsidP="00661BA2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>LECZENIE CHORYCH NA RAKA PIERSI (ICD-10: C50)</w:t>
            </w:r>
          </w:p>
        </w:tc>
        <w:tc>
          <w:tcPr>
            <w:tcW w:w="20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05DB27" w14:textId="3E1A8F01" w:rsidR="00661BA2" w:rsidRPr="004D77E0" w:rsidRDefault="00661BA2" w:rsidP="00661BA2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>Leczenie II lub III linii leczenia w skojarzeniu z fulwestrantem,  u dorosłych pacjentów na miejscowo zaawansowanego lub przerzutowego raka piersi hormonozależnego, HER2-ujemnego, z co najmniej jedną zmianą w genach PIK3CA/AKT1/PTEN.</w:t>
            </w:r>
          </w:p>
        </w:tc>
      </w:tr>
      <w:tr w:rsidR="00661BA2" w:rsidRPr="004D77E0" w14:paraId="4193F70D" w14:textId="77777777" w:rsidTr="00F453C2">
        <w:trPr>
          <w:cantSplit/>
          <w:trHeight w:val="20"/>
        </w:trPr>
        <w:tc>
          <w:tcPr>
            <w:tcW w:w="1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00FFFD" w14:textId="50A040ED" w:rsidR="00661BA2" w:rsidRPr="004D77E0" w:rsidRDefault="00661BA2" w:rsidP="00661BA2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sz w:val="18"/>
                <w:szCs w:val="18"/>
              </w:rPr>
              <w:t>6.</w:t>
            </w:r>
          </w:p>
        </w:tc>
        <w:tc>
          <w:tcPr>
            <w:tcW w:w="4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697AD5" w14:textId="3419363F" w:rsidR="00661BA2" w:rsidRPr="004D77E0" w:rsidRDefault="00661BA2" w:rsidP="00661BA2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b/>
                <w:bCs/>
                <w:sz w:val="18"/>
                <w:szCs w:val="18"/>
              </w:rPr>
              <w:t>Trodelvy</w:t>
            </w:r>
          </w:p>
        </w:tc>
        <w:tc>
          <w:tcPr>
            <w:tcW w:w="6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9A02D7" w14:textId="4642CEA7" w:rsidR="00661BA2" w:rsidRPr="004D77E0" w:rsidRDefault="00661BA2" w:rsidP="00661BA2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i/>
                <w:iCs/>
                <w:sz w:val="18"/>
                <w:szCs w:val="18"/>
              </w:rPr>
              <w:t>Sacytuzumab gowitekan</w:t>
            </w:r>
          </w:p>
        </w:tc>
        <w:tc>
          <w:tcPr>
            <w:tcW w:w="6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6BB432" w14:textId="0BFEA640" w:rsidR="00661BA2" w:rsidRPr="004D77E0" w:rsidRDefault="00661BA2" w:rsidP="00661BA2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>B.9.FM</w:t>
            </w:r>
          </w:p>
        </w:tc>
        <w:tc>
          <w:tcPr>
            <w:tcW w:w="11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EC9D95" w14:textId="433CA6F6" w:rsidR="00661BA2" w:rsidRPr="004D77E0" w:rsidRDefault="00661BA2" w:rsidP="00661BA2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>LECZENIE CHORYCH NA RAKA PIERSI (ICD-10: C50)</w:t>
            </w:r>
          </w:p>
        </w:tc>
        <w:tc>
          <w:tcPr>
            <w:tcW w:w="20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66388A" w14:textId="08DE10AD" w:rsidR="00661BA2" w:rsidRPr="004D77E0" w:rsidRDefault="00661BA2" w:rsidP="00661BA2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sz w:val="18"/>
                <w:szCs w:val="18"/>
              </w:rPr>
              <w:t xml:space="preserve">Leczenie  od III lub IV linii w monoterapii </w:t>
            </w: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>dorosłych</w:t>
            </w:r>
            <w:r w:rsidRPr="004D77E0">
              <w:rPr>
                <w:rFonts w:ascii="Lato" w:hAnsi="Lato" w:cstheme="majorHAnsi"/>
                <w:sz w:val="18"/>
                <w:szCs w:val="18"/>
              </w:rPr>
              <w:t xml:space="preserve"> pacjentów na przerzutowego lub miejscowo zawansowanego (gdy radykalne leczenie miejscowe jest nieskuteczne lub niemożliwe do zastosowania) HER-2 ujemnego raka piersi.</w:t>
            </w:r>
          </w:p>
        </w:tc>
      </w:tr>
      <w:tr w:rsidR="00661BA2" w:rsidRPr="004D77E0" w14:paraId="34137848" w14:textId="77777777" w:rsidTr="00F453C2">
        <w:trPr>
          <w:cantSplit/>
          <w:trHeight w:val="20"/>
        </w:trPr>
        <w:tc>
          <w:tcPr>
            <w:tcW w:w="1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6B03C1" w14:textId="2EE79AB7" w:rsidR="00661BA2" w:rsidRPr="004D77E0" w:rsidRDefault="00661BA2" w:rsidP="00661BA2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sz w:val="18"/>
                <w:szCs w:val="18"/>
              </w:rPr>
              <w:lastRenderedPageBreak/>
              <w:t>7.</w:t>
            </w:r>
          </w:p>
        </w:tc>
        <w:tc>
          <w:tcPr>
            <w:tcW w:w="4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7BE305" w14:textId="4A326023" w:rsidR="00661BA2" w:rsidRPr="004D77E0" w:rsidRDefault="00661BA2" w:rsidP="00661BA2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Elahere</w:t>
            </w:r>
          </w:p>
        </w:tc>
        <w:tc>
          <w:tcPr>
            <w:tcW w:w="6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C123D5" w14:textId="099F0DC3" w:rsidR="00661BA2" w:rsidRPr="004D77E0" w:rsidRDefault="00661BA2" w:rsidP="00661BA2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mirwetuksymab sorawtanzyna</w:t>
            </w:r>
          </w:p>
        </w:tc>
        <w:tc>
          <w:tcPr>
            <w:tcW w:w="6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88ADAB" w14:textId="35DFACA9" w:rsidR="00661BA2" w:rsidRPr="004D77E0" w:rsidRDefault="00661BA2" w:rsidP="00661BA2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>B.50</w:t>
            </w:r>
          </w:p>
        </w:tc>
        <w:tc>
          <w:tcPr>
            <w:tcW w:w="11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7B6CBD" w14:textId="60EF996C" w:rsidR="00661BA2" w:rsidRPr="004D77E0" w:rsidRDefault="00661BA2" w:rsidP="00661BA2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>LECZENIE CHORYCH NA RAKA JAJNIKA, RAKA JAJOWODU LUB RAKA OTRZEWNEJ (ICD-10: C56, C57, C48)</w:t>
            </w:r>
          </w:p>
        </w:tc>
        <w:tc>
          <w:tcPr>
            <w:tcW w:w="20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DDAFC1" w14:textId="77777777" w:rsidR="00661BA2" w:rsidRPr="004D77E0" w:rsidRDefault="00661BA2" w:rsidP="00661BA2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>Leczenie w monoterapii, dorosłych pacjentek z opornym na platynę, surowiczym, o wysokim stopniu złośliwości nabłonkowym rakiem jajnika, rakiem jajowodu lub pierwotnym rakiem otrzewnej z dodatnim receptorem folianowym alfa (FR</w:t>
            </w:r>
            <w:r w:rsidRPr="004D77E0">
              <w:rPr>
                <w:rFonts w:cs="Calibri"/>
                <w:color w:val="000000"/>
                <w:sz w:val="18"/>
                <w:szCs w:val="18"/>
              </w:rPr>
              <w:t>α</w:t>
            </w: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>), kt</w:t>
            </w:r>
            <w:r w:rsidRPr="004D77E0">
              <w:rPr>
                <w:rFonts w:ascii="Lato" w:hAnsi="Lato" w:cs="Lato"/>
                <w:color w:val="000000"/>
                <w:sz w:val="18"/>
                <w:szCs w:val="18"/>
              </w:rPr>
              <w:t>ó</w:t>
            </w: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>re otrzyma</w:t>
            </w:r>
            <w:r w:rsidRPr="004D77E0">
              <w:rPr>
                <w:rFonts w:ascii="Lato" w:hAnsi="Lato" w:cs="Lato"/>
                <w:color w:val="000000"/>
                <w:sz w:val="18"/>
                <w:szCs w:val="18"/>
              </w:rPr>
              <w:t>ł</w:t>
            </w: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>y wcze</w:t>
            </w:r>
            <w:r w:rsidRPr="004D77E0">
              <w:rPr>
                <w:rFonts w:ascii="Lato" w:hAnsi="Lato" w:cs="Lato"/>
                <w:color w:val="000000"/>
                <w:sz w:val="18"/>
                <w:szCs w:val="18"/>
              </w:rPr>
              <w:t>ś</w:t>
            </w: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>niej od jednego do trzech schemat</w:t>
            </w:r>
            <w:r w:rsidRPr="004D77E0">
              <w:rPr>
                <w:rFonts w:ascii="Lato" w:hAnsi="Lato" w:cs="Lato"/>
                <w:color w:val="000000"/>
                <w:sz w:val="18"/>
                <w:szCs w:val="18"/>
              </w:rPr>
              <w:t>ó</w:t>
            </w: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>w leczenia systemowego.</w:t>
            </w:r>
          </w:p>
          <w:p w14:paraId="75074C9F" w14:textId="3289882B" w:rsidR="00661BA2" w:rsidRPr="004D77E0" w:rsidRDefault="00661BA2" w:rsidP="00661BA2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 xml:space="preserve">(Technologia lekowa o wysokim </w:t>
            </w:r>
            <w:r w:rsidR="0048087E" w:rsidRPr="004D77E0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poziomie</w:t>
            </w:r>
            <w:r w:rsidRPr="004D77E0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 xml:space="preserve"> innowacyjności)</w:t>
            </w:r>
          </w:p>
        </w:tc>
      </w:tr>
      <w:tr w:rsidR="00661BA2" w:rsidRPr="004D77E0" w14:paraId="79F6918C" w14:textId="77777777" w:rsidTr="00F453C2">
        <w:trPr>
          <w:cantSplit/>
          <w:trHeight w:val="20"/>
        </w:trPr>
        <w:tc>
          <w:tcPr>
            <w:tcW w:w="1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8E9E07" w14:textId="0627376D" w:rsidR="00661BA2" w:rsidRPr="004D77E0" w:rsidRDefault="00661BA2" w:rsidP="00661BA2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sz w:val="18"/>
                <w:szCs w:val="18"/>
              </w:rPr>
              <w:t>8.</w:t>
            </w:r>
          </w:p>
        </w:tc>
        <w:tc>
          <w:tcPr>
            <w:tcW w:w="4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516304" w14:textId="0BA04EFE" w:rsidR="00661BA2" w:rsidRPr="004D77E0" w:rsidRDefault="00661BA2" w:rsidP="00661BA2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Enhertu</w:t>
            </w:r>
          </w:p>
        </w:tc>
        <w:tc>
          <w:tcPr>
            <w:tcW w:w="6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503638" w14:textId="200319E7" w:rsidR="00661BA2" w:rsidRPr="004D77E0" w:rsidRDefault="00661BA2" w:rsidP="00661BA2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trastuzumab derukstekan</w:t>
            </w:r>
          </w:p>
        </w:tc>
        <w:tc>
          <w:tcPr>
            <w:tcW w:w="6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3CCACC" w14:textId="32056C2A" w:rsidR="00661BA2" w:rsidRPr="004D77E0" w:rsidRDefault="00661BA2" w:rsidP="00661BA2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>B.58</w:t>
            </w:r>
          </w:p>
        </w:tc>
        <w:tc>
          <w:tcPr>
            <w:tcW w:w="11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3CE6BF" w14:textId="15135868" w:rsidR="00661BA2" w:rsidRPr="004D77E0" w:rsidRDefault="00661BA2" w:rsidP="00661BA2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>LECZENIE CHORYCH NA RAKA PRZEŁYKU, POŁĄCZENIA ŻOŁĄDKOWO-PRZEŁYKOWEGO I ŻOŁĄDKA (ICD-10: C15-C16)</w:t>
            </w:r>
          </w:p>
        </w:tc>
        <w:tc>
          <w:tcPr>
            <w:tcW w:w="20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6D2A24" w14:textId="22335CC2" w:rsidR="00661BA2" w:rsidRPr="004D77E0" w:rsidRDefault="00661BA2" w:rsidP="00661BA2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>Leczenie trastuzumabem derukstekanem w monoterapii dorosłych pacjentów z HER2 dodatnim zaawansowanym gruczolakorakiem żołądka lub połączenia żołądkowo-przełykowego, którzy otrzymali wcześniej schemat leczenia oparty na trastuzumabie (II lub kolejne linie leczenia).</w:t>
            </w:r>
          </w:p>
        </w:tc>
      </w:tr>
      <w:tr w:rsidR="00661BA2" w:rsidRPr="004D77E0" w14:paraId="2EAEEA58" w14:textId="77777777" w:rsidTr="00F453C2">
        <w:trPr>
          <w:cantSplit/>
          <w:trHeight w:val="20"/>
        </w:trPr>
        <w:tc>
          <w:tcPr>
            <w:tcW w:w="1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9A4B85" w14:textId="2985F504" w:rsidR="00661BA2" w:rsidRPr="004D77E0" w:rsidRDefault="00661BA2" w:rsidP="00661BA2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sz w:val="18"/>
                <w:szCs w:val="18"/>
              </w:rPr>
              <w:t>9.</w:t>
            </w:r>
          </w:p>
        </w:tc>
        <w:tc>
          <w:tcPr>
            <w:tcW w:w="4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4FEC7B" w14:textId="31684798" w:rsidR="00661BA2" w:rsidRPr="004D77E0" w:rsidRDefault="00661BA2" w:rsidP="00661BA2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b/>
                <w:bCs/>
                <w:sz w:val="18"/>
                <w:szCs w:val="18"/>
              </w:rPr>
              <w:t>Opdivo + Yervoy</w:t>
            </w:r>
          </w:p>
        </w:tc>
        <w:tc>
          <w:tcPr>
            <w:tcW w:w="6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30093F" w14:textId="6139AF1D" w:rsidR="00661BA2" w:rsidRPr="004D77E0" w:rsidRDefault="00661BA2" w:rsidP="00661BA2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i/>
                <w:iCs/>
                <w:sz w:val="18"/>
                <w:szCs w:val="18"/>
              </w:rPr>
              <w:t>niwolumab + ipilim</w:t>
            </w:r>
            <w:r w:rsidR="005512E6" w:rsidRPr="004D77E0">
              <w:rPr>
                <w:rFonts w:ascii="Lato" w:hAnsi="Lato" w:cstheme="majorHAnsi"/>
                <w:i/>
                <w:iCs/>
                <w:sz w:val="18"/>
                <w:szCs w:val="18"/>
              </w:rPr>
              <w:t>u</w:t>
            </w:r>
            <w:r w:rsidRPr="004D77E0">
              <w:rPr>
                <w:rFonts w:ascii="Lato" w:hAnsi="Lato" w:cstheme="majorHAnsi"/>
                <w:i/>
                <w:iCs/>
                <w:sz w:val="18"/>
                <w:szCs w:val="18"/>
              </w:rPr>
              <w:t>mab</w:t>
            </w:r>
          </w:p>
        </w:tc>
        <w:tc>
          <w:tcPr>
            <w:tcW w:w="6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DF7235" w14:textId="7F991F7B" w:rsidR="00661BA2" w:rsidRPr="004D77E0" w:rsidRDefault="00661BA2" w:rsidP="00661BA2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sz w:val="18"/>
                <w:szCs w:val="18"/>
              </w:rPr>
              <w:t>B.59</w:t>
            </w:r>
          </w:p>
        </w:tc>
        <w:tc>
          <w:tcPr>
            <w:tcW w:w="11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2D1733" w14:textId="3059BB2E" w:rsidR="00661BA2" w:rsidRPr="004D77E0" w:rsidRDefault="00661BA2" w:rsidP="00661BA2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sz w:val="18"/>
                <w:szCs w:val="18"/>
              </w:rPr>
              <w:t>LECZENIE CHORYCH NA CZERNIAKA SKÓRY LUB BŁON ŚLUZOWYCH (ICD-10: C43)</w:t>
            </w:r>
          </w:p>
        </w:tc>
        <w:tc>
          <w:tcPr>
            <w:tcW w:w="20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DFBEFD" w14:textId="7D6E932C" w:rsidR="00661BA2" w:rsidRPr="004D77E0" w:rsidRDefault="00661BA2" w:rsidP="00661BA2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>Leczenie niwolumabem w skojarzeniu z ipilimumabem jako leczenie przedoperacyjne (neoadjuwantowe) i kontynuacja niwolumabem lub dabrafenibem w skojarzeniu z trametynibem jako leczenie pooperacyjne (adjuwantowe) po zabiegu chirurgicznym u chorych na czerniaka w stopniu zaawansowania III z przerzutami in transit lub potwierdzonym zajęciem węzłów chłonnych, bez przerzutów odległych.</w:t>
            </w:r>
          </w:p>
        </w:tc>
      </w:tr>
      <w:tr w:rsidR="00661BA2" w:rsidRPr="004D77E0" w14:paraId="28BD7DC7" w14:textId="77777777" w:rsidTr="00F453C2">
        <w:trPr>
          <w:cantSplit/>
          <w:trHeight w:val="20"/>
        </w:trPr>
        <w:tc>
          <w:tcPr>
            <w:tcW w:w="1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875434" w14:textId="13155892" w:rsidR="00661BA2" w:rsidRPr="004D77E0" w:rsidRDefault="00661BA2" w:rsidP="00661BA2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sz w:val="18"/>
                <w:szCs w:val="18"/>
              </w:rPr>
              <w:t>10.</w:t>
            </w:r>
          </w:p>
        </w:tc>
        <w:tc>
          <w:tcPr>
            <w:tcW w:w="4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B6329F" w14:textId="7CFFCF09" w:rsidR="00661BA2" w:rsidRPr="004D77E0" w:rsidRDefault="00661BA2" w:rsidP="00661BA2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Om</w:t>
            </w:r>
            <w:r w:rsidR="005D60FF" w:rsidRPr="004D77E0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j</w:t>
            </w:r>
            <w:r w:rsidRPr="004D77E0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jara</w:t>
            </w:r>
          </w:p>
        </w:tc>
        <w:tc>
          <w:tcPr>
            <w:tcW w:w="6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C0CE88" w14:textId="243D5038" w:rsidR="00661BA2" w:rsidRPr="004D77E0" w:rsidRDefault="00661BA2" w:rsidP="00661BA2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momelotynib</w:t>
            </w:r>
          </w:p>
        </w:tc>
        <w:tc>
          <w:tcPr>
            <w:tcW w:w="6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C03045" w14:textId="5F3B3FB8" w:rsidR="00661BA2" w:rsidRPr="004D77E0" w:rsidRDefault="00661BA2" w:rsidP="00661BA2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>B.81</w:t>
            </w:r>
          </w:p>
        </w:tc>
        <w:tc>
          <w:tcPr>
            <w:tcW w:w="11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087A05" w14:textId="26459059" w:rsidR="00661BA2" w:rsidRPr="004D77E0" w:rsidRDefault="00661BA2" w:rsidP="00661BA2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>LECZENIE CHORYCH NA NOWOTWORY MIELOPROLIFERACYJNE Ph (-) (ICD-10: D45, D47.1)</w:t>
            </w:r>
          </w:p>
        </w:tc>
        <w:tc>
          <w:tcPr>
            <w:tcW w:w="20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60D0BD" w14:textId="77777777" w:rsidR="00661BA2" w:rsidRPr="00F453C2" w:rsidRDefault="00661BA2" w:rsidP="00661BA2">
            <w:pPr>
              <w:spacing w:before="60" w:after="60" w:line="240" w:lineRule="auto"/>
              <w:jc w:val="center"/>
              <w:rPr>
                <w:rFonts w:ascii="Lato" w:hAnsi="Lato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Nowa opcja terapeutyczna dla  chorych </w:t>
            </w:r>
            <w:r w:rsidRPr="00F453C2">
              <w:rPr>
                <w:rFonts w:ascii="Lato" w:hAnsi="Lato"/>
                <w:sz w:val="18"/>
                <w:szCs w:val="18"/>
              </w:rPr>
              <w:t xml:space="preserve">na pierwotną mielofibrozę (PMF) lub mielofibrozę w przebiegu czerwienicy prawdziwej (Post-PV MF) lub mielofibrozę w przebiegu nadpłytkowości samoistnej (Post-ET MF), którzy nie byli wcześniej leczeni inhibitorami kinazy janusowej lub byli wcześniej leczeni </w:t>
            </w:r>
            <w:r w:rsidRPr="00F453C2">
              <w:rPr>
                <w:rFonts w:ascii="Lato" w:hAnsi="Lato"/>
                <w:i/>
                <w:iCs/>
                <w:sz w:val="18"/>
                <w:szCs w:val="18"/>
              </w:rPr>
              <w:t xml:space="preserve">ruksolitynibem </w:t>
            </w:r>
            <w:r w:rsidRPr="00F453C2">
              <w:rPr>
                <w:rFonts w:ascii="Lato" w:hAnsi="Lato"/>
                <w:sz w:val="18"/>
                <w:szCs w:val="18"/>
              </w:rPr>
              <w:t>lub</w:t>
            </w:r>
            <w:r w:rsidRPr="00F453C2">
              <w:rPr>
                <w:rFonts w:ascii="Lato" w:hAnsi="Lato"/>
                <w:i/>
                <w:iCs/>
                <w:sz w:val="18"/>
                <w:szCs w:val="18"/>
              </w:rPr>
              <w:t xml:space="preserve"> fedratynibem</w:t>
            </w:r>
            <w:r w:rsidRPr="00F453C2">
              <w:rPr>
                <w:rFonts w:ascii="Lato" w:hAnsi="Lato"/>
                <w:sz w:val="18"/>
                <w:szCs w:val="18"/>
              </w:rPr>
              <w:t>).</w:t>
            </w:r>
          </w:p>
          <w:p w14:paraId="5D3DD912" w14:textId="136D75A2" w:rsidR="006C31BC" w:rsidRPr="00F453C2" w:rsidRDefault="006C31BC" w:rsidP="00661BA2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sz w:val="18"/>
                <w:szCs w:val="18"/>
              </w:rPr>
            </w:pPr>
            <w:r w:rsidRPr="00F453C2">
              <w:rPr>
                <w:rFonts w:ascii="Lato" w:hAnsi="Lato" w:cstheme="majorHAnsi"/>
                <w:b/>
                <w:bCs/>
                <w:sz w:val="18"/>
                <w:szCs w:val="18"/>
              </w:rPr>
              <w:t>(Choroba rzadka)</w:t>
            </w:r>
          </w:p>
        </w:tc>
      </w:tr>
      <w:tr w:rsidR="00661BA2" w:rsidRPr="004D77E0" w14:paraId="7BD08E16" w14:textId="77777777" w:rsidTr="00F453C2">
        <w:trPr>
          <w:cantSplit/>
          <w:trHeight w:val="20"/>
        </w:trPr>
        <w:tc>
          <w:tcPr>
            <w:tcW w:w="1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876B6B" w14:textId="34F3A2C5" w:rsidR="00661BA2" w:rsidRPr="004D77E0" w:rsidRDefault="00661BA2" w:rsidP="00661BA2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sz w:val="18"/>
                <w:szCs w:val="18"/>
              </w:rPr>
              <w:t>11.</w:t>
            </w:r>
          </w:p>
        </w:tc>
        <w:tc>
          <w:tcPr>
            <w:tcW w:w="4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30E72E" w14:textId="2F9F0363" w:rsidR="00661BA2" w:rsidRPr="004D77E0" w:rsidRDefault="00661BA2" w:rsidP="00661BA2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b/>
                <w:bCs/>
                <w:sz w:val="18"/>
                <w:szCs w:val="18"/>
              </w:rPr>
              <w:t>Keytruda</w:t>
            </w:r>
          </w:p>
        </w:tc>
        <w:tc>
          <w:tcPr>
            <w:tcW w:w="6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217434" w14:textId="0251ADDC" w:rsidR="00661BA2" w:rsidRPr="004D77E0" w:rsidRDefault="00661BA2" w:rsidP="00661BA2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i/>
                <w:iCs/>
                <w:sz w:val="18"/>
                <w:szCs w:val="18"/>
              </w:rPr>
              <w:t>pembrolizumab</w:t>
            </w:r>
          </w:p>
        </w:tc>
        <w:tc>
          <w:tcPr>
            <w:tcW w:w="6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73B3FB" w14:textId="12877514" w:rsidR="00661BA2" w:rsidRPr="004D77E0" w:rsidRDefault="00661BA2" w:rsidP="00661BA2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>B.159</w:t>
            </w:r>
          </w:p>
        </w:tc>
        <w:tc>
          <w:tcPr>
            <w:tcW w:w="11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CC436E" w14:textId="71A3392C" w:rsidR="00661BA2" w:rsidRPr="004D77E0" w:rsidRDefault="00661BA2" w:rsidP="00661BA2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>LECZENIE CHORYCH NA RAKA SZYJKI MACICY (ICD-10: C53)</w:t>
            </w:r>
          </w:p>
        </w:tc>
        <w:tc>
          <w:tcPr>
            <w:tcW w:w="20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43A2FC" w14:textId="1DD54F53" w:rsidR="00661BA2" w:rsidRPr="004D77E0" w:rsidRDefault="00661BA2" w:rsidP="00661BA2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sz w:val="18"/>
                <w:szCs w:val="18"/>
              </w:rPr>
              <w:t>Leczenie pembrolizumabem w skojarzeniu z chemioradioterapią, a następnie w monoterapii dorosłych pacjentek z pierwotnym nowozdiagnozowanym, miejscowo zaawanasowanym rakiem szyjki macicy.</w:t>
            </w:r>
          </w:p>
        </w:tc>
      </w:tr>
      <w:tr w:rsidR="00661BA2" w:rsidRPr="004D77E0" w14:paraId="58A92FEF" w14:textId="77777777" w:rsidTr="00F453C2">
        <w:trPr>
          <w:cantSplit/>
          <w:trHeight w:val="20"/>
        </w:trPr>
        <w:tc>
          <w:tcPr>
            <w:tcW w:w="1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D6F8D8" w14:textId="01B82F38" w:rsidR="00661BA2" w:rsidRPr="004D77E0" w:rsidRDefault="00661BA2" w:rsidP="00661BA2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sz w:val="18"/>
                <w:szCs w:val="18"/>
              </w:rPr>
              <w:t>12.</w:t>
            </w:r>
          </w:p>
        </w:tc>
        <w:tc>
          <w:tcPr>
            <w:tcW w:w="4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1526E0" w14:textId="1B50E877" w:rsidR="00661BA2" w:rsidRPr="004D77E0" w:rsidRDefault="00661BA2" w:rsidP="00661BA2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b/>
                <w:bCs/>
                <w:sz w:val="18"/>
                <w:szCs w:val="18"/>
              </w:rPr>
              <w:t>Keytruda</w:t>
            </w:r>
          </w:p>
        </w:tc>
        <w:tc>
          <w:tcPr>
            <w:tcW w:w="6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812E42" w14:textId="09F2D162" w:rsidR="00661BA2" w:rsidRPr="004D77E0" w:rsidRDefault="00661BA2" w:rsidP="00661BA2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i/>
                <w:iCs/>
                <w:sz w:val="18"/>
                <w:szCs w:val="18"/>
              </w:rPr>
              <w:t>pembrolizumab</w:t>
            </w:r>
          </w:p>
        </w:tc>
        <w:tc>
          <w:tcPr>
            <w:tcW w:w="6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D85F96" w14:textId="43576043" w:rsidR="00661BA2" w:rsidRPr="004D77E0" w:rsidRDefault="00661BA2" w:rsidP="00661BA2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sz w:val="18"/>
                <w:szCs w:val="18"/>
              </w:rPr>
              <w:t>B.148</w:t>
            </w:r>
          </w:p>
        </w:tc>
        <w:tc>
          <w:tcPr>
            <w:tcW w:w="11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D7CD84" w14:textId="0A14C502" w:rsidR="00661BA2" w:rsidRPr="004D77E0" w:rsidRDefault="00661BA2" w:rsidP="00661BA2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sz w:val="18"/>
                <w:szCs w:val="18"/>
              </w:rPr>
              <w:t>LECZENIE CHORYCH NA RAKA ENDOMETRIUM (ICD-10: C54)</w:t>
            </w:r>
          </w:p>
        </w:tc>
        <w:tc>
          <w:tcPr>
            <w:tcW w:w="20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F41A7E" w14:textId="59D688F5" w:rsidR="00661BA2" w:rsidRPr="004D77E0" w:rsidRDefault="00661BA2" w:rsidP="00661BA2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sz w:val="18"/>
                <w:szCs w:val="18"/>
              </w:rPr>
              <w:t>Leczenie I linii dorosłych pacjentek na pierwotnie zaawansowanego lub nawrotowego raka endometrium  pembrolizumabem w skojarzeniu z karboplatyną i paklitakselem, a następnie w terapii podtrzymującej pembrolizumebem w monoterapii.</w:t>
            </w:r>
          </w:p>
        </w:tc>
      </w:tr>
      <w:tr w:rsidR="00661BA2" w:rsidRPr="004D77E0" w14:paraId="6F0C135D" w14:textId="77777777" w:rsidTr="00F453C2">
        <w:trPr>
          <w:cantSplit/>
          <w:trHeight w:val="20"/>
        </w:trPr>
        <w:tc>
          <w:tcPr>
            <w:tcW w:w="1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FF1695" w14:textId="11F82E0B" w:rsidR="00661BA2" w:rsidRPr="004D77E0" w:rsidRDefault="00661BA2" w:rsidP="00661BA2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sz w:val="18"/>
                <w:szCs w:val="18"/>
              </w:rPr>
              <w:t>13.</w:t>
            </w:r>
          </w:p>
        </w:tc>
        <w:tc>
          <w:tcPr>
            <w:tcW w:w="4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120E85" w14:textId="165117CB" w:rsidR="00661BA2" w:rsidRPr="004D77E0" w:rsidRDefault="00661BA2" w:rsidP="00661BA2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b/>
                <w:bCs/>
                <w:sz w:val="18"/>
                <w:szCs w:val="18"/>
              </w:rPr>
              <w:t>Imfinzi</w:t>
            </w:r>
          </w:p>
        </w:tc>
        <w:tc>
          <w:tcPr>
            <w:tcW w:w="6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C3ED97" w14:textId="400A72BB" w:rsidR="00661BA2" w:rsidRPr="004D77E0" w:rsidRDefault="00661BA2" w:rsidP="00661BA2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i/>
                <w:iCs/>
                <w:sz w:val="18"/>
                <w:szCs w:val="18"/>
              </w:rPr>
              <w:t>durwalumab</w:t>
            </w:r>
          </w:p>
        </w:tc>
        <w:tc>
          <w:tcPr>
            <w:tcW w:w="6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7E9B90" w14:textId="6BE03B4F" w:rsidR="00661BA2" w:rsidRPr="004D77E0" w:rsidRDefault="00661BA2" w:rsidP="00661BA2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sz w:val="18"/>
                <w:szCs w:val="18"/>
              </w:rPr>
              <w:t>B.148</w:t>
            </w:r>
          </w:p>
        </w:tc>
        <w:tc>
          <w:tcPr>
            <w:tcW w:w="11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22B7C2" w14:textId="14503B90" w:rsidR="00661BA2" w:rsidRPr="004D77E0" w:rsidRDefault="00661BA2" w:rsidP="00661BA2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sz w:val="18"/>
                <w:szCs w:val="18"/>
              </w:rPr>
              <w:t>LECZENIE CHORYCH NA RAKA ENDOMETRIUM (ICD-10: C54)</w:t>
            </w:r>
          </w:p>
        </w:tc>
        <w:tc>
          <w:tcPr>
            <w:tcW w:w="2008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F05C27" w14:textId="6509D283" w:rsidR="00661BA2" w:rsidRPr="00F453C2" w:rsidRDefault="00661BA2" w:rsidP="00661BA2">
            <w:pPr>
              <w:suppressAutoHyphens w:val="0"/>
              <w:autoSpaceDE w:val="0"/>
              <w:adjustRightInd w:val="0"/>
              <w:spacing w:after="60" w:line="276" w:lineRule="auto"/>
              <w:jc w:val="center"/>
              <w:textAlignment w:val="auto"/>
              <w:rPr>
                <w:rFonts w:ascii="Lato" w:hAnsi="Lato"/>
                <w:sz w:val="20"/>
                <w:szCs w:val="20"/>
              </w:rPr>
            </w:pPr>
            <w:r w:rsidRPr="004D77E0">
              <w:rPr>
                <w:rFonts w:ascii="Lato" w:hAnsi="Lato" w:cstheme="majorHAnsi"/>
                <w:sz w:val="18"/>
                <w:szCs w:val="18"/>
              </w:rPr>
              <w:t>I linia leczenia dorosłych pacjentek na pierwotnie zaawansowanego lub nawrotowego raka endometrium durwalumabem w skojarzeniu z karboplatyną i paklitakselem, którzy kwalifikują się do terapii systemowej, po którym następuje leczenie  podtrzymujące:</w:t>
            </w:r>
            <w:r w:rsidRPr="004D77E0">
              <w:rPr>
                <w:rFonts w:ascii="Lato" w:hAnsi="Lato" w:cstheme="majorHAnsi"/>
                <w:sz w:val="18"/>
                <w:szCs w:val="18"/>
              </w:rPr>
              <w:br/>
              <w:t>- durwalumabem w monoterapii w raku endometrium z zaburzeniami w systemie naprawy nieprawidłowo sparowanych nukleotydów  (dMMR) lub wysokiej niestabilności mikrosatelitarnej (ang. microsatellite instabilityhigh, MSI-H) albo</w:t>
            </w:r>
            <w:r w:rsidRPr="004D77E0">
              <w:rPr>
                <w:rFonts w:ascii="Lato" w:hAnsi="Lato" w:cstheme="majorHAnsi"/>
                <w:sz w:val="18"/>
                <w:szCs w:val="18"/>
              </w:rPr>
              <w:br/>
              <w:t xml:space="preserve"> - durwalumabem w skojarzeniu z olaparybem w raku endometrium bez zaburzeń w systemie naprawy nieprawidłowo sparowanych nukleotydów (pMMR)</w:t>
            </w:r>
            <w:r w:rsidRPr="00F453C2">
              <w:rPr>
                <w:rFonts w:ascii="Lato" w:hAnsi="Lato"/>
              </w:rPr>
              <w:t xml:space="preserve"> </w:t>
            </w:r>
            <w:r w:rsidRPr="004D77E0">
              <w:rPr>
                <w:rFonts w:ascii="Lato" w:hAnsi="Lato" w:cstheme="majorHAnsi"/>
                <w:sz w:val="18"/>
                <w:szCs w:val="18"/>
              </w:rPr>
              <w:t>lub bez wysokiej niestabilności mikrosatelitarnej (ang. microsatellite stable; bez MSI-H) .</w:t>
            </w:r>
          </w:p>
        </w:tc>
      </w:tr>
      <w:tr w:rsidR="00661BA2" w:rsidRPr="004D77E0" w14:paraId="318BF7FF" w14:textId="77777777" w:rsidTr="00F453C2">
        <w:trPr>
          <w:cantSplit/>
          <w:trHeight w:val="20"/>
        </w:trPr>
        <w:tc>
          <w:tcPr>
            <w:tcW w:w="1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EAF5D1" w14:textId="790B2666" w:rsidR="00661BA2" w:rsidRPr="004D77E0" w:rsidRDefault="00661BA2" w:rsidP="00661BA2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sz w:val="18"/>
                <w:szCs w:val="18"/>
              </w:rPr>
              <w:t>14.</w:t>
            </w:r>
          </w:p>
        </w:tc>
        <w:tc>
          <w:tcPr>
            <w:tcW w:w="4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E55646" w14:textId="6FCCCA3D" w:rsidR="00661BA2" w:rsidRPr="004D77E0" w:rsidRDefault="00822DFB" w:rsidP="00661BA2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sz w:val="18"/>
                <w:szCs w:val="18"/>
              </w:rPr>
            </w:pPr>
            <w:r>
              <w:rPr>
                <w:rFonts w:ascii="Lato" w:hAnsi="Lato" w:cstheme="majorHAnsi"/>
                <w:b/>
                <w:bCs/>
                <w:sz w:val="18"/>
                <w:szCs w:val="18"/>
              </w:rPr>
              <w:t xml:space="preserve">Imfinzi + </w:t>
            </w:r>
            <w:r w:rsidR="00661BA2" w:rsidRPr="004D77E0">
              <w:rPr>
                <w:rFonts w:ascii="Lato" w:hAnsi="Lato" w:cstheme="majorHAnsi"/>
                <w:b/>
                <w:bCs/>
                <w:sz w:val="18"/>
                <w:szCs w:val="18"/>
              </w:rPr>
              <w:t>Lynparza</w:t>
            </w:r>
          </w:p>
        </w:tc>
        <w:tc>
          <w:tcPr>
            <w:tcW w:w="6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5D0DD2" w14:textId="2E294F38" w:rsidR="00822DFB" w:rsidRDefault="00795B9B" w:rsidP="00661BA2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sz w:val="18"/>
                <w:szCs w:val="18"/>
              </w:rPr>
            </w:pPr>
            <w:r>
              <w:rPr>
                <w:rFonts w:ascii="Lato" w:hAnsi="Lato" w:cstheme="majorHAnsi"/>
                <w:i/>
                <w:iCs/>
                <w:sz w:val="18"/>
                <w:szCs w:val="18"/>
              </w:rPr>
              <w:t>d</w:t>
            </w:r>
            <w:r w:rsidR="00822DFB" w:rsidRPr="004D77E0">
              <w:rPr>
                <w:rFonts w:ascii="Lato" w:hAnsi="Lato" w:cstheme="majorHAnsi"/>
                <w:i/>
                <w:iCs/>
                <w:sz w:val="18"/>
                <w:szCs w:val="18"/>
              </w:rPr>
              <w:t>urwalumab</w:t>
            </w:r>
            <w:r w:rsidR="00822DFB">
              <w:rPr>
                <w:rFonts w:ascii="Lato" w:hAnsi="Lato" w:cstheme="majorHAnsi"/>
                <w:i/>
                <w:iCs/>
                <w:sz w:val="18"/>
                <w:szCs w:val="18"/>
              </w:rPr>
              <w:t xml:space="preserve"> +</w:t>
            </w:r>
          </w:p>
          <w:p w14:paraId="672BA54D" w14:textId="68AA03B4" w:rsidR="00661BA2" w:rsidRPr="004D77E0" w:rsidRDefault="00661BA2" w:rsidP="00661BA2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i/>
                <w:iCs/>
                <w:sz w:val="18"/>
                <w:szCs w:val="18"/>
              </w:rPr>
              <w:t>olaparyb</w:t>
            </w:r>
          </w:p>
        </w:tc>
        <w:tc>
          <w:tcPr>
            <w:tcW w:w="6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716E11" w14:textId="4AF58892" w:rsidR="00661BA2" w:rsidRPr="004D77E0" w:rsidRDefault="00661BA2" w:rsidP="00661BA2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sz w:val="18"/>
                <w:szCs w:val="18"/>
              </w:rPr>
              <w:t>B.148</w:t>
            </w:r>
          </w:p>
        </w:tc>
        <w:tc>
          <w:tcPr>
            <w:tcW w:w="11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9835A6" w14:textId="48851624" w:rsidR="00661BA2" w:rsidRPr="004D77E0" w:rsidRDefault="00661BA2" w:rsidP="00661BA2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sz w:val="18"/>
                <w:szCs w:val="18"/>
              </w:rPr>
              <w:t>LECZENIE CHORYCH NA RAKA ENDOMETRIUM (ICD-10: C54)</w:t>
            </w:r>
          </w:p>
        </w:tc>
        <w:tc>
          <w:tcPr>
            <w:tcW w:w="2008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4F1956" w14:textId="18C63424" w:rsidR="00661BA2" w:rsidRPr="004D77E0" w:rsidRDefault="00661BA2" w:rsidP="00661BA2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</w:p>
        </w:tc>
      </w:tr>
      <w:tr w:rsidR="00661BA2" w:rsidRPr="004D77E0" w14:paraId="385862F6" w14:textId="77777777" w:rsidTr="00F453C2">
        <w:trPr>
          <w:cantSplit/>
          <w:trHeight w:val="20"/>
        </w:trPr>
        <w:tc>
          <w:tcPr>
            <w:tcW w:w="1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7F0D6A" w14:textId="3BCD160F" w:rsidR="00661BA2" w:rsidRPr="004D77E0" w:rsidRDefault="00661BA2" w:rsidP="00661BA2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sz w:val="18"/>
                <w:szCs w:val="18"/>
              </w:rPr>
              <w:lastRenderedPageBreak/>
              <w:t>15.</w:t>
            </w:r>
          </w:p>
        </w:tc>
        <w:tc>
          <w:tcPr>
            <w:tcW w:w="4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3274E6" w14:textId="235DF34E" w:rsidR="00661BA2" w:rsidRPr="004D77E0" w:rsidRDefault="00661BA2" w:rsidP="00661BA2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Finlee</w:t>
            </w:r>
            <w:r w:rsidR="0048087E" w:rsidRPr="004D77E0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+ Spexotras</w:t>
            </w:r>
          </w:p>
        </w:tc>
        <w:tc>
          <w:tcPr>
            <w:tcW w:w="6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BB69C8" w14:textId="02D6EE42" w:rsidR="00661BA2" w:rsidRPr="004D77E0" w:rsidRDefault="00661BA2" w:rsidP="00661BA2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dabrafenib</w:t>
            </w:r>
            <w:r w:rsidR="0048087E" w:rsidRPr="004D77E0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 xml:space="preserve"> + trametynib</w:t>
            </w:r>
          </w:p>
        </w:tc>
        <w:tc>
          <w:tcPr>
            <w:tcW w:w="6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5E969" w14:textId="518843CF" w:rsidR="00661BA2" w:rsidRPr="004D77E0" w:rsidRDefault="00661BA2" w:rsidP="00661BA2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>B.177</w:t>
            </w:r>
          </w:p>
        </w:tc>
        <w:tc>
          <w:tcPr>
            <w:tcW w:w="11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682D1F" w14:textId="739E3E6D" w:rsidR="00661BA2" w:rsidRPr="004D77E0" w:rsidRDefault="00661BA2" w:rsidP="00661BA2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>LECZENIE DZIECI I MŁODZIEŻY CHORYCH NA GLEJAKA (ICD-10: C71)</w:t>
            </w:r>
          </w:p>
        </w:tc>
        <w:tc>
          <w:tcPr>
            <w:tcW w:w="2008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CDE0D3" w14:textId="77777777" w:rsidR="00661BA2" w:rsidRPr="004D77E0" w:rsidRDefault="00661BA2" w:rsidP="00661BA2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>Leczenie dzieci i młodzieży chorych na glejaka przy wykorzystaniu substancji czynnej dabrafenib w skojarzeniu z trametynibem.</w:t>
            </w:r>
          </w:p>
          <w:p w14:paraId="2D36B0A2" w14:textId="56DF79CE" w:rsidR="00661BA2" w:rsidRPr="004D77E0" w:rsidRDefault="00661BA2" w:rsidP="00661BA2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>Dotyczy glejaków o niskim stopniu złośliwości (LGG) u pacjentów z mutacją BRAF V600E.</w:t>
            </w:r>
          </w:p>
          <w:p w14:paraId="4EB90692" w14:textId="77777777" w:rsidR="00661BA2" w:rsidRPr="004D77E0" w:rsidRDefault="00661BA2" w:rsidP="00661BA2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(Technologia o wysokim poziomie innowacyjności)</w:t>
            </w:r>
          </w:p>
          <w:p w14:paraId="1797DF26" w14:textId="19B201E0" w:rsidR="0048087E" w:rsidRPr="004D77E0" w:rsidRDefault="0048087E" w:rsidP="00661BA2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b/>
                <w:sz w:val="18"/>
                <w:szCs w:val="18"/>
              </w:rPr>
              <w:t>(Choroba rzadka)</w:t>
            </w:r>
          </w:p>
        </w:tc>
      </w:tr>
      <w:tr w:rsidR="00661BA2" w:rsidRPr="004D77E0" w14:paraId="1F524DFA" w14:textId="77777777" w:rsidTr="00F453C2">
        <w:trPr>
          <w:cantSplit/>
          <w:trHeight w:val="20"/>
        </w:trPr>
        <w:tc>
          <w:tcPr>
            <w:tcW w:w="1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D94D03" w14:textId="3841A689" w:rsidR="00661BA2" w:rsidRPr="004D77E0" w:rsidRDefault="00661BA2" w:rsidP="00661BA2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sz w:val="18"/>
                <w:szCs w:val="18"/>
              </w:rPr>
              <w:t>16.</w:t>
            </w:r>
          </w:p>
        </w:tc>
        <w:tc>
          <w:tcPr>
            <w:tcW w:w="4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6C372A" w14:textId="07363A2B" w:rsidR="00661BA2" w:rsidRPr="004D77E0" w:rsidRDefault="0048087E" w:rsidP="00661BA2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Finlee+ Spexotras</w:t>
            </w:r>
          </w:p>
        </w:tc>
        <w:tc>
          <w:tcPr>
            <w:tcW w:w="6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8D469C" w14:textId="68795136" w:rsidR="00661BA2" w:rsidRPr="004D77E0" w:rsidRDefault="0048087E" w:rsidP="00661BA2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dabrafenib + trametynib</w:t>
            </w:r>
          </w:p>
        </w:tc>
        <w:tc>
          <w:tcPr>
            <w:tcW w:w="6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DAAE5B" w14:textId="73B62F42" w:rsidR="00661BA2" w:rsidRPr="004D77E0" w:rsidRDefault="00661BA2" w:rsidP="00661BA2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>B.177</w:t>
            </w:r>
          </w:p>
        </w:tc>
        <w:tc>
          <w:tcPr>
            <w:tcW w:w="11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5FB12E" w14:textId="2F3FDF6E" w:rsidR="00661BA2" w:rsidRPr="004D77E0" w:rsidRDefault="00661BA2" w:rsidP="00661BA2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>LECZENIE DZIECI I MŁODZIEŻY CHORYCH NA GLEJAKA (ICD-10: C71)</w:t>
            </w:r>
          </w:p>
        </w:tc>
        <w:tc>
          <w:tcPr>
            <w:tcW w:w="2008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6B3A87" w14:textId="77777777" w:rsidR="00661BA2" w:rsidRPr="004D77E0" w:rsidRDefault="00661BA2" w:rsidP="00661BA2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>Leczenie dzieci i młodzieży chorych na glejaka przy wykorzystaniu substancji czynnej dabrafenib w skojarzeniu z trametynibem.</w:t>
            </w:r>
          </w:p>
          <w:p w14:paraId="6CB13664" w14:textId="3498EAE4" w:rsidR="00661BA2" w:rsidRPr="004D77E0" w:rsidRDefault="00661BA2" w:rsidP="00661BA2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>Dotyczy glejaków o wysokim stopniu złośliwości (HGG), u pacjentów z mutacją BRAF V600E.</w:t>
            </w:r>
          </w:p>
          <w:p w14:paraId="0809FD0C" w14:textId="77777777" w:rsidR="00661BA2" w:rsidRPr="004D77E0" w:rsidRDefault="00661BA2" w:rsidP="00661BA2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(Technologia o wysokim poziomie innowacyjności)</w:t>
            </w:r>
          </w:p>
          <w:p w14:paraId="5A1CD633" w14:textId="48F81658" w:rsidR="00121E74" w:rsidRPr="004D77E0" w:rsidRDefault="00121E74" w:rsidP="00661BA2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b/>
                <w:sz w:val="18"/>
                <w:szCs w:val="18"/>
              </w:rPr>
              <w:t>(Choroba rzadka)</w:t>
            </w:r>
          </w:p>
        </w:tc>
      </w:tr>
      <w:tr w:rsidR="00661BA2" w:rsidRPr="004D77E0" w14:paraId="2733A10F" w14:textId="77777777" w:rsidTr="00F453C2">
        <w:trPr>
          <w:cantSplit/>
          <w:trHeight w:val="20"/>
        </w:trPr>
        <w:tc>
          <w:tcPr>
            <w:tcW w:w="1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53F08D" w14:textId="586A9804" w:rsidR="00661BA2" w:rsidRPr="004D77E0" w:rsidRDefault="00661BA2" w:rsidP="00661BA2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sz w:val="18"/>
                <w:szCs w:val="18"/>
              </w:rPr>
              <w:t>17.</w:t>
            </w:r>
          </w:p>
        </w:tc>
        <w:tc>
          <w:tcPr>
            <w:tcW w:w="4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4033AD" w14:textId="1C47A5F7" w:rsidR="00661BA2" w:rsidRPr="004D77E0" w:rsidRDefault="00661BA2" w:rsidP="00661BA2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b/>
                <w:bCs/>
                <w:sz w:val="18"/>
                <w:szCs w:val="18"/>
              </w:rPr>
              <w:t>Hycamtin</w:t>
            </w:r>
          </w:p>
        </w:tc>
        <w:tc>
          <w:tcPr>
            <w:tcW w:w="6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B6A3F0" w14:textId="77777777" w:rsidR="00661BA2" w:rsidRPr="004D77E0" w:rsidRDefault="00661BA2" w:rsidP="00661BA2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i/>
                <w:iCs/>
                <w:sz w:val="18"/>
                <w:szCs w:val="18"/>
              </w:rPr>
              <w:t>topotecan</w:t>
            </w:r>
          </w:p>
          <w:p w14:paraId="0E0B679E" w14:textId="10BBF24D" w:rsidR="00661BA2" w:rsidRPr="004D77E0" w:rsidRDefault="00661BA2" w:rsidP="00661BA2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i/>
                <w:iCs/>
                <w:sz w:val="18"/>
                <w:szCs w:val="18"/>
              </w:rPr>
              <w:t>(w postaci doustnej, p.o.)</w:t>
            </w:r>
          </w:p>
        </w:tc>
        <w:tc>
          <w:tcPr>
            <w:tcW w:w="6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92BDDC" w14:textId="154B2BB9" w:rsidR="00661BA2" w:rsidRPr="004D77E0" w:rsidRDefault="00661BA2" w:rsidP="00661BA2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sz w:val="18"/>
                <w:szCs w:val="18"/>
              </w:rPr>
              <w:t>C.57.1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8A9A3C" w14:textId="7FD91113" w:rsidR="00661BA2" w:rsidRPr="004D77E0" w:rsidRDefault="00661BA2" w:rsidP="00661BA2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sz w:val="18"/>
                <w:szCs w:val="18"/>
              </w:rPr>
              <w:t>TOPOTECAN p.o.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7100EF" w14:textId="77777777" w:rsidR="00661BA2" w:rsidRPr="004D77E0" w:rsidRDefault="00661BA2" w:rsidP="00661BA2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sz w:val="18"/>
                <w:szCs w:val="18"/>
              </w:rPr>
              <w:t>Leczenie w monoterapii dorosłych pacjentów z nawrotowym rakiem drobnokomórkowym płuca, u których ponowne leczenie z użyciem chemioterapii pierwszego rzutu uznano za nieodpowiednie.</w:t>
            </w:r>
          </w:p>
          <w:p w14:paraId="2E4BA632" w14:textId="1B3DB48E" w:rsidR="00661BA2" w:rsidRPr="004D77E0" w:rsidRDefault="00661BA2" w:rsidP="00661BA2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>Refundacja w ramach trybu określonego w art. 30a ustawy o refundacji, tj. leków o ugruntowanej skuteczności klinicznej.</w:t>
            </w:r>
          </w:p>
        </w:tc>
      </w:tr>
      <w:tr w:rsidR="006C31BC" w:rsidRPr="004D77E0" w14:paraId="703EE610" w14:textId="77777777" w:rsidTr="00F453C2">
        <w:trPr>
          <w:cantSplit/>
          <w:trHeight w:val="20"/>
        </w:trPr>
        <w:tc>
          <w:tcPr>
            <w:tcW w:w="1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DFA5F9" w14:textId="7A41253B" w:rsidR="006C31BC" w:rsidRPr="004D77E0" w:rsidRDefault="006C31BC" w:rsidP="00661BA2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sz w:val="18"/>
                <w:szCs w:val="18"/>
              </w:rPr>
              <w:t>18.</w:t>
            </w:r>
          </w:p>
        </w:tc>
        <w:tc>
          <w:tcPr>
            <w:tcW w:w="4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EEFBD3" w14:textId="3AFAC6DC" w:rsidR="006C31BC" w:rsidRPr="004D77E0" w:rsidRDefault="006C31BC" w:rsidP="00661BA2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b/>
                <w:bCs/>
                <w:sz w:val="18"/>
                <w:szCs w:val="18"/>
              </w:rPr>
              <w:t>Erbitux</w:t>
            </w:r>
          </w:p>
        </w:tc>
        <w:tc>
          <w:tcPr>
            <w:tcW w:w="6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3FBA99" w14:textId="4109FB27" w:rsidR="006C31BC" w:rsidRPr="004D77E0" w:rsidRDefault="006C31BC" w:rsidP="00661BA2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i/>
                <w:iCs/>
                <w:sz w:val="18"/>
                <w:szCs w:val="18"/>
              </w:rPr>
              <w:t>cetuximab</w:t>
            </w:r>
          </w:p>
        </w:tc>
        <w:tc>
          <w:tcPr>
            <w:tcW w:w="6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E65D9F" w14:textId="64F20032" w:rsidR="006C31BC" w:rsidRPr="004D77E0" w:rsidRDefault="006C31BC" w:rsidP="00661BA2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795B9B">
              <w:rPr>
                <w:rFonts w:ascii="Lato" w:hAnsi="Lato" w:cstheme="majorHAnsi"/>
                <w:sz w:val="18"/>
                <w:szCs w:val="18"/>
              </w:rPr>
              <w:t>C.95.c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A24EAA" w14:textId="15C4099F" w:rsidR="006C31BC" w:rsidRPr="004D77E0" w:rsidRDefault="006C31BC" w:rsidP="00661BA2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795B9B">
              <w:rPr>
                <w:rFonts w:ascii="Lato" w:hAnsi="Lato" w:cstheme="majorHAnsi"/>
                <w:sz w:val="18"/>
                <w:szCs w:val="18"/>
              </w:rPr>
              <w:t>CETUXIMAB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744011" w14:textId="1F6DBF71" w:rsidR="00463E4B" w:rsidRPr="004D77E0" w:rsidRDefault="00463E4B" w:rsidP="00661BA2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>Dodanie nowego zakresu wskazań pozarejestracyjnych (off-label) dla substancji czynnej cetuksymab w terapii raka płaskonabłonkowego głowy i szyi. Finansowanie dotyczyć będzie kolejnych linii terapii stosowanych po niepowodzeniu leczenia z zastosowaniem immunoterapii prowadzon</w:t>
            </w:r>
            <w:r w:rsidR="00E3083B"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>ego</w:t>
            </w: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w programie lekowym B.52. </w:t>
            </w:r>
            <w:r w:rsidRPr="004D77E0">
              <w:rPr>
                <w:rFonts w:ascii="Lato" w:hAnsi="Lato" w:cstheme="majorHAnsi"/>
                <w:b/>
                <w:bCs/>
                <w:sz w:val="18"/>
                <w:szCs w:val="18"/>
              </w:rPr>
              <w:t xml:space="preserve"> </w:t>
            </w:r>
          </w:p>
          <w:p w14:paraId="0CB0A88D" w14:textId="521003F2" w:rsidR="00C664AC" w:rsidRPr="00F453C2" w:rsidRDefault="00C664AC" w:rsidP="00661BA2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sz w:val="18"/>
                <w:szCs w:val="18"/>
              </w:rPr>
            </w:pPr>
            <w:r w:rsidRPr="00F453C2">
              <w:rPr>
                <w:rFonts w:ascii="Lato" w:hAnsi="Lato" w:cstheme="majorHAnsi"/>
                <w:b/>
                <w:bCs/>
                <w:sz w:val="18"/>
                <w:szCs w:val="18"/>
              </w:rPr>
              <w:t>(Wskazanie off-label)</w:t>
            </w:r>
          </w:p>
        </w:tc>
      </w:tr>
      <w:tr w:rsidR="00F07177" w:rsidRPr="004D77E0" w14:paraId="704E9642" w14:textId="77777777" w:rsidTr="00F453C2">
        <w:trPr>
          <w:cantSplit/>
          <w:trHeight w:val="727"/>
        </w:trPr>
        <w:tc>
          <w:tcPr>
            <w:tcW w:w="1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045065" w14:textId="4C858CDC" w:rsidR="00F07177" w:rsidRPr="004D77E0" w:rsidRDefault="00F07177" w:rsidP="00661BA2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sz w:val="18"/>
                <w:szCs w:val="18"/>
              </w:rPr>
              <w:t>19.</w:t>
            </w:r>
          </w:p>
        </w:tc>
        <w:tc>
          <w:tcPr>
            <w:tcW w:w="4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8D3632" w14:textId="17498F2D" w:rsidR="00F07177" w:rsidRPr="004D77E0" w:rsidRDefault="00F07177" w:rsidP="00661BA2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b/>
                <w:bCs/>
                <w:sz w:val="18"/>
                <w:szCs w:val="18"/>
              </w:rPr>
              <w:t>Xgeva</w:t>
            </w:r>
          </w:p>
        </w:tc>
        <w:tc>
          <w:tcPr>
            <w:tcW w:w="6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64C73F" w14:textId="66C37B4C" w:rsidR="00F07177" w:rsidRPr="004D77E0" w:rsidRDefault="00F07177" w:rsidP="00661BA2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i/>
                <w:iCs/>
                <w:sz w:val="18"/>
                <w:szCs w:val="18"/>
              </w:rPr>
              <w:t>denosumab</w:t>
            </w:r>
          </w:p>
        </w:tc>
        <w:tc>
          <w:tcPr>
            <w:tcW w:w="6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3CA6BD" w14:textId="06F5A87B" w:rsidR="00F07177" w:rsidRPr="00795B9B" w:rsidRDefault="00F07177" w:rsidP="00661BA2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795B9B">
              <w:rPr>
                <w:rFonts w:ascii="Lato" w:hAnsi="Lato" w:cstheme="majorHAnsi"/>
                <w:sz w:val="18"/>
                <w:szCs w:val="18"/>
              </w:rPr>
              <w:t>C.109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D554E3" w14:textId="23DD01A0" w:rsidR="00F07177" w:rsidRPr="00795B9B" w:rsidRDefault="00F07177" w:rsidP="00661BA2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795B9B">
              <w:rPr>
                <w:rFonts w:ascii="Lato" w:hAnsi="Lato" w:cstheme="majorHAnsi"/>
                <w:sz w:val="18"/>
                <w:szCs w:val="18"/>
              </w:rPr>
              <w:t>DENOSUMAB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265319" w14:textId="35481C19" w:rsidR="00F07177" w:rsidRPr="00F453C2" w:rsidRDefault="00F07177" w:rsidP="00F07177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sz w:val="18"/>
                <w:szCs w:val="18"/>
              </w:rPr>
              <w:t>Rozszerzenie zakresu objętych refundacją kodów ICD-10 guzów litych przy jednoczesnej zmianie kategorii dostępności refundacyjnej dla denosumabu z programu lekowego B.134. na katalog chemioterapii.</w:t>
            </w:r>
          </w:p>
        </w:tc>
      </w:tr>
    </w:tbl>
    <w:p w14:paraId="7F9CCF36" w14:textId="51B74B46" w:rsidR="004D093B" w:rsidRPr="00F453C2" w:rsidRDefault="004D093B">
      <w:pPr>
        <w:rPr>
          <w:rFonts w:ascii="Lato" w:hAnsi="Lato"/>
        </w:rPr>
      </w:pPr>
    </w:p>
    <w:p w14:paraId="7FCF9A29" w14:textId="77777777" w:rsidR="004D093B" w:rsidRPr="00F453C2" w:rsidRDefault="004D093B">
      <w:pPr>
        <w:suppressAutoHyphens w:val="0"/>
        <w:rPr>
          <w:rFonts w:ascii="Lato" w:hAnsi="Lato"/>
        </w:rPr>
      </w:pPr>
      <w:r w:rsidRPr="00F453C2">
        <w:rPr>
          <w:rFonts w:ascii="Lato" w:hAnsi="Lato"/>
        </w:rPr>
        <w:br w:type="page"/>
      </w:r>
    </w:p>
    <w:tbl>
      <w:tblPr>
        <w:tblW w:w="5000" w:type="pct"/>
        <w:tblCellMar>
          <w:top w:w="113" w:type="dxa"/>
          <w:left w:w="10" w:type="dxa"/>
          <w:bottom w:w="113" w:type="dxa"/>
          <w:right w:w="10" w:type="dxa"/>
        </w:tblCellMar>
        <w:tblLook w:val="0000" w:firstRow="0" w:lastRow="0" w:firstColumn="0" w:lastColumn="0" w:noHBand="0" w:noVBand="0"/>
      </w:tblPr>
      <w:tblGrid>
        <w:gridCol w:w="668"/>
        <w:gridCol w:w="1744"/>
        <w:gridCol w:w="1987"/>
        <w:gridCol w:w="2058"/>
        <w:gridCol w:w="3667"/>
        <w:gridCol w:w="5258"/>
      </w:tblGrid>
      <w:tr w:rsidR="002D6ED9" w:rsidRPr="004D77E0" w14:paraId="4C9C4901" w14:textId="77777777" w:rsidTr="004D093B">
        <w:trPr>
          <w:cantSplit/>
          <w:trHeight w:val="183"/>
        </w:trPr>
        <w:tc>
          <w:tcPr>
            <w:tcW w:w="500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A390A7" w14:textId="5C4E25DC" w:rsidR="002D6ED9" w:rsidRPr="004D77E0" w:rsidRDefault="002D6ED9" w:rsidP="002D6ED9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FFFFFF"/>
              </w:rPr>
            </w:pPr>
            <w:r w:rsidRPr="004D77E0">
              <w:rPr>
                <w:rFonts w:ascii="Lato" w:hAnsi="Lato" w:cstheme="majorHAnsi"/>
                <w:b/>
                <w:bCs/>
                <w:color w:val="FFFFFF"/>
              </w:rPr>
              <w:lastRenderedPageBreak/>
              <w:t>Nowe wskazania nieonkologiczne</w:t>
            </w:r>
          </w:p>
        </w:tc>
      </w:tr>
      <w:tr w:rsidR="002D6ED9" w:rsidRPr="004D77E0" w14:paraId="1394CD71" w14:textId="77777777" w:rsidTr="004D093B">
        <w:trPr>
          <w:cantSplit/>
          <w:trHeight w:val="628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A979BE" w14:textId="77777777" w:rsidR="002D6ED9" w:rsidRPr="004D77E0" w:rsidRDefault="002D6ED9" w:rsidP="002D6ED9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Lp.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B02159" w14:textId="77777777" w:rsidR="002D6ED9" w:rsidRPr="004D77E0" w:rsidRDefault="002D6ED9" w:rsidP="002D6ED9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Nazwa leku</w:t>
            </w:r>
          </w:p>
        </w:tc>
        <w:tc>
          <w:tcPr>
            <w:tcW w:w="6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FC3D6F" w14:textId="77777777" w:rsidR="002D6ED9" w:rsidRPr="004D77E0" w:rsidRDefault="002D6ED9" w:rsidP="002D6ED9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Substancja czynna</w:t>
            </w:r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CD8698" w14:textId="77777777" w:rsidR="002D6ED9" w:rsidRPr="004D77E0" w:rsidRDefault="002D6ED9" w:rsidP="002D6ED9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Numer programu lekowego/załącznika chemioterapii</w:t>
            </w:r>
          </w:p>
        </w:tc>
        <w:tc>
          <w:tcPr>
            <w:tcW w:w="1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B142B2" w14:textId="77777777" w:rsidR="002D6ED9" w:rsidRPr="004D77E0" w:rsidRDefault="002D6ED9" w:rsidP="002D6ED9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Nazwa programu lekowego/ Załącznika chemioterapii</w:t>
            </w:r>
          </w:p>
        </w:tc>
        <w:tc>
          <w:tcPr>
            <w:tcW w:w="1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587975" w14:textId="77777777" w:rsidR="002D6ED9" w:rsidRPr="004D77E0" w:rsidRDefault="002D6ED9" w:rsidP="002D6ED9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Doprecyzowanie wskazania</w:t>
            </w:r>
          </w:p>
        </w:tc>
      </w:tr>
      <w:tr w:rsidR="001321BE" w:rsidRPr="004D77E0" w14:paraId="7522F87A" w14:textId="77777777" w:rsidTr="004D093B">
        <w:trPr>
          <w:cantSplit/>
          <w:trHeight w:val="20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7D592E" w14:textId="6BE00A89" w:rsidR="001321BE" w:rsidRPr="004D77E0" w:rsidRDefault="007D3AA2" w:rsidP="001321B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>1.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D2FB93" w14:textId="534E4224" w:rsidR="001321BE" w:rsidRPr="004D77E0" w:rsidRDefault="001321BE" w:rsidP="001321B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Altuvoct</w:t>
            </w:r>
          </w:p>
        </w:tc>
        <w:tc>
          <w:tcPr>
            <w:tcW w:w="6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0A0348" w14:textId="7C4C4FC4" w:rsidR="001321BE" w:rsidRPr="004D77E0" w:rsidRDefault="001321BE" w:rsidP="001321BE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efanesoctocog alfa</w:t>
            </w:r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2CA292" w14:textId="169D199A" w:rsidR="001321BE" w:rsidRPr="004D77E0" w:rsidRDefault="001321BE" w:rsidP="001321B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>B.15</w:t>
            </w:r>
          </w:p>
        </w:tc>
        <w:tc>
          <w:tcPr>
            <w:tcW w:w="1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658478" w14:textId="679C9366" w:rsidR="001321BE" w:rsidRPr="004D77E0" w:rsidRDefault="001321BE" w:rsidP="001321B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>ZAPOBIEGANIE KRWAWIENIOM U DZIECI Z HEMOFILIĄ A I B (ICD-10: D66, D67)</w:t>
            </w:r>
          </w:p>
        </w:tc>
        <w:tc>
          <w:tcPr>
            <w:tcW w:w="1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97C9BB" w14:textId="5128F59E" w:rsidR="00565C90" w:rsidRPr="004D77E0" w:rsidRDefault="001321BE" w:rsidP="00565C90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Udostępnienie pacjentom pediatrycznym czynnika krzepnięcia VIII o ultraprzedłużonym działaniu rok od zarejestrowania go w Europejskiej Agencji Leków. </w:t>
            </w:r>
            <w:r w:rsidR="00565C90"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r w:rsidR="006C31BC" w:rsidRPr="004D77E0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</w:t>
            </w:r>
            <w:r w:rsidR="00565C90" w:rsidRPr="004D77E0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Choroba rzadka</w:t>
            </w:r>
            <w:r w:rsidR="006C31BC" w:rsidRPr="004D77E0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1321BE" w:rsidRPr="004D77E0" w14:paraId="5ED86F3E" w14:textId="77777777" w:rsidTr="004D093B">
        <w:trPr>
          <w:cantSplit/>
          <w:trHeight w:val="20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19B444" w14:textId="01384142" w:rsidR="001321BE" w:rsidRPr="004D77E0" w:rsidRDefault="007D3AA2" w:rsidP="001321B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>2.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255631" w14:textId="343C54FD" w:rsidR="001321BE" w:rsidRPr="004D77E0" w:rsidRDefault="001321BE" w:rsidP="001321B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b/>
                <w:bCs/>
                <w:sz w:val="18"/>
                <w:szCs w:val="18"/>
              </w:rPr>
              <w:t>Hemlibra</w:t>
            </w:r>
          </w:p>
        </w:tc>
        <w:tc>
          <w:tcPr>
            <w:tcW w:w="6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686633" w14:textId="0995413C" w:rsidR="001321BE" w:rsidRPr="004D77E0" w:rsidRDefault="001321BE" w:rsidP="001321BE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i/>
                <w:iCs/>
                <w:sz w:val="18"/>
                <w:szCs w:val="18"/>
              </w:rPr>
              <w:t>emicizumab</w:t>
            </w:r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25888C" w14:textId="3DF44DAC" w:rsidR="001321BE" w:rsidRPr="004D77E0" w:rsidRDefault="001321BE" w:rsidP="001321B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>B.15</w:t>
            </w:r>
          </w:p>
        </w:tc>
        <w:tc>
          <w:tcPr>
            <w:tcW w:w="1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F42A6A" w14:textId="55ADA7A2" w:rsidR="001321BE" w:rsidRPr="004D77E0" w:rsidRDefault="001321BE" w:rsidP="001321B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>ZAPOBIEGANIE KRWAWIENIOM U DZIECI Z HEMOFILIĄ A I B (ICD-10: D66, D67)</w:t>
            </w:r>
          </w:p>
        </w:tc>
        <w:tc>
          <w:tcPr>
            <w:tcW w:w="1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AD5ADF" w14:textId="77777777" w:rsidR="00565C90" w:rsidRPr="004D77E0" w:rsidRDefault="001321BE" w:rsidP="001321B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>Rozszerzenie wskazań na pełną populację pediatryczną oraz o pacjentów z umiarkowaną postacią hemofilii A przy ciężkim fenotypie krwotocznym.</w:t>
            </w:r>
            <w:r w:rsidR="00565C90" w:rsidRPr="004D77E0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  <w:p w14:paraId="790C1040" w14:textId="02742BA7" w:rsidR="001321BE" w:rsidRPr="004D77E0" w:rsidRDefault="006C31BC" w:rsidP="001321B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</w:t>
            </w:r>
            <w:r w:rsidR="00565C90" w:rsidRPr="004D77E0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Choroba rzadka</w:t>
            </w:r>
            <w:r w:rsidRPr="004D77E0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1321BE" w:rsidRPr="004D77E0" w14:paraId="5CE97390" w14:textId="77777777" w:rsidTr="004D093B">
        <w:trPr>
          <w:cantSplit/>
          <w:trHeight w:val="20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E6F555" w14:textId="4A3568AF" w:rsidR="001321BE" w:rsidRPr="004D77E0" w:rsidRDefault="007D3AA2" w:rsidP="001321B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>3.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6E40FF" w14:textId="2C23CB0D" w:rsidR="001321BE" w:rsidRPr="004D77E0" w:rsidRDefault="001321BE" w:rsidP="001321B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Remsima</w:t>
            </w:r>
          </w:p>
          <w:p w14:paraId="0F5E89EF" w14:textId="664A1011" w:rsidR="00661BA2" w:rsidRPr="004D77E0" w:rsidRDefault="00661BA2" w:rsidP="001321BE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(forma podskórna)</w:t>
            </w:r>
          </w:p>
        </w:tc>
        <w:tc>
          <w:tcPr>
            <w:tcW w:w="6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DE5750" w14:textId="21B0E678" w:rsidR="001321BE" w:rsidRPr="004D77E0" w:rsidRDefault="001321BE" w:rsidP="001321BE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infliksymab</w:t>
            </w:r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C86876" w14:textId="1A865F9D" w:rsidR="001321BE" w:rsidRPr="004D77E0" w:rsidRDefault="001321BE" w:rsidP="001321B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>B.32</w:t>
            </w:r>
          </w:p>
        </w:tc>
        <w:tc>
          <w:tcPr>
            <w:tcW w:w="1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5C4CE2" w14:textId="300ED198" w:rsidR="001321BE" w:rsidRPr="004D77E0" w:rsidRDefault="001321BE" w:rsidP="001321B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>LECZENIE PACJENTÓW Z CHOROBĄ LEŚNIOWSKIEGO – CROHNA (ICD-10: K50)</w:t>
            </w:r>
          </w:p>
        </w:tc>
        <w:tc>
          <w:tcPr>
            <w:tcW w:w="1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FE6806" w14:textId="438B799A" w:rsidR="001321BE" w:rsidRPr="004D77E0" w:rsidRDefault="001321BE" w:rsidP="001321B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Leczenie </w:t>
            </w:r>
            <w:r w:rsidRPr="004D77E0">
              <w:rPr>
                <w:rFonts w:ascii="Lato" w:hAnsi="Lato" w:cstheme="majorHAnsi"/>
                <w:bCs/>
                <w:iCs/>
                <w:color w:val="000000"/>
                <w:sz w:val="18"/>
                <w:szCs w:val="18"/>
              </w:rPr>
              <w:t>infliksymabem w postaci podskórnej pacjentów z ciężką lub umiarkowaną, czynną postacią ChL-C (wynik w skali CDAI &gt;220 punktów), w wieku od 18 lat.</w:t>
            </w:r>
          </w:p>
        </w:tc>
      </w:tr>
      <w:tr w:rsidR="001321BE" w:rsidRPr="004D77E0" w14:paraId="6D899FDB" w14:textId="77777777" w:rsidTr="004D093B">
        <w:trPr>
          <w:cantSplit/>
          <w:trHeight w:val="20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A510F3" w14:textId="0D3955CE" w:rsidR="001321BE" w:rsidRPr="004D77E0" w:rsidRDefault="007D3AA2" w:rsidP="001321B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>4.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CEBE69" w14:textId="77777777" w:rsidR="00661BA2" w:rsidRPr="004D77E0" w:rsidRDefault="00661BA2" w:rsidP="00661BA2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Remsima</w:t>
            </w:r>
          </w:p>
          <w:p w14:paraId="47880F3F" w14:textId="596B9709" w:rsidR="001321BE" w:rsidRPr="004D77E0" w:rsidRDefault="00661BA2" w:rsidP="00661BA2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(forma podskórna)</w:t>
            </w:r>
          </w:p>
        </w:tc>
        <w:tc>
          <w:tcPr>
            <w:tcW w:w="6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BDBCFA" w14:textId="2E230E61" w:rsidR="001321BE" w:rsidRPr="004D77E0" w:rsidRDefault="001321BE" w:rsidP="001321BE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infliksymab</w:t>
            </w:r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079B8A" w14:textId="11EB7E07" w:rsidR="001321BE" w:rsidRPr="004D77E0" w:rsidRDefault="001321BE" w:rsidP="001321B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>B.33</w:t>
            </w:r>
          </w:p>
        </w:tc>
        <w:tc>
          <w:tcPr>
            <w:tcW w:w="1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E6B302" w14:textId="124E7D68" w:rsidR="001321BE" w:rsidRPr="004D77E0" w:rsidRDefault="001321BE" w:rsidP="001321B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>LECZENIE CHORYCH Z AKTYWNĄ POSTACIĄ REUMATOIDALNEGO ZAPALENIA STAWÓW I MŁODZIEŃCZEGO IDIOPATYCZNEGO ZAPALENIA STAWÓW (ICD-10: M05, M06, M08)</w:t>
            </w:r>
          </w:p>
        </w:tc>
        <w:tc>
          <w:tcPr>
            <w:tcW w:w="1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6E1E34" w14:textId="682DAE5C" w:rsidR="001321BE" w:rsidRPr="004D77E0" w:rsidRDefault="001321BE" w:rsidP="001321B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>Leczenie chorych z RZS infliksymabem w podskórnej postaci leku (aktualnie refundowany jest w postaci dożylnej).</w:t>
            </w:r>
          </w:p>
        </w:tc>
      </w:tr>
      <w:tr w:rsidR="001321BE" w:rsidRPr="004D77E0" w14:paraId="1AF8AB98" w14:textId="77777777" w:rsidTr="004D093B">
        <w:trPr>
          <w:cantSplit/>
          <w:trHeight w:val="20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47C320" w14:textId="1503F737" w:rsidR="001321BE" w:rsidRPr="004D77E0" w:rsidRDefault="007D3AA2" w:rsidP="001321B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>5.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57C4F3" w14:textId="77777777" w:rsidR="00661BA2" w:rsidRPr="004D77E0" w:rsidRDefault="00661BA2" w:rsidP="00661BA2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Remsima</w:t>
            </w:r>
          </w:p>
          <w:p w14:paraId="5B155C18" w14:textId="2E2B7A24" w:rsidR="001321BE" w:rsidRPr="004D77E0" w:rsidRDefault="00661BA2" w:rsidP="00661BA2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(forma podskórna)</w:t>
            </w:r>
          </w:p>
        </w:tc>
        <w:tc>
          <w:tcPr>
            <w:tcW w:w="6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7AEAC5" w14:textId="4140BA61" w:rsidR="001321BE" w:rsidRPr="004D77E0" w:rsidRDefault="001321BE" w:rsidP="001321BE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i/>
                <w:iCs/>
                <w:sz w:val="18"/>
                <w:szCs w:val="18"/>
              </w:rPr>
              <w:t>infliksymab</w:t>
            </w:r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8D708A" w14:textId="6B3AFC58" w:rsidR="001321BE" w:rsidRPr="004D77E0" w:rsidRDefault="001321BE" w:rsidP="001321B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>B.35</w:t>
            </w:r>
          </w:p>
        </w:tc>
        <w:tc>
          <w:tcPr>
            <w:tcW w:w="1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234A55" w14:textId="50EFA564" w:rsidR="001321BE" w:rsidRPr="004D77E0" w:rsidRDefault="001321BE" w:rsidP="001321B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>LECZENIE CHORYCH Z ŁUSZCZYCOWYM ZAPALENIEM STAWÓW (ŁZS) (ICD-10: L40.5, M07.1, M07.2, M07.3)</w:t>
            </w:r>
          </w:p>
        </w:tc>
        <w:tc>
          <w:tcPr>
            <w:tcW w:w="1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E75D71" w14:textId="14A8DD0D" w:rsidR="001321BE" w:rsidRPr="004D77E0" w:rsidRDefault="001321BE" w:rsidP="001321B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>Leczenie chorych z ŁZS infliksymabem w podskórnej postaci leku (aktualnie refundowany jest w postaci dożylnej).</w:t>
            </w:r>
          </w:p>
        </w:tc>
      </w:tr>
      <w:tr w:rsidR="001321BE" w:rsidRPr="004D77E0" w14:paraId="1AE3D8C5" w14:textId="77777777" w:rsidTr="004D093B">
        <w:trPr>
          <w:cantSplit/>
          <w:trHeight w:val="20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C1359B" w14:textId="47A6ABC2" w:rsidR="001321BE" w:rsidRPr="004D77E0" w:rsidRDefault="007D3AA2" w:rsidP="001321B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>6.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732D7B" w14:textId="77777777" w:rsidR="00661BA2" w:rsidRPr="004D77E0" w:rsidRDefault="00661BA2" w:rsidP="00661BA2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Remsima</w:t>
            </w:r>
          </w:p>
          <w:p w14:paraId="55327837" w14:textId="74A479A8" w:rsidR="001321BE" w:rsidRPr="004D77E0" w:rsidRDefault="00661BA2" w:rsidP="00661BA2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(forma podskórna)</w:t>
            </w:r>
          </w:p>
        </w:tc>
        <w:tc>
          <w:tcPr>
            <w:tcW w:w="6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3AA808" w14:textId="61C974B5" w:rsidR="001321BE" w:rsidRPr="004D77E0" w:rsidRDefault="001321BE" w:rsidP="001321BE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infliksymab</w:t>
            </w:r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4CEA69" w14:textId="088F32A7" w:rsidR="001321BE" w:rsidRPr="004D77E0" w:rsidRDefault="001321BE" w:rsidP="001321B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>B.36</w:t>
            </w:r>
          </w:p>
        </w:tc>
        <w:tc>
          <w:tcPr>
            <w:tcW w:w="1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C99E21" w14:textId="7896DD8C" w:rsidR="001321BE" w:rsidRPr="004D77E0" w:rsidRDefault="001321BE" w:rsidP="001321B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>LECZENIE CHORYCH Z AKTYWNĄ POSTACIĄ ZESZTYWNIAJĄCEGO ZAPALENIA STAWÓW KRĘGOSŁUPA (ZZSK) (ICD-10: M45)</w:t>
            </w:r>
          </w:p>
        </w:tc>
        <w:tc>
          <w:tcPr>
            <w:tcW w:w="1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C4259D" w14:textId="4EBE3C7E" w:rsidR="001321BE" w:rsidRPr="004D77E0" w:rsidRDefault="001321BE" w:rsidP="001321B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>Leczenie chorych z ZZSK infliksymabem w podskórnej postaci leku (aktualnie refundowany jest w postaci dożylnej).</w:t>
            </w:r>
          </w:p>
        </w:tc>
      </w:tr>
      <w:tr w:rsidR="001321BE" w:rsidRPr="004D77E0" w14:paraId="02301C56" w14:textId="77777777" w:rsidTr="004D093B">
        <w:trPr>
          <w:cantSplit/>
          <w:trHeight w:val="20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06A9B5" w14:textId="140CC465" w:rsidR="001321BE" w:rsidRPr="004D77E0" w:rsidRDefault="007D3AA2" w:rsidP="001321B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>7.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FD3F66" w14:textId="77777777" w:rsidR="00661BA2" w:rsidRPr="004D77E0" w:rsidRDefault="00661BA2" w:rsidP="00661BA2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Remsima</w:t>
            </w:r>
          </w:p>
          <w:p w14:paraId="68A957B3" w14:textId="4A762716" w:rsidR="001321BE" w:rsidRPr="004D77E0" w:rsidRDefault="00661BA2" w:rsidP="00661BA2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(forma podskórna)</w:t>
            </w:r>
          </w:p>
        </w:tc>
        <w:tc>
          <w:tcPr>
            <w:tcW w:w="6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964ACA" w14:textId="37A5C639" w:rsidR="001321BE" w:rsidRPr="004D77E0" w:rsidRDefault="001321BE" w:rsidP="001321BE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infliksymab</w:t>
            </w:r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BFFC46" w14:textId="6DB23F5D" w:rsidR="001321BE" w:rsidRPr="004D77E0" w:rsidRDefault="001321BE" w:rsidP="001321B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>B.47</w:t>
            </w:r>
          </w:p>
        </w:tc>
        <w:tc>
          <w:tcPr>
            <w:tcW w:w="1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3E01EB" w14:textId="6A35B7A3" w:rsidR="001321BE" w:rsidRPr="004D77E0" w:rsidRDefault="001321BE" w:rsidP="001321B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>LECZENIE CHORYCH Z UMIARKOWANĄ I CIĘŻKĄ POSTACIĄ ŁUSZCZYCY PLACKOWATEJ (ICD-10: L40.0)</w:t>
            </w:r>
          </w:p>
        </w:tc>
        <w:tc>
          <w:tcPr>
            <w:tcW w:w="1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DC4AD8" w14:textId="29D2D4F0" w:rsidR="001321BE" w:rsidRPr="004D77E0" w:rsidRDefault="001321BE" w:rsidP="001321B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>Leczenie chorych z łuszczycą plackowatą infliksymabem w podskórnej postaci leku (aktualnie refundowany jest w postaci dożylnej).</w:t>
            </w:r>
          </w:p>
        </w:tc>
      </w:tr>
      <w:tr w:rsidR="001321BE" w:rsidRPr="004D77E0" w14:paraId="2A1C2042" w14:textId="77777777" w:rsidTr="004D093B">
        <w:trPr>
          <w:cantSplit/>
          <w:trHeight w:val="20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F9812C" w14:textId="5458235F" w:rsidR="001321BE" w:rsidRPr="004D77E0" w:rsidRDefault="007D3AA2" w:rsidP="001321B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>8.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933BFB" w14:textId="77777777" w:rsidR="00661BA2" w:rsidRPr="004D77E0" w:rsidRDefault="00661BA2" w:rsidP="00661BA2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Remsima</w:t>
            </w:r>
          </w:p>
          <w:p w14:paraId="33DD37AC" w14:textId="2870DEAE" w:rsidR="001321BE" w:rsidRPr="004D77E0" w:rsidRDefault="00661BA2" w:rsidP="00661BA2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(forma podskórna)</w:t>
            </w:r>
          </w:p>
        </w:tc>
        <w:tc>
          <w:tcPr>
            <w:tcW w:w="6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AD8E49" w14:textId="37372FC0" w:rsidR="001321BE" w:rsidRPr="004D77E0" w:rsidRDefault="001321BE" w:rsidP="001321BE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i/>
                <w:iCs/>
                <w:sz w:val="18"/>
                <w:szCs w:val="18"/>
              </w:rPr>
              <w:t>infliksymab</w:t>
            </w:r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386754" w14:textId="5B2FAC12" w:rsidR="001321BE" w:rsidRPr="004D77E0" w:rsidRDefault="001321BE" w:rsidP="001321B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>B.55</w:t>
            </w:r>
          </w:p>
        </w:tc>
        <w:tc>
          <w:tcPr>
            <w:tcW w:w="1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E0CF12" w14:textId="4EE907C7" w:rsidR="001321BE" w:rsidRPr="004D77E0" w:rsidRDefault="001321BE" w:rsidP="001321B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>LECZENIE PACJENTÓW Z WRZODZIEJĄCYM ZAPALENIEM JELITA GRUBEGO (WZJG) (ICD-10: K51)</w:t>
            </w:r>
          </w:p>
        </w:tc>
        <w:tc>
          <w:tcPr>
            <w:tcW w:w="1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7498F1" w14:textId="5CDC43F1" w:rsidR="001321BE" w:rsidRPr="004D77E0" w:rsidRDefault="001321BE" w:rsidP="001321B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Leczenie </w:t>
            </w:r>
            <w:r w:rsidRPr="004D77E0">
              <w:rPr>
                <w:rFonts w:ascii="Lato" w:hAnsi="Lato" w:cstheme="majorHAnsi"/>
                <w:bCs/>
                <w:iCs/>
                <w:color w:val="000000"/>
                <w:sz w:val="18"/>
                <w:szCs w:val="18"/>
              </w:rPr>
              <w:t>infliksymabem w postaci podskórnej pacjentów z ciężką lub umiarkowaną postacią WZJG (wynik w skali Mayo ≥6 punktów), w wieku od 18 lat.</w:t>
            </w:r>
          </w:p>
        </w:tc>
      </w:tr>
      <w:tr w:rsidR="001321BE" w:rsidRPr="004D77E0" w14:paraId="4B5EB201" w14:textId="77777777" w:rsidTr="004D093B">
        <w:trPr>
          <w:cantSplit/>
          <w:trHeight w:val="20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96C369" w14:textId="6017B4B0" w:rsidR="001321BE" w:rsidRPr="004D77E0" w:rsidRDefault="007D3AA2" w:rsidP="001321B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lastRenderedPageBreak/>
              <w:t>9.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D38E2E" w14:textId="43146100" w:rsidR="001321BE" w:rsidRPr="004D77E0" w:rsidRDefault="001321BE" w:rsidP="001321B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Fasenra</w:t>
            </w:r>
          </w:p>
        </w:tc>
        <w:tc>
          <w:tcPr>
            <w:tcW w:w="6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0237ED" w14:textId="7FDA0CF2" w:rsidR="001321BE" w:rsidRPr="004D77E0" w:rsidRDefault="001321BE" w:rsidP="001321BE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benralizumab</w:t>
            </w:r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28684C" w14:textId="6B2F98D9" w:rsidR="001321BE" w:rsidRPr="004D77E0" w:rsidRDefault="001321BE" w:rsidP="001321B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>B.75</w:t>
            </w:r>
          </w:p>
        </w:tc>
        <w:tc>
          <w:tcPr>
            <w:tcW w:w="1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360658" w14:textId="1C079D44" w:rsidR="001321BE" w:rsidRPr="004D77E0" w:rsidRDefault="001321BE" w:rsidP="001321B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>LECZENIE PACJENTÓW Z UKŁADOWYMI ZAPALENIAMI NACZYŃ (ICD-10: M30.1, M31.3, M31.5, M31.6, M31.7, M31.8)</w:t>
            </w:r>
          </w:p>
        </w:tc>
        <w:tc>
          <w:tcPr>
            <w:tcW w:w="1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290AD9" w14:textId="77777777" w:rsidR="001321BE" w:rsidRPr="004D77E0" w:rsidRDefault="001321BE" w:rsidP="001321B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>Leczenie benralizumabem pacjentów od 18 r. ż. chorych na eozynofilową ziarniniakowatość z zapaleniem naczyń w dedykowanej części programu: „III. LECZENIE CHORYCH Z AKTYWNĄ POSTACIĄ EOZYNOFILOWEJ ZIARNINIAKOWATOŚCI Z ZAPALENIEM NACZYŃ  (EGPA) (ICD-10: M30.1)”</w:t>
            </w:r>
          </w:p>
          <w:p w14:paraId="799E5CE5" w14:textId="20921C2C" w:rsidR="001321BE" w:rsidRPr="004D77E0" w:rsidRDefault="001321BE" w:rsidP="001321B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(Choroba rzadka)</w:t>
            </w:r>
          </w:p>
        </w:tc>
      </w:tr>
      <w:tr w:rsidR="001321BE" w:rsidRPr="004D77E0" w14:paraId="1913EFED" w14:textId="77777777" w:rsidTr="004D093B">
        <w:trPr>
          <w:cantSplit/>
          <w:trHeight w:val="20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6DF589" w14:textId="7E45842A" w:rsidR="001321BE" w:rsidRPr="004D77E0" w:rsidRDefault="007D3AA2" w:rsidP="001321B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>10.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715499" w14:textId="3BCED62A" w:rsidR="001321BE" w:rsidRPr="004D77E0" w:rsidRDefault="001321BE" w:rsidP="001321B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="Calibri"/>
                <w:b/>
                <w:bCs/>
                <w:color w:val="000000"/>
                <w:sz w:val="18"/>
                <w:szCs w:val="18"/>
              </w:rPr>
              <w:t>Voydeya</w:t>
            </w:r>
          </w:p>
        </w:tc>
        <w:tc>
          <w:tcPr>
            <w:tcW w:w="6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C74487" w14:textId="08FAEB6B" w:rsidR="001321BE" w:rsidRPr="004D77E0" w:rsidRDefault="001321BE" w:rsidP="001321BE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="Calibri"/>
                <w:i/>
                <w:iCs/>
                <w:color w:val="000000"/>
                <w:sz w:val="18"/>
                <w:szCs w:val="18"/>
              </w:rPr>
              <w:t>danikopan</w:t>
            </w:r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9CCBCE" w14:textId="1D261967" w:rsidR="001321BE" w:rsidRPr="004D77E0" w:rsidRDefault="001321BE" w:rsidP="001321B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="Calibri"/>
                <w:color w:val="000000"/>
                <w:sz w:val="18"/>
                <w:szCs w:val="18"/>
              </w:rPr>
              <w:t>B.96</w:t>
            </w:r>
          </w:p>
        </w:tc>
        <w:tc>
          <w:tcPr>
            <w:tcW w:w="1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4372BA" w14:textId="59A93A5D" w:rsidR="001321BE" w:rsidRPr="004D77E0" w:rsidRDefault="001321BE" w:rsidP="001321B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="Calibri"/>
                <w:color w:val="000000"/>
                <w:sz w:val="18"/>
                <w:szCs w:val="18"/>
              </w:rPr>
              <w:t>LECZENIE CHORYCH Z NOCNĄ NAPADOWĄ HEMOGLOBINURIĄ (PNH) (ICD-10 D59.5)</w:t>
            </w:r>
          </w:p>
        </w:tc>
        <w:tc>
          <w:tcPr>
            <w:tcW w:w="1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397F4A" w14:textId="77777777" w:rsidR="006C31BC" w:rsidRPr="004D77E0" w:rsidRDefault="001321BE" w:rsidP="001321B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Leczenie dorosłych pacjentów z PNH danikopanem w skojarzeniu z rawulizumabem lub ekulizumabem, pierwsza terapia doustna. </w:t>
            </w:r>
          </w:p>
          <w:p w14:paraId="2095420F" w14:textId="7CB694DC" w:rsidR="001321BE" w:rsidRPr="004D77E0" w:rsidRDefault="006C31BC" w:rsidP="001321B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</w:t>
            </w:r>
            <w:r w:rsidR="001321BE" w:rsidRPr="004D77E0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Choroba rzadka</w:t>
            </w:r>
            <w:r w:rsidRPr="004D77E0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06DAB" w:rsidRPr="004D77E0" w14:paraId="2046657E" w14:textId="77777777" w:rsidTr="00A06DAB">
        <w:trPr>
          <w:cantSplit/>
          <w:trHeight w:val="20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A88484" w14:textId="66B91894" w:rsidR="00A06DAB" w:rsidRPr="004D77E0" w:rsidRDefault="00A06DAB" w:rsidP="00A06DA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>11.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F07952" w14:textId="12D888C4" w:rsidR="00A06DAB" w:rsidRPr="004D77E0" w:rsidRDefault="00A06DAB" w:rsidP="00A06DAB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="Calibri"/>
                <w:b/>
                <w:bCs/>
                <w:color w:val="000000"/>
                <w:sz w:val="18"/>
                <w:szCs w:val="18"/>
              </w:rPr>
              <w:t>Piasky</w:t>
            </w:r>
          </w:p>
        </w:tc>
        <w:tc>
          <w:tcPr>
            <w:tcW w:w="6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6B0F91" w14:textId="180390F0" w:rsidR="00A06DAB" w:rsidRPr="004D77E0" w:rsidRDefault="00A06DAB" w:rsidP="00A06DAB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="Calibri"/>
                <w:i/>
                <w:iCs/>
                <w:color w:val="000000"/>
                <w:sz w:val="18"/>
                <w:szCs w:val="18"/>
              </w:rPr>
              <w:t>krowalimab</w:t>
            </w:r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0D9CF" w14:textId="5BDC0779" w:rsidR="00A06DAB" w:rsidRPr="004D77E0" w:rsidRDefault="00A06DAB" w:rsidP="00A06DA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="Calibri"/>
                <w:color w:val="000000"/>
                <w:sz w:val="18"/>
                <w:szCs w:val="18"/>
              </w:rPr>
              <w:t>B.96</w:t>
            </w:r>
          </w:p>
        </w:tc>
        <w:tc>
          <w:tcPr>
            <w:tcW w:w="1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F0B384" w14:textId="2317A751" w:rsidR="00A06DAB" w:rsidRPr="004D77E0" w:rsidRDefault="00A06DAB" w:rsidP="00A06DA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="Calibri"/>
                <w:color w:val="000000"/>
                <w:sz w:val="18"/>
                <w:szCs w:val="18"/>
              </w:rPr>
              <w:t>LECZENIE CHORYCH Z NOCNĄ NAPADOWĄ HEMOGLOBINURIĄ (PNH) (ICD-10 D59.5)</w:t>
            </w:r>
          </w:p>
        </w:tc>
        <w:tc>
          <w:tcPr>
            <w:tcW w:w="1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7A99A7" w14:textId="77777777" w:rsidR="00A06DAB" w:rsidRPr="004D77E0" w:rsidRDefault="00A06DAB" w:rsidP="00A06DAB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>Leczenie pacjentów z PNH w wieku od 12 roku życia wcześniej nieleczonych inhibitorami C5 (C5i) lub stabilnych, leczonych C5i co najmniej 6 miesięcy.  Jest to rekombinowane humanizowane przeciwciało monoklonalne klasy immunoglobulin G1 (IgG1)- inhibitor układu dopełniacza C5.</w:t>
            </w:r>
            <w:r w:rsidRPr="004D77E0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  <w:p w14:paraId="70239635" w14:textId="43658398" w:rsidR="00A06DAB" w:rsidRPr="004D77E0" w:rsidRDefault="00A06DAB" w:rsidP="00A06DA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(Choroba rzadka)</w:t>
            </w:r>
          </w:p>
        </w:tc>
      </w:tr>
      <w:tr w:rsidR="00A06DAB" w:rsidRPr="004D77E0" w14:paraId="550257DA" w14:textId="77777777" w:rsidTr="004D093B">
        <w:trPr>
          <w:cantSplit/>
          <w:trHeight w:val="20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EA4F64" w14:textId="1C84FA7D" w:rsidR="00A06DAB" w:rsidRPr="004D77E0" w:rsidRDefault="00A06DAB" w:rsidP="00A06DA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>12.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F47AC7" w14:textId="28763596" w:rsidR="00A06DAB" w:rsidRPr="004D77E0" w:rsidRDefault="00A06DAB" w:rsidP="00A06DAB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Leqvio</w:t>
            </w:r>
          </w:p>
        </w:tc>
        <w:tc>
          <w:tcPr>
            <w:tcW w:w="6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172120" w14:textId="59F28D63" w:rsidR="00A06DAB" w:rsidRPr="004D77E0" w:rsidRDefault="00A06DAB" w:rsidP="00A06DAB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inklisiran</w:t>
            </w:r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5E93A1" w14:textId="4926FD42" w:rsidR="00A06DAB" w:rsidRPr="004D77E0" w:rsidRDefault="00A06DAB" w:rsidP="00A06DA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>B.101</w:t>
            </w:r>
          </w:p>
        </w:tc>
        <w:tc>
          <w:tcPr>
            <w:tcW w:w="1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525A82" w14:textId="2E810FAD" w:rsidR="00A06DAB" w:rsidRPr="004D77E0" w:rsidRDefault="00A06DAB" w:rsidP="00A06DA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>LECZENIE PACJENTÓW Z ZABURZENIAMI LIPIDOWYMI (ICD-10: E78.01, I21, I22, I25)</w:t>
            </w:r>
          </w:p>
        </w:tc>
        <w:tc>
          <w:tcPr>
            <w:tcW w:w="1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6710F4" w14:textId="500A58C4" w:rsidR="00A06DAB" w:rsidRPr="004D77E0" w:rsidRDefault="00A06DAB" w:rsidP="00A06DA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>Rozszerzenie leczenia dla populacji dorosłych pacjentów z bardzo wysokim i ekstremalnym ryzykiem chorób układu sercowo-naczyniowego oraz dorosłych pacjentów z heterozygotyczną hipercholesterolemią rodzinną.</w:t>
            </w:r>
          </w:p>
        </w:tc>
      </w:tr>
      <w:tr w:rsidR="00A06DAB" w:rsidRPr="004D77E0" w14:paraId="4BA1E6EF" w14:textId="77777777" w:rsidTr="004D093B">
        <w:trPr>
          <w:cantSplit/>
          <w:trHeight w:val="20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D018CF" w14:textId="40FDF69A" w:rsidR="00A06DAB" w:rsidRPr="004D77E0" w:rsidRDefault="00A06DAB" w:rsidP="00A06DA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>13.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5493E5" w14:textId="37FC3F21" w:rsidR="00A06DAB" w:rsidRPr="004D77E0" w:rsidRDefault="00A06DAB" w:rsidP="00A06DAB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b/>
                <w:bCs/>
                <w:sz w:val="18"/>
                <w:szCs w:val="18"/>
              </w:rPr>
              <w:t>Praluent</w:t>
            </w:r>
          </w:p>
        </w:tc>
        <w:tc>
          <w:tcPr>
            <w:tcW w:w="6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A71BC" w14:textId="630EAC5A" w:rsidR="00A06DAB" w:rsidRPr="004D77E0" w:rsidRDefault="00A06DAB" w:rsidP="00A06DAB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i/>
                <w:iCs/>
                <w:sz w:val="18"/>
                <w:szCs w:val="18"/>
              </w:rPr>
              <w:t>alirokumab</w:t>
            </w:r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AA2650" w14:textId="44F6F0F5" w:rsidR="00A06DAB" w:rsidRPr="004D77E0" w:rsidRDefault="00A06DAB" w:rsidP="00A06DA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>B.101</w:t>
            </w:r>
          </w:p>
        </w:tc>
        <w:tc>
          <w:tcPr>
            <w:tcW w:w="1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8CD648" w14:textId="2843380A" w:rsidR="00A06DAB" w:rsidRPr="004D77E0" w:rsidRDefault="00A06DAB" w:rsidP="00A06DA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>LECZENIE PACJENTÓW Z ZABURZENIAMI LIPIDOWYMI (ICD-10: E78.01, I21, I22, I25)</w:t>
            </w:r>
          </w:p>
        </w:tc>
        <w:tc>
          <w:tcPr>
            <w:tcW w:w="1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F1EF0C" w14:textId="77777777" w:rsidR="00A06DAB" w:rsidRPr="004D77E0" w:rsidRDefault="00A06DAB" w:rsidP="00A06DA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>Rozszerzenie leczenia dla populacji dorosłych pacjentów z bardzo wysokim i ekstremalnym ryzykiem chorób układu sercowo-naczyniowego oraz dorosłych pacjentów z heterozygotyczną hipercholesterolemią rodzinną.</w:t>
            </w:r>
          </w:p>
          <w:p w14:paraId="29054E84" w14:textId="316C929A" w:rsidR="00A06DAB" w:rsidRPr="004D77E0" w:rsidRDefault="00A06DAB" w:rsidP="00A06DA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>Leczenie pediatrycznych pacjentów z heterozygotyczną hipercholesterolemią rodzinną.</w:t>
            </w:r>
          </w:p>
        </w:tc>
      </w:tr>
      <w:tr w:rsidR="00A06DAB" w:rsidRPr="004D77E0" w14:paraId="43E8CAC2" w14:textId="77777777" w:rsidTr="004D093B">
        <w:trPr>
          <w:cantSplit/>
          <w:trHeight w:val="20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6A2A5B" w14:textId="474E6011" w:rsidR="00A06DAB" w:rsidRPr="004D77E0" w:rsidRDefault="00A06DAB" w:rsidP="00A06DA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>14.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E7EAA7" w14:textId="2D40DF5C" w:rsidR="00A06DAB" w:rsidRPr="004D77E0" w:rsidRDefault="00A06DAB" w:rsidP="00A06DAB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Repatha</w:t>
            </w:r>
          </w:p>
        </w:tc>
        <w:tc>
          <w:tcPr>
            <w:tcW w:w="6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2203C6" w14:textId="2CC595DA" w:rsidR="00A06DAB" w:rsidRPr="004D77E0" w:rsidRDefault="00A06DAB" w:rsidP="00A06DAB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ewolokumab</w:t>
            </w:r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F7AD8D" w14:textId="3312A656" w:rsidR="00A06DAB" w:rsidRPr="004D77E0" w:rsidRDefault="00A06DAB" w:rsidP="00A06DA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>B.101</w:t>
            </w:r>
          </w:p>
        </w:tc>
        <w:tc>
          <w:tcPr>
            <w:tcW w:w="1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C9E658" w14:textId="35C9A975" w:rsidR="00A06DAB" w:rsidRPr="004D77E0" w:rsidRDefault="00A06DAB" w:rsidP="00A06DA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>LECZENIE PACJENTÓW Z ZABURZENIAMI LIPIDOWYMI (ICD-10: E78.01, I21, I22, I25)</w:t>
            </w:r>
          </w:p>
        </w:tc>
        <w:tc>
          <w:tcPr>
            <w:tcW w:w="1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969BEF" w14:textId="7ADE3680" w:rsidR="00A06DAB" w:rsidRPr="004D77E0" w:rsidRDefault="00A06DAB" w:rsidP="00A06DA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>Rozszerzenie leczenia dla populacji dorosłych pacjentów z bardzo wysokim i ekstremalnym ryzykiem chorób układu sercowo-naczyniowego oraz dorosłych pacjentów z heterozygotyczną hipercholesterolemią rodzinną.</w:t>
            </w:r>
          </w:p>
        </w:tc>
      </w:tr>
      <w:tr w:rsidR="00A06DAB" w:rsidRPr="004D77E0" w14:paraId="3169AFC0" w14:textId="77777777" w:rsidTr="004D093B">
        <w:trPr>
          <w:cantSplit/>
          <w:trHeight w:val="20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51BB44" w14:textId="501FFFD7" w:rsidR="00A06DAB" w:rsidRPr="004D77E0" w:rsidRDefault="00A06DAB" w:rsidP="00A06DA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>15.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8A0D2C" w14:textId="39DDC2AA" w:rsidR="00A06DAB" w:rsidRPr="004D77E0" w:rsidRDefault="00A06DAB" w:rsidP="00A06DAB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="Calibri"/>
                <w:b/>
                <w:bCs/>
                <w:color w:val="000000"/>
                <w:sz w:val="18"/>
                <w:szCs w:val="18"/>
              </w:rPr>
              <w:t>Cibinqo</w:t>
            </w:r>
          </w:p>
        </w:tc>
        <w:tc>
          <w:tcPr>
            <w:tcW w:w="6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28395D" w14:textId="0B81B878" w:rsidR="00A06DAB" w:rsidRPr="004D77E0" w:rsidRDefault="00A06DAB" w:rsidP="00A06DAB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="Calibri"/>
                <w:i/>
                <w:iCs/>
                <w:color w:val="000000"/>
                <w:sz w:val="18"/>
                <w:szCs w:val="18"/>
              </w:rPr>
              <w:t>abrocytynib</w:t>
            </w:r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2D5950" w14:textId="0A8E9CBA" w:rsidR="00A06DAB" w:rsidRPr="004D77E0" w:rsidRDefault="00A06DAB" w:rsidP="00A06DA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="Calibri"/>
                <w:color w:val="000000"/>
                <w:sz w:val="18"/>
                <w:szCs w:val="18"/>
              </w:rPr>
              <w:t>B.124</w:t>
            </w:r>
          </w:p>
        </w:tc>
        <w:tc>
          <w:tcPr>
            <w:tcW w:w="1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C81233" w14:textId="1C1F49D7" w:rsidR="00A06DAB" w:rsidRPr="004D77E0" w:rsidRDefault="00A06DAB" w:rsidP="00A06DA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="Calibri"/>
                <w:color w:val="000000"/>
                <w:sz w:val="18"/>
                <w:szCs w:val="18"/>
              </w:rPr>
              <w:t>LECZENIE CHORYCH Z ATOPOWYM ZAPALENIEM SKÓRY (ICD-10: L20)</w:t>
            </w:r>
          </w:p>
        </w:tc>
        <w:tc>
          <w:tcPr>
            <w:tcW w:w="1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6F1AF3" w14:textId="77606E68" w:rsidR="00A06DAB" w:rsidRPr="004D77E0" w:rsidRDefault="00A06DAB" w:rsidP="00A06DA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Rozszerzenie populacji pacjentów z ciężką postacią AZS poprzez obniżenie wieku z 18 lat do 12 lat i powyżej. </w:t>
            </w:r>
          </w:p>
        </w:tc>
      </w:tr>
      <w:tr w:rsidR="00A06DAB" w:rsidRPr="004D77E0" w14:paraId="3ECF8532" w14:textId="77777777" w:rsidTr="00A06DAB">
        <w:trPr>
          <w:cantSplit/>
          <w:trHeight w:val="20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C3447D" w14:textId="32EC90FC" w:rsidR="00A06DAB" w:rsidRPr="004D77E0" w:rsidRDefault="00A06DAB" w:rsidP="00A06DA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>16.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274AE7" w14:textId="4978798D" w:rsidR="00A06DAB" w:rsidRPr="004D77E0" w:rsidRDefault="00A06DAB" w:rsidP="00A06DAB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 xml:space="preserve">Różne produkty handlowe </w:t>
            </w:r>
          </w:p>
        </w:tc>
        <w:tc>
          <w:tcPr>
            <w:tcW w:w="6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712B13" w14:textId="2DDBF41C" w:rsidR="00A06DAB" w:rsidRPr="004D77E0" w:rsidRDefault="00A06DAB" w:rsidP="00A06DAB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rytuksymab</w:t>
            </w:r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8E69B8" w14:textId="6A30A080" w:rsidR="00A06DAB" w:rsidRPr="004D77E0" w:rsidRDefault="00A06DAB" w:rsidP="00A06DA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>B.150</w:t>
            </w:r>
          </w:p>
        </w:tc>
        <w:tc>
          <w:tcPr>
            <w:tcW w:w="1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7A8E50" w14:textId="668A2F88" w:rsidR="00A06DAB" w:rsidRPr="004D77E0" w:rsidRDefault="00A06DAB" w:rsidP="00A06DA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>LECZENIE CHORYCH Z TOCZNIEM RUMIENIOWATYM UKŁADOWYM (TRU, SLE) (ICD-10: M32)</w:t>
            </w:r>
          </w:p>
        </w:tc>
        <w:tc>
          <w:tcPr>
            <w:tcW w:w="1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4E56DC" w14:textId="77777777" w:rsidR="00A06DAB" w:rsidRPr="00F453C2" w:rsidRDefault="00A06DAB" w:rsidP="00A06DAB">
            <w:pPr>
              <w:spacing w:before="60" w:after="60" w:line="240" w:lineRule="auto"/>
              <w:jc w:val="center"/>
              <w:rPr>
                <w:rFonts w:ascii="Lato" w:hAnsi="Lato"/>
              </w:rPr>
            </w:pP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>Leczenie rytuksymabem pacjentów z toczniem rumieniowatym układowym w wieku ≥ 18 lat oraz dzieci po okresie dojrzewania.</w:t>
            </w:r>
            <w:r w:rsidRPr="00F453C2">
              <w:rPr>
                <w:rFonts w:ascii="Lato" w:hAnsi="Lato"/>
              </w:rPr>
              <w:t xml:space="preserve"> </w:t>
            </w:r>
          </w:p>
          <w:p w14:paraId="7E6729AF" w14:textId="77777777" w:rsidR="00A06DAB" w:rsidRPr="004D77E0" w:rsidRDefault="00A06DAB" w:rsidP="00A06DAB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(Wskazanie off-label)</w:t>
            </w:r>
          </w:p>
          <w:p w14:paraId="7DB25E10" w14:textId="56B710C4" w:rsidR="00A06DAB" w:rsidRPr="004D77E0" w:rsidRDefault="00A06DAB" w:rsidP="00A06DA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(Choroba rzadka)</w:t>
            </w:r>
          </w:p>
        </w:tc>
      </w:tr>
      <w:tr w:rsidR="00A06DAB" w:rsidRPr="004D77E0" w14:paraId="4D0AB30A" w14:textId="77777777" w:rsidTr="004D093B">
        <w:trPr>
          <w:cantSplit/>
          <w:trHeight w:val="20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9C4D9B" w14:textId="78092BE7" w:rsidR="00A06DAB" w:rsidRPr="004D77E0" w:rsidRDefault="00A06DAB" w:rsidP="00A06DA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lastRenderedPageBreak/>
              <w:t>17.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59ED3A" w14:textId="480B0226" w:rsidR="00A06DAB" w:rsidRPr="004D77E0" w:rsidRDefault="00A06DAB" w:rsidP="00A06DAB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Różne produkty handlowe</w:t>
            </w:r>
          </w:p>
        </w:tc>
        <w:tc>
          <w:tcPr>
            <w:tcW w:w="6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EEB392" w14:textId="695E4890" w:rsidR="00A06DAB" w:rsidRPr="004D77E0" w:rsidRDefault="00A06DAB" w:rsidP="00A06DAB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rytuksymab</w:t>
            </w:r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6BB84A" w14:textId="1476AE78" w:rsidR="00A06DAB" w:rsidRPr="004D77E0" w:rsidRDefault="00A06DAB" w:rsidP="00A06DA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>B.135</w:t>
            </w:r>
          </w:p>
        </w:tc>
        <w:tc>
          <w:tcPr>
            <w:tcW w:w="1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89B6F7" w14:textId="26192E2A" w:rsidR="00A06DAB" w:rsidRPr="004D77E0" w:rsidRDefault="00A06DAB" w:rsidP="00A06DA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>LECZENIE PACJENTÓW Z CHOROBĄ ŚRÓDMIĄŻSZOWĄ PŁUC (ICD-10: D86, J67.0-J67.9, J84.1, J84.8, J84.9, J99.0, J99.1, M34)</w:t>
            </w:r>
          </w:p>
        </w:tc>
        <w:tc>
          <w:tcPr>
            <w:tcW w:w="1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0CB7BB" w14:textId="77777777" w:rsidR="00A06DAB" w:rsidRPr="004D77E0" w:rsidRDefault="00A06DAB" w:rsidP="00A06DA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Leczenie rytuksymabem pacjentów z chorobą śródmiąższową płuc przebiegającą z włóknieniem o </w:t>
            </w: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br/>
              <w:t>fenotypie postępującym (PF-ILD) w przebiegu układowych chorób tkanki łącznej lub związaną z twardziną układową (SSc-ILD).</w:t>
            </w:r>
          </w:p>
          <w:p w14:paraId="15F15CCC" w14:textId="77777777" w:rsidR="00A06DAB" w:rsidRPr="004D77E0" w:rsidRDefault="00A06DAB" w:rsidP="00A06DAB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F453C2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(Wskazanie off-label)</w:t>
            </w:r>
          </w:p>
          <w:p w14:paraId="503CF187" w14:textId="6781CC1C" w:rsidR="00A06DAB" w:rsidRPr="004D77E0" w:rsidRDefault="00A06DAB" w:rsidP="00A06DA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(Choroba rzadka)</w:t>
            </w:r>
          </w:p>
        </w:tc>
      </w:tr>
      <w:tr w:rsidR="00A06DAB" w:rsidRPr="004D77E0" w14:paraId="5CBB1977" w14:textId="77777777" w:rsidTr="004D093B">
        <w:trPr>
          <w:cantSplit/>
          <w:trHeight w:val="20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A26E77" w14:textId="08D33A97" w:rsidR="00A06DAB" w:rsidRPr="004D77E0" w:rsidRDefault="00A06DAB" w:rsidP="00A06DA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>18.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74939C" w14:textId="79802B61" w:rsidR="00A06DAB" w:rsidRPr="004D77E0" w:rsidRDefault="00A06DAB" w:rsidP="00A06DAB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Różne produkty handlowe</w:t>
            </w:r>
          </w:p>
        </w:tc>
        <w:tc>
          <w:tcPr>
            <w:tcW w:w="6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4FB358" w14:textId="450D26F1" w:rsidR="00A06DAB" w:rsidRPr="004D77E0" w:rsidRDefault="00A06DAB" w:rsidP="00A06DAB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tocilizumab</w:t>
            </w:r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A0117B" w14:textId="280FF794" w:rsidR="00A06DAB" w:rsidRPr="004D77E0" w:rsidRDefault="00A06DAB" w:rsidP="00A06DA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>B.135</w:t>
            </w:r>
          </w:p>
        </w:tc>
        <w:tc>
          <w:tcPr>
            <w:tcW w:w="1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CB85B6" w14:textId="07D654A8" w:rsidR="00A06DAB" w:rsidRPr="004D77E0" w:rsidRDefault="00A06DAB" w:rsidP="00A06DA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>LECZENIE PACJENTÓW Z CHOROBĄ ŚRÓDMIĄŻSZOWĄ PŁUC (ICD-10: D86, J67.0-J67.9, J84.1, J84.8, J84.9, J99.0, J99.1, M34)</w:t>
            </w:r>
          </w:p>
        </w:tc>
        <w:tc>
          <w:tcPr>
            <w:tcW w:w="1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7A73A4" w14:textId="77777777" w:rsidR="00A06DAB" w:rsidRPr="004D77E0" w:rsidRDefault="00A06DAB" w:rsidP="00A06DA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>Leczenie tocilizumabem pacjentów z chorobą śródmiąższową płuc związaną z twardziną układową (SSc-ILD).</w:t>
            </w:r>
          </w:p>
          <w:p w14:paraId="28B346C7" w14:textId="77777777" w:rsidR="00A06DAB" w:rsidRPr="004D77E0" w:rsidRDefault="00A06DAB" w:rsidP="00A06DAB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F453C2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(Wskazanie off-label)</w:t>
            </w:r>
          </w:p>
          <w:p w14:paraId="47D54B6B" w14:textId="00AEFEDD" w:rsidR="00A06DAB" w:rsidRPr="00F453C2" w:rsidRDefault="00A06DAB" w:rsidP="00A06DAB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(Choroba rzadka)</w:t>
            </w:r>
          </w:p>
        </w:tc>
      </w:tr>
      <w:tr w:rsidR="00A06DAB" w:rsidRPr="004D77E0" w14:paraId="0D2D9E14" w14:textId="77777777" w:rsidTr="004D093B">
        <w:trPr>
          <w:cantSplit/>
          <w:trHeight w:val="20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CBC798" w14:textId="3AD0BB42" w:rsidR="00A06DAB" w:rsidRPr="004D77E0" w:rsidRDefault="00A06DAB" w:rsidP="00A06DA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>19.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B4D402" w14:textId="54740B19" w:rsidR="00A06DAB" w:rsidRPr="004D77E0" w:rsidRDefault="00A06DAB" w:rsidP="00A06DAB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Qalsody 100 mg roztwór do wstrzykiwań</w:t>
            </w:r>
          </w:p>
        </w:tc>
        <w:tc>
          <w:tcPr>
            <w:tcW w:w="6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3616A2" w14:textId="02DA9B5F" w:rsidR="00A06DAB" w:rsidRPr="004D77E0" w:rsidRDefault="00A06DAB" w:rsidP="00A06DAB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tofersen</w:t>
            </w:r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0F30C0" w14:textId="17874FED" w:rsidR="00A06DAB" w:rsidRPr="004D77E0" w:rsidRDefault="00A06DAB" w:rsidP="00A06DA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>B.176</w:t>
            </w:r>
          </w:p>
        </w:tc>
        <w:tc>
          <w:tcPr>
            <w:tcW w:w="1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CDFECD" w14:textId="3D11E45B" w:rsidR="00A06DAB" w:rsidRPr="004D77E0" w:rsidRDefault="00A06DAB" w:rsidP="00A06DA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>LECZENIE CHORYCH NA STWARDNIENIE ZANIKOWE BOCZNE (ICD-10: G12.2)</w:t>
            </w:r>
          </w:p>
        </w:tc>
        <w:tc>
          <w:tcPr>
            <w:tcW w:w="1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725CCF" w14:textId="77777777" w:rsidR="00A06DAB" w:rsidRPr="004D77E0" w:rsidRDefault="00A06DAB" w:rsidP="00A06DA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>Leczenie chorych na stwardnienie zanikowe boczne (ALS, SLA) związane z mutacją w genie dysmutazy ponadtlenkowej 1 (SOD1).</w:t>
            </w:r>
          </w:p>
          <w:p w14:paraId="285F64AA" w14:textId="77777777" w:rsidR="00A06DAB" w:rsidRPr="004D77E0" w:rsidRDefault="00A06DAB" w:rsidP="00A06DA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>Tofersen jest zaawansowaną cząsteczką (antysensownym oligonukleotydem) i jest przeznaczony do stosowania dooponowego przez nakłucie lędźwiowe.</w:t>
            </w:r>
          </w:p>
          <w:p w14:paraId="7AB5027E" w14:textId="6EA5A426" w:rsidR="00A06DAB" w:rsidRPr="00F453C2" w:rsidRDefault="00A06DAB" w:rsidP="00A06DAB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(Choroba rzadka)</w:t>
            </w:r>
          </w:p>
        </w:tc>
      </w:tr>
    </w:tbl>
    <w:p w14:paraId="17160E61" w14:textId="45061D3C" w:rsidR="004D093B" w:rsidRPr="004D77E0" w:rsidRDefault="004D093B">
      <w:pPr>
        <w:rPr>
          <w:rFonts w:ascii="Lato" w:hAnsi="Lato"/>
        </w:rPr>
      </w:pPr>
    </w:p>
    <w:p w14:paraId="169C5300" w14:textId="77777777" w:rsidR="004D093B" w:rsidRPr="004D77E0" w:rsidRDefault="004D093B">
      <w:pPr>
        <w:suppressAutoHyphens w:val="0"/>
        <w:rPr>
          <w:rFonts w:ascii="Lato" w:hAnsi="Lato"/>
        </w:rPr>
      </w:pPr>
      <w:r w:rsidRPr="004D77E0">
        <w:rPr>
          <w:rFonts w:ascii="Lato" w:hAnsi="Lato"/>
        </w:rPr>
        <w:br w:type="page"/>
      </w:r>
    </w:p>
    <w:tbl>
      <w:tblPr>
        <w:tblW w:w="5000" w:type="pct"/>
        <w:tblCellMar>
          <w:top w:w="113" w:type="dxa"/>
          <w:left w:w="10" w:type="dxa"/>
          <w:bottom w:w="113" w:type="dxa"/>
          <w:right w:w="10" w:type="dxa"/>
        </w:tblCellMar>
        <w:tblLook w:val="0000" w:firstRow="0" w:lastRow="0" w:firstColumn="0" w:lastColumn="0" w:noHBand="0" w:noVBand="0"/>
      </w:tblPr>
      <w:tblGrid>
        <w:gridCol w:w="705"/>
        <w:gridCol w:w="1809"/>
        <w:gridCol w:w="2753"/>
        <w:gridCol w:w="10115"/>
      </w:tblGrid>
      <w:tr w:rsidR="00A434EB" w:rsidRPr="004D77E0" w14:paraId="0B833808" w14:textId="77777777" w:rsidTr="004D093B">
        <w:trPr>
          <w:cantSplit/>
          <w:trHeight w:val="20"/>
        </w:trPr>
        <w:tc>
          <w:tcPr>
            <w:tcW w:w="500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4B9EA6" w14:textId="428F8CF7" w:rsidR="00A434EB" w:rsidRPr="004D77E0" w:rsidRDefault="00A434EB" w:rsidP="00A434EB">
            <w:pPr>
              <w:spacing w:before="60" w:after="60" w:line="240" w:lineRule="auto"/>
              <w:jc w:val="center"/>
              <w:rPr>
                <w:rFonts w:ascii="Lato" w:hAnsi="Lato" w:cstheme="majorHAnsi"/>
              </w:rPr>
            </w:pPr>
            <w:r w:rsidRPr="004D77E0">
              <w:rPr>
                <w:rFonts w:ascii="Lato" w:hAnsi="Lato" w:cstheme="majorHAnsi"/>
                <w:b/>
                <w:bCs/>
                <w:color w:val="FFFFFF"/>
              </w:rPr>
              <w:lastRenderedPageBreak/>
              <w:t>Zmiany w programach lekowych i chemioterapii</w:t>
            </w:r>
          </w:p>
        </w:tc>
      </w:tr>
      <w:tr w:rsidR="00A434EB" w:rsidRPr="004D77E0" w14:paraId="2BCC5E80" w14:textId="77777777" w:rsidTr="004D093B">
        <w:trPr>
          <w:cantSplit/>
          <w:trHeight w:val="20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9385C7" w14:textId="77777777" w:rsidR="00A434EB" w:rsidRPr="004D77E0" w:rsidRDefault="00A434EB" w:rsidP="00A434EB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Lp.</w:t>
            </w:r>
          </w:p>
        </w:tc>
        <w:tc>
          <w:tcPr>
            <w:tcW w:w="5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800381" w14:textId="7E0E9907" w:rsidR="00A434EB" w:rsidRPr="004D77E0" w:rsidRDefault="00A434EB" w:rsidP="00A434EB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Numer programu lekowego lub numeru załącznika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132808" w14:textId="70920D05" w:rsidR="00A434EB" w:rsidRPr="004D77E0" w:rsidRDefault="00A434EB" w:rsidP="00A434EB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Nazwa programu lekowego lub załącznika chemioterapii</w:t>
            </w:r>
          </w:p>
        </w:tc>
        <w:tc>
          <w:tcPr>
            <w:tcW w:w="3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F38F47" w14:textId="14B18ED3" w:rsidR="00A434EB" w:rsidRPr="004D77E0" w:rsidRDefault="00A434EB" w:rsidP="00A434EB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Krótki opis zmian dokonanych w obrębie programu lekowego / załącznika chemioterapii</w:t>
            </w:r>
          </w:p>
        </w:tc>
      </w:tr>
      <w:tr w:rsidR="00661BA2" w:rsidRPr="004D77E0" w14:paraId="50DA02B0" w14:textId="77777777" w:rsidTr="00795B9B">
        <w:trPr>
          <w:cantSplit/>
          <w:trHeight w:val="20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CE7C88" w14:textId="5D98A03D" w:rsidR="00661BA2" w:rsidRPr="004D77E0" w:rsidRDefault="00661BA2" w:rsidP="00661BA2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sz w:val="18"/>
                <w:szCs w:val="18"/>
              </w:rPr>
              <w:t>1.</w:t>
            </w:r>
          </w:p>
        </w:tc>
        <w:tc>
          <w:tcPr>
            <w:tcW w:w="5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8C2DB2" w14:textId="538A094B" w:rsidR="00661BA2" w:rsidRPr="004D77E0" w:rsidRDefault="00661BA2" w:rsidP="00795B9B">
            <w:pPr>
              <w:spacing w:after="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B.59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C1D9A8" w14:textId="7193581C" w:rsidR="00661BA2" w:rsidRPr="004D77E0" w:rsidRDefault="00661BA2" w:rsidP="00661BA2">
            <w:pPr>
              <w:spacing w:before="60" w:after="60" w:line="240" w:lineRule="auto"/>
              <w:jc w:val="center"/>
              <w:rPr>
                <w:rFonts w:ascii="Lato" w:hAnsi="Lato"/>
                <w:b/>
                <w:sz w:val="18"/>
                <w:szCs w:val="18"/>
              </w:rPr>
            </w:pPr>
            <w:r w:rsidRPr="004D77E0">
              <w:rPr>
                <w:rFonts w:ascii="Lato" w:hAnsi="Lato"/>
                <w:b/>
                <w:sz w:val="18"/>
                <w:szCs w:val="18"/>
              </w:rPr>
              <w:t>LECZENIE CHORYCH NA CZERNIAKA SKÓRY LUB BŁON ŚLUZOWYCH (ICD-10: C43)</w:t>
            </w:r>
          </w:p>
        </w:tc>
        <w:tc>
          <w:tcPr>
            <w:tcW w:w="3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C7F39F" w14:textId="3CA83085" w:rsidR="00661BA2" w:rsidRPr="004D77E0" w:rsidRDefault="00661BA2" w:rsidP="00661BA2">
            <w:pPr>
              <w:suppressAutoHyphens w:val="0"/>
              <w:spacing w:before="60" w:after="60" w:line="240" w:lineRule="auto"/>
              <w:jc w:val="center"/>
              <w:textAlignment w:val="auto"/>
              <w:rPr>
                <w:rFonts w:ascii="Lato" w:hAnsi="Lato" w:cstheme="majorHAnsi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sz w:val="18"/>
                <w:szCs w:val="18"/>
              </w:rPr>
              <w:t>Wydłużenie okresu ważności badań obrazowych służących do kwalifikacji pacjentów do programu oraz usunięcie zapisu uzależniającego częstość wykonywania badań monitorujących leczenie od stwierdzenia przy kwalifikacji przerzutów do OUN.</w:t>
            </w:r>
          </w:p>
        </w:tc>
      </w:tr>
      <w:tr w:rsidR="00661BA2" w:rsidRPr="004D77E0" w14:paraId="571B0832" w14:textId="77777777" w:rsidTr="00795B9B">
        <w:trPr>
          <w:cantSplit/>
          <w:trHeight w:val="20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270F3C" w14:textId="4403B185" w:rsidR="00661BA2" w:rsidRPr="004D77E0" w:rsidRDefault="00661BA2" w:rsidP="00661BA2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sz w:val="18"/>
                <w:szCs w:val="18"/>
              </w:rPr>
              <w:t>2.</w:t>
            </w:r>
          </w:p>
        </w:tc>
        <w:tc>
          <w:tcPr>
            <w:tcW w:w="5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8038BA" w14:textId="397A5DBD" w:rsidR="00661BA2" w:rsidRPr="004D77E0" w:rsidRDefault="00661BA2" w:rsidP="00795B9B">
            <w:pPr>
              <w:spacing w:after="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="Calibri"/>
                <w:b/>
                <w:bCs/>
                <w:color w:val="000000"/>
                <w:sz w:val="18"/>
                <w:szCs w:val="18"/>
              </w:rPr>
              <w:t>B.96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0D1FCD" w14:textId="266ADEB9" w:rsidR="00661BA2" w:rsidRPr="004D77E0" w:rsidRDefault="00661BA2" w:rsidP="00661BA2">
            <w:pPr>
              <w:pStyle w:val="Style2"/>
              <w:widowControl/>
              <w:spacing w:before="60" w:after="60" w:line="240" w:lineRule="auto"/>
              <w:jc w:val="center"/>
              <w:rPr>
                <w:rFonts w:ascii="Lato" w:eastAsia="Calibri" w:hAnsi="Lato" w:cstheme="majorHAnsi"/>
                <w:b/>
                <w:sz w:val="18"/>
                <w:szCs w:val="18"/>
                <w:lang w:eastAsia="en-US"/>
              </w:rPr>
            </w:pPr>
            <w:r w:rsidRPr="004D77E0">
              <w:rPr>
                <w:rFonts w:ascii="Lato" w:hAnsi="Lato" w:cs="Calibri"/>
                <w:b/>
                <w:color w:val="000000"/>
                <w:sz w:val="18"/>
                <w:szCs w:val="18"/>
              </w:rPr>
              <w:t>LECZENIE CHORYCH Z NOCNĄ NAPADOWĄ HEMOGLOBINURIĄ (PNH) (ICD-10 D59.5)</w:t>
            </w:r>
          </w:p>
        </w:tc>
        <w:tc>
          <w:tcPr>
            <w:tcW w:w="3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89A20F" w14:textId="6CEF287C" w:rsidR="00661BA2" w:rsidRPr="004D77E0" w:rsidRDefault="00661BA2" w:rsidP="00661BA2">
            <w:pPr>
              <w:suppressAutoHyphens w:val="0"/>
              <w:autoSpaceDE w:val="0"/>
              <w:adjustRightInd w:val="0"/>
              <w:spacing w:before="120" w:after="120" w:line="240" w:lineRule="auto"/>
              <w:jc w:val="center"/>
              <w:textAlignment w:val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/>
                <w:sz w:val="18"/>
                <w:szCs w:val="18"/>
              </w:rPr>
              <w:t>W zakresie leczenia ekulizumabem, rawulizumabem i pegketakoplanem dopuszczenia do rozpoczęcia leczenia pacjentek ciężarnych. Powrót do wcześniejszej terapii w przypadku braku odpowiedzi na leczenie, wystąpieniu działań niepożądanych lub czasowych przeciwskazań do stosowania pegcetakoplanu. Uproszczenie monitorowania leczenia pegcetakoplanu.</w:t>
            </w:r>
          </w:p>
        </w:tc>
      </w:tr>
      <w:tr w:rsidR="00661BA2" w:rsidRPr="004D77E0" w14:paraId="5874EDB8" w14:textId="77777777" w:rsidTr="00795B9B">
        <w:trPr>
          <w:cantSplit/>
          <w:trHeight w:val="20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61852C" w14:textId="04F63D6C" w:rsidR="00661BA2" w:rsidRPr="004D77E0" w:rsidRDefault="00661BA2" w:rsidP="00661BA2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>3.</w:t>
            </w:r>
          </w:p>
        </w:tc>
        <w:tc>
          <w:tcPr>
            <w:tcW w:w="5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3E920C" w14:textId="4B53E038" w:rsidR="00661BA2" w:rsidRPr="004D77E0" w:rsidRDefault="00661BA2" w:rsidP="00795B9B">
            <w:pPr>
              <w:spacing w:after="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B.102.FM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759E84" w14:textId="192C09DE" w:rsidR="00661BA2" w:rsidRPr="004D77E0" w:rsidRDefault="00661BA2" w:rsidP="00661BA2">
            <w:pPr>
              <w:pStyle w:val="Style2"/>
              <w:widowControl/>
              <w:spacing w:before="60" w:after="60" w:line="240" w:lineRule="auto"/>
              <w:jc w:val="center"/>
              <w:rPr>
                <w:rFonts w:ascii="Lato" w:hAnsi="Lato"/>
                <w:b/>
                <w:sz w:val="18"/>
                <w:szCs w:val="18"/>
              </w:rPr>
            </w:pPr>
            <w:r w:rsidRPr="004D77E0">
              <w:rPr>
                <w:rFonts w:ascii="Lato" w:hAnsi="Lato"/>
                <w:b/>
                <w:sz w:val="18"/>
                <w:szCs w:val="18"/>
              </w:rPr>
              <w:t>LECZENIE CHORYCH NA RDZENIOWY ZANIK MIĘŚNI (ICD-10: G12.0, G12.1)</w:t>
            </w:r>
          </w:p>
        </w:tc>
        <w:tc>
          <w:tcPr>
            <w:tcW w:w="3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4F04B9" w14:textId="498340A5" w:rsidR="00661BA2" w:rsidRPr="004D77E0" w:rsidRDefault="00661BA2" w:rsidP="00661BA2">
            <w:pPr>
              <w:suppressAutoHyphens w:val="0"/>
              <w:spacing w:before="60" w:after="60" w:line="240" w:lineRule="auto"/>
              <w:jc w:val="center"/>
              <w:textAlignment w:val="auto"/>
              <w:rPr>
                <w:rFonts w:ascii="Lato" w:hAnsi="Lato" w:cstheme="majorHAnsi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sz w:val="18"/>
                <w:szCs w:val="18"/>
              </w:rPr>
              <w:t xml:space="preserve">Doprecyzowanie zapisów powodujących wątpliwości przy zmianie terapii z rysdyplamu na nusinersen </w:t>
            </w:r>
            <w:r w:rsidRPr="004D77E0">
              <w:rPr>
                <w:rFonts w:ascii="Lato" w:hAnsi="Lato" w:cstheme="majorHAnsi"/>
                <w:sz w:val="18"/>
                <w:szCs w:val="18"/>
              </w:rPr>
              <w:br/>
              <w:t>(np. w przypadkach planowanej ciąży, chorzy po zabiegach albo przy braku skuteczności rysdyplamu).</w:t>
            </w:r>
          </w:p>
        </w:tc>
      </w:tr>
      <w:tr w:rsidR="00FE2769" w:rsidRPr="004D77E0" w14:paraId="760505AF" w14:textId="77777777" w:rsidTr="00795B9B">
        <w:trPr>
          <w:cantSplit/>
          <w:trHeight w:val="700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E24D49" w14:textId="5F72A00D" w:rsidR="00FE2769" w:rsidRPr="004D77E0" w:rsidRDefault="00FE2769" w:rsidP="00FE2769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>4.</w:t>
            </w:r>
          </w:p>
        </w:tc>
        <w:tc>
          <w:tcPr>
            <w:tcW w:w="5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BBA35D" w14:textId="47448A87" w:rsidR="00FE2769" w:rsidRPr="004D77E0" w:rsidRDefault="000C7D57" w:rsidP="00795B9B">
            <w:pPr>
              <w:pStyle w:val="Style2"/>
              <w:widowControl/>
              <w:spacing w:line="240" w:lineRule="auto"/>
              <w:jc w:val="center"/>
              <w:rPr>
                <w:rFonts w:ascii="Lato" w:hAnsi="Lato" w:cstheme="majorHAnsi"/>
                <w:b/>
                <w:bCs/>
                <w:sz w:val="18"/>
                <w:szCs w:val="18"/>
              </w:rPr>
            </w:pPr>
            <w:r w:rsidRPr="000C7D57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C.104.c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770952" w14:textId="0659DCCF" w:rsidR="00FE2769" w:rsidRPr="004D77E0" w:rsidRDefault="000C7D57" w:rsidP="000C7D57">
            <w:pPr>
              <w:pStyle w:val="Style2"/>
              <w:spacing w:before="60" w:after="60"/>
              <w:jc w:val="center"/>
              <w:rPr>
                <w:rFonts w:ascii="Lato" w:hAnsi="Lato" w:cstheme="majorHAnsi"/>
                <w:b/>
                <w:bCs/>
                <w:sz w:val="18"/>
                <w:szCs w:val="18"/>
              </w:rPr>
            </w:pPr>
            <w:r w:rsidRPr="000C7D57">
              <w:rPr>
                <w:rFonts w:ascii="Lato" w:hAnsi="Lato" w:cstheme="majorHAnsi"/>
                <w:b/>
                <w:bCs/>
                <w:sz w:val="18"/>
                <w:szCs w:val="18"/>
              </w:rPr>
              <w:t>NAB-PACLITAXEL I.V.</w:t>
            </w:r>
          </w:p>
        </w:tc>
        <w:tc>
          <w:tcPr>
            <w:tcW w:w="3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AD3CDF" w14:textId="38CB4B08" w:rsidR="00FE2769" w:rsidRPr="004D77E0" w:rsidRDefault="000C7D57" w:rsidP="00FE2769">
            <w:pPr>
              <w:suppressAutoHyphens w:val="0"/>
              <w:autoSpaceDE w:val="0"/>
              <w:adjustRightInd w:val="0"/>
              <w:spacing w:before="120" w:after="120" w:line="240" w:lineRule="auto"/>
              <w:jc w:val="center"/>
              <w:textAlignment w:val="auto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 xml:space="preserve">Zmiana kategorii dostępności nab-paklitakselu z programu lekowego B.85. </w:t>
            </w:r>
            <w:r w:rsidRPr="000C7D57">
              <w:rPr>
                <w:rFonts w:ascii="Lato" w:hAnsi="Lato" w:cstheme="majorHAnsi"/>
                <w:sz w:val="18"/>
                <w:szCs w:val="18"/>
              </w:rPr>
              <w:t>LECZENIE PACJENTÓW Z GRUCZOLAKORAKIEM TRZUSTKI (ICD-10: C25.0, C25.1, C25.2, C25.3, C25.5, C25.6, C25.7, C25.8, C25.9)</w:t>
            </w:r>
            <w:r>
              <w:rPr>
                <w:rFonts w:ascii="Lato" w:hAnsi="Lato" w:cstheme="majorHAnsi"/>
                <w:sz w:val="18"/>
                <w:szCs w:val="18"/>
              </w:rPr>
              <w:t xml:space="preserve"> do katalogu chemioterapii.</w:t>
            </w:r>
          </w:p>
        </w:tc>
      </w:tr>
      <w:tr w:rsidR="000C7D57" w:rsidRPr="004D77E0" w14:paraId="3E101F43" w14:textId="77777777" w:rsidTr="00795B9B">
        <w:trPr>
          <w:cantSplit/>
          <w:trHeight w:val="20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35632F" w14:textId="6FFE5189" w:rsidR="000C7D57" w:rsidRPr="004D77E0" w:rsidRDefault="000C7D57" w:rsidP="000C7D57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>5.</w:t>
            </w:r>
          </w:p>
        </w:tc>
        <w:tc>
          <w:tcPr>
            <w:tcW w:w="5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2AD8FF" w14:textId="29A8F2BF" w:rsidR="000C7D57" w:rsidRPr="004D77E0" w:rsidRDefault="000C7D57" w:rsidP="00795B9B">
            <w:pPr>
              <w:pStyle w:val="Style2"/>
              <w:widowControl/>
              <w:spacing w:line="240" w:lineRule="auto"/>
              <w:jc w:val="center"/>
              <w:rPr>
                <w:rFonts w:ascii="Lato" w:hAnsi="Lato" w:cs="Calibri"/>
                <w:b/>
                <w:bCs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C.107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D356BA" w14:textId="51756027" w:rsidR="000C7D57" w:rsidRPr="004D77E0" w:rsidRDefault="000C7D57" w:rsidP="000C7D57">
            <w:pPr>
              <w:pStyle w:val="Style2"/>
              <w:widowControl/>
              <w:spacing w:before="60" w:after="60" w:line="240" w:lineRule="auto"/>
              <w:jc w:val="center"/>
              <w:rPr>
                <w:rFonts w:ascii="Lato" w:hAnsi="Lato" w:cs="Calibri"/>
                <w:b/>
                <w:bCs/>
                <w:color w:val="000000"/>
                <w:sz w:val="18"/>
                <w:szCs w:val="18"/>
              </w:rPr>
            </w:pPr>
            <w:r w:rsidRPr="004D77E0">
              <w:rPr>
                <w:rFonts w:ascii="Lato" w:hAnsi="Lato"/>
                <w:b/>
                <w:bCs/>
                <w:sz w:val="18"/>
                <w:szCs w:val="18"/>
              </w:rPr>
              <w:t>PAZOPANIB</w:t>
            </w:r>
          </w:p>
        </w:tc>
        <w:tc>
          <w:tcPr>
            <w:tcW w:w="3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B2D7DD" w14:textId="1EF69F0C" w:rsidR="000C7D57" w:rsidRPr="004D77E0" w:rsidRDefault="000C7D57" w:rsidP="000C7D57">
            <w:pPr>
              <w:suppressAutoHyphens w:val="0"/>
              <w:autoSpaceDE w:val="0"/>
              <w:adjustRightInd w:val="0"/>
              <w:spacing w:before="120" w:after="120" w:line="240" w:lineRule="auto"/>
              <w:jc w:val="center"/>
              <w:textAlignment w:val="auto"/>
              <w:rPr>
                <w:rFonts w:ascii="Lato" w:hAnsi="Lato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sz w:val="18"/>
                <w:szCs w:val="18"/>
              </w:rPr>
              <w:t>Zmiana kategorii dostępności z programu lekowego (B.10.) na lek stosowany w ramach katalogu chemioterapii (C.107.) w odniesieniu do substancji czynnej pazopanib - w terapii raka nerkowokomórkowego.</w:t>
            </w:r>
          </w:p>
        </w:tc>
      </w:tr>
      <w:tr w:rsidR="000C7D57" w:rsidRPr="004D77E0" w14:paraId="056FDDF6" w14:textId="77777777" w:rsidTr="00795B9B">
        <w:trPr>
          <w:cantSplit/>
          <w:trHeight w:val="20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35063D" w14:textId="1C92A36C" w:rsidR="000C7D57" w:rsidRPr="004D77E0" w:rsidRDefault="000C7D57" w:rsidP="000C7D57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6.</w:t>
            </w:r>
          </w:p>
        </w:tc>
        <w:tc>
          <w:tcPr>
            <w:tcW w:w="5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3D04F6" w14:textId="221B98BE" w:rsidR="000C7D57" w:rsidRPr="004D77E0" w:rsidRDefault="000C7D57" w:rsidP="00795B9B">
            <w:pPr>
              <w:pStyle w:val="Style2"/>
              <w:widowControl/>
              <w:spacing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C.107.b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F4310C" w14:textId="17BF7B94" w:rsidR="000C7D57" w:rsidRPr="004D77E0" w:rsidRDefault="000C7D57" w:rsidP="000C7D57">
            <w:pPr>
              <w:pStyle w:val="Style2"/>
              <w:widowControl/>
              <w:spacing w:before="60" w:after="60" w:line="240" w:lineRule="auto"/>
              <w:jc w:val="center"/>
              <w:rPr>
                <w:rFonts w:ascii="Lato" w:eastAsia="Calibri" w:hAnsi="Lato" w:cstheme="majorHAnsi"/>
                <w:b/>
                <w:bCs/>
                <w:sz w:val="18"/>
                <w:szCs w:val="18"/>
                <w:lang w:eastAsia="en-US"/>
              </w:rPr>
            </w:pPr>
            <w:r w:rsidRPr="004D77E0">
              <w:rPr>
                <w:rFonts w:ascii="Lato" w:eastAsia="Calibri" w:hAnsi="Lato" w:cstheme="majorHAnsi"/>
                <w:b/>
                <w:bCs/>
                <w:sz w:val="18"/>
                <w:szCs w:val="18"/>
                <w:lang w:eastAsia="en-US"/>
              </w:rPr>
              <w:t>PAZOPANIB</w:t>
            </w:r>
          </w:p>
        </w:tc>
        <w:tc>
          <w:tcPr>
            <w:tcW w:w="3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0A97D6" w14:textId="27F4AC57" w:rsidR="000C7D57" w:rsidRPr="004D77E0" w:rsidRDefault="000C7D57" w:rsidP="000C7D57">
            <w:pPr>
              <w:suppressAutoHyphens w:val="0"/>
              <w:autoSpaceDE w:val="0"/>
              <w:adjustRightInd w:val="0"/>
              <w:spacing w:before="120" w:after="120" w:line="240" w:lineRule="auto"/>
              <w:jc w:val="center"/>
              <w:textAlignment w:val="auto"/>
              <w:rPr>
                <w:rFonts w:ascii="Lato" w:hAnsi="Lato" w:cstheme="majorHAnsi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sz w:val="18"/>
                <w:szCs w:val="18"/>
              </w:rPr>
              <w:t>Zmiana kategorii dostępności z programu lekowego (B.8.) na lek stosowany w ramach katalogu chemioterapii (C.107.b.) w odniesieniu do substancji czynnej pazopanib - w terapii mięsaków tkanek miękkich. Ponieważ pazopanib był ostatnią substancją objęta finasowaniem w PL B.8. to od 1 października 2025 r. leczenie mięsaków tkanek miękkich będzie odbywało się w całości w ramach katalogu chemioterapii.</w:t>
            </w:r>
          </w:p>
        </w:tc>
      </w:tr>
    </w:tbl>
    <w:p w14:paraId="08AE375A" w14:textId="21965E07" w:rsidR="006826ED" w:rsidRDefault="006826ED">
      <w:pPr>
        <w:suppressAutoHyphens w:val="0"/>
        <w:rPr>
          <w:rFonts w:ascii="Lato" w:hAnsi="Lato"/>
          <w:b/>
          <w:bCs/>
          <w:color w:val="00B0F0"/>
          <w:sz w:val="28"/>
          <w:szCs w:val="28"/>
        </w:rPr>
      </w:pPr>
    </w:p>
    <w:p w14:paraId="20A1FED2" w14:textId="77777777" w:rsidR="006826ED" w:rsidRDefault="006826ED">
      <w:pPr>
        <w:suppressAutoHyphens w:val="0"/>
        <w:rPr>
          <w:rFonts w:ascii="Lato" w:hAnsi="Lato"/>
          <w:b/>
          <w:bCs/>
          <w:color w:val="00B0F0"/>
          <w:sz w:val="28"/>
          <w:szCs w:val="28"/>
        </w:rPr>
      </w:pPr>
      <w:r>
        <w:rPr>
          <w:rFonts w:ascii="Lato" w:hAnsi="Lato"/>
          <w:b/>
          <w:bCs/>
          <w:color w:val="00B0F0"/>
          <w:sz w:val="28"/>
          <w:szCs w:val="28"/>
        </w:rPr>
        <w:br w:type="page"/>
      </w:r>
    </w:p>
    <w:p w14:paraId="052EAE3A" w14:textId="3F2DD5CD" w:rsidR="004D093B" w:rsidRPr="004D77E0" w:rsidRDefault="004D093B">
      <w:pPr>
        <w:suppressAutoHyphens w:val="0"/>
        <w:rPr>
          <w:rFonts w:ascii="Lato" w:hAnsi="Lato"/>
          <w:b/>
          <w:bCs/>
          <w:color w:val="00B0F0"/>
          <w:sz w:val="28"/>
          <w:szCs w:val="28"/>
        </w:rPr>
      </w:pPr>
      <w:bookmarkStart w:id="1" w:name="_Hlk90283710"/>
    </w:p>
    <w:p w14:paraId="703841AA" w14:textId="36DADBCA" w:rsidR="0056748F" w:rsidRPr="004D77E0" w:rsidRDefault="0056748F" w:rsidP="0056748F">
      <w:pPr>
        <w:jc w:val="center"/>
        <w:rPr>
          <w:rFonts w:ascii="Lato" w:hAnsi="Lato"/>
          <w:b/>
          <w:bCs/>
          <w:color w:val="00B0F0"/>
          <w:sz w:val="28"/>
          <w:szCs w:val="28"/>
        </w:rPr>
      </w:pPr>
      <w:r w:rsidRPr="004D77E0">
        <w:rPr>
          <w:rFonts w:ascii="Lato" w:hAnsi="Lato"/>
          <w:b/>
          <w:bCs/>
          <w:color w:val="00B0F0"/>
          <w:sz w:val="28"/>
          <w:szCs w:val="28"/>
        </w:rPr>
        <w:t>NOWE WSKAZANIA ORAZ ZMIANY W REFUNDACJI APTECZNEJ</w:t>
      </w:r>
    </w:p>
    <w:tbl>
      <w:tblPr>
        <w:tblW w:w="5000" w:type="pct"/>
        <w:tblCellMar>
          <w:top w:w="57" w:type="dxa"/>
          <w:left w:w="10" w:type="dxa"/>
          <w:bottom w:w="57" w:type="dxa"/>
          <w:right w:w="10" w:type="dxa"/>
        </w:tblCellMar>
        <w:tblLook w:val="0000" w:firstRow="0" w:lastRow="0" w:firstColumn="0" w:lastColumn="0" w:noHBand="0" w:noVBand="0"/>
      </w:tblPr>
      <w:tblGrid>
        <w:gridCol w:w="760"/>
        <w:gridCol w:w="2652"/>
        <w:gridCol w:w="2021"/>
        <w:gridCol w:w="5937"/>
        <w:gridCol w:w="4012"/>
      </w:tblGrid>
      <w:tr w:rsidR="00AD08C5" w:rsidRPr="004D77E0" w14:paraId="2CD1B9F9" w14:textId="77777777" w:rsidTr="004D093B">
        <w:trPr>
          <w:cantSplit/>
          <w:trHeight w:val="549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94C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bookmarkEnd w:id="1"/>
          <w:p w14:paraId="05E7E891" w14:textId="77777777" w:rsidR="00AD08C5" w:rsidRPr="004D77E0" w:rsidRDefault="006A7DCE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FFFFFF"/>
              </w:rPr>
            </w:pPr>
            <w:r w:rsidRPr="004D77E0">
              <w:rPr>
                <w:rFonts w:ascii="Lato" w:hAnsi="Lato" w:cstheme="majorHAnsi"/>
                <w:b/>
                <w:bCs/>
                <w:color w:val="FFFFFF"/>
              </w:rPr>
              <w:t>Apteka</w:t>
            </w:r>
          </w:p>
        </w:tc>
      </w:tr>
      <w:tr w:rsidR="00AD08C5" w:rsidRPr="004D77E0" w14:paraId="7C1774EA" w14:textId="77777777" w:rsidTr="004D093B">
        <w:trPr>
          <w:cantSplit/>
          <w:trHeight w:val="328"/>
        </w:trPr>
        <w:tc>
          <w:tcPr>
            <w:tcW w:w="5000" w:type="pct"/>
            <w:gridSpan w:val="5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D86140" w14:textId="77777777" w:rsidR="00AD08C5" w:rsidRPr="004D77E0" w:rsidRDefault="006A7DCE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FFFFFF"/>
              </w:rPr>
            </w:pPr>
            <w:r w:rsidRPr="004D77E0">
              <w:rPr>
                <w:rFonts w:ascii="Lato" w:hAnsi="Lato" w:cstheme="majorHAnsi"/>
                <w:b/>
                <w:bCs/>
                <w:color w:val="FFFFFF"/>
              </w:rPr>
              <w:t>Nowe wskazania refundacyjne</w:t>
            </w:r>
          </w:p>
        </w:tc>
      </w:tr>
      <w:tr w:rsidR="0056748F" w:rsidRPr="004D77E0" w14:paraId="7D53B9E1" w14:textId="77777777" w:rsidTr="004D093B">
        <w:trPr>
          <w:cantSplit/>
        </w:trPr>
        <w:tc>
          <w:tcPr>
            <w:tcW w:w="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ED3CB4" w14:textId="77777777" w:rsidR="00AD08C5" w:rsidRPr="004D77E0" w:rsidRDefault="006A7DCE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9"/>
                <w:szCs w:val="19"/>
              </w:rPr>
            </w:pPr>
            <w:r w:rsidRPr="004D77E0">
              <w:rPr>
                <w:rFonts w:ascii="Lato" w:hAnsi="Lato" w:cstheme="majorHAnsi"/>
                <w:b/>
                <w:bCs/>
                <w:color w:val="000000"/>
                <w:sz w:val="19"/>
                <w:szCs w:val="19"/>
              </w:rPr>
              <w:t>Lp.</w:t>
            </w:r>
          </w:p>
        </w:tc>
        <w:tc>
          <w:tcPr>
            <w:tcW w:w="8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3E9D6E" w14:textId="70C49D87" w:rsidR="00AD08C5" w:rsidRPr="004D77E0" w:rsidRDefault="00A118F0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9"/>
                <w:szCs w:val="19"/>
              </w:rPr>
            </w:pPr>
            <w:r w:rsidRPr="004D77E0">
              <w:rPr>
                <w:rFonts w:ascii="Lato" w:hAnsi="Lato" w:cstheme="majorHAnsi"/>
                <w:b/>
                <w:bCs/>
                <w:color w:val="000000"/>
                <w:sz w:val="19"/>
                <w:szCs w:val="19"/>
              </w:rPr>
              <w:t xml:space="preserve">Nazwa leku, środka spożywczego specjalnego przeznaczenia lub wyrobu </w:t>
            </w:r>
            <w:r w:rsidRPr="004D77E0">
              <w:rPr>
                <w:rFonts w:ascii="Lato" w:hAnsi="Lato" w:cstheme="majorHAnsi"/>
                <w:b/>
                <w:bCs/>
                <w:sz w:val="19"/>
                <w:szCs w:val="19"/>
              </w:rPr>
              <w:t>medycznego</w:t>
            </w:r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2A6F35" w14:textId="77777777" w:rsidR="00AD08C5" w:rsidRPr="004D77E0" w:rsidRDefault="006A7DCE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9"/>
                <w:szCs w:val="19"/>
              </w:rPr>
            </w:pPr>
            <w:r w:rsidRPr="004D77E0">
              <w:rPr>
                <w:rFonts w:ascii="Lato" w:hAnsi="Lato" w:cstheme="majorHAnsi"/>
                <w:b/>
                <w:bCs/>
                <w:color w:val="000000"/>
                <w:sz w:val="19"/>
                <w:szCs w:val="19"/>
              </w:rPr>
              <w:t>Substancja czynna</w:t>
            </w:r>
          </w:p>
        </w:tc>
        <w:tc>
          <w:tcPr>
            <w:tcW w:w="19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F933D3" w14:textId="77777777" w:rsidR="00AD08C5" w:rsidRPr="004D77E0" w:rsidRDefault="006A7DCE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9"/>
                <w:szCs w:val="19"/>
              </w:rPr>
            </w:pPr>
            <w:r w:rsidRPr="004D77E0">
              <w:rPr>
                <w:rFonts w:ascii="Lato" w:hAnsi="Lato" w:cstheme="majorHAnsi"/>
                <w:b/>
                <w:bCs/>
                <w:color w:val="000000"/>
                <w:sz w:val="19"/>
                <w:szCs w:val="19"/>
              </w:rPr>
              <w:t>Wskazanie refundacyjne</w:t>
            </w:r>
          </w:p>
        </w:tc>
        <w:tc>
          <w:tcPr>
            <w:tcW w:w="1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45EAF7" w14:textId="77777777" w:rsidR="00AD08C5" w:rsidRPr="004D77E0" w:rsidRDefault="006A7DCE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9"/>
                <w:szCs w:val="19"/>
              </w:rPr>
            </w:pPr>
            <w:r w:rsidRPr="004D77E0">
              <w:rPr>
                <w:rFonts w:ascii="Lato" w:hAnsi="Lato" w:cstheme="majorHAnsi"/>
                <w:b/>
                <w:bCs/>
                <w:color w:val="000000"/>
                <w:sz w:val="19"/>
                <w:szCs w:val="19"/>
              </w:rPr>
              <w:t>Doprecyzowanie wskazania</w:t>
            </w:r>
          </w:p>
        </w:tc>
      </w:tr>
      <w:tr w:rsidR="00213CAE" w:rsidRPr="004D77E0" w14:paraId="04D28BBA" w14:textId="77777777" w:rsidTr="00A06DAB">
        <w:trPr>
          <w:cantSplit/>
        </w:trPr>
        <w:tc>
          <w:tcPr>
            <w:tcW w:w="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781894" w14:textId="3E181FF1" w:rsidR="00213CAE" w:rsidRPr="004D77E0" w:rsidRDefault="00213CAE" w:rsidP="00213CA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>1.</w:t>
            </w:r>
          </w:p>
        </w:tc>
        <w:tc>
          <w:tcPr>
            <w:tcW w:w="8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53CBAB" w14:textId="6315FDE4" w:rsidR="00213CAE" w:rsidRPr="004D77E0" w:rsidRDefault="00213CAE" w:rsidP="00213CA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="Calibri"/>
                <w:b/>
                <w:bCs/>
                <w:color w:val="000000"/>
                <w:sz w:val="18"/>
                <w:szCs w:val="18"/>
              </w:rPr>
              <w:t>Acarizax</w:t>
            </w:r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B93A28" w14:textId="301D0A28" w:rsidR="00213CAE" w:rsidRPr="004D77E0" w:rsidRDefault="00795B9B" w:rsidP="00213CAE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Lato" w:hAnsi="Lato" w:cs="Calibri"/>
                <w:i/>
                <w:iCs/>
                <w:color w:val="000000"/>
                <w:sz w:val="18"/>
                <w:szCs w:val="18"/>
              </w:rPr>
              <w:t>s</w:t>
            </w:r>
            <w:r w:rsidR="00213CAE" w:rsidRPr="004D77E0">
              <w:rPr>
                <w:rFonts w:ascii="Lato" w:hAnsi="Lato" w:cs="Calibri"/>
                <w:i/>
                <w:iCs/>
                <w:color w:val="000000"/>
                <w:sz w:val="18"/>
                <w:szCs w:val="18"/>
              </w:rPr>
              <w:t>tandaryzowany wyciąg alergenowy roztoczy kurzu domowego (Dermatophagoides pteronyssinus, Dermatophagoides farina)</w:t>
            </w:r>
          </w:p>
        </w:tc>
        <w:tc>
          <w:tcPr>
            <w:tcW w:w="19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F904F8" w14:textId="4526B985" w:rsidR="00213CAE" w:rsidRPr="004D77E0" w:rsidRDefault="00213CAE" w:rsidP="00213CA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="Calibri"/>
                <w:color w:val="000000"/>
                <w:sz w:val="18"/>
                <w:szCs w:val="18"/>
              </w:rPr>
              <w:t>Leczenie umiarkowanego do ciężkiego alergicznego nieżytu nosa spowodowanego kurzem domowym, utrzymującego się pomimo stosowania leków łagodzących objawy u dzieci w wieku 5-11 lat, u których rozpoznanie zostało postawione na podstawie wywiadu klinicznego oraz dodatniego testu alergicznego na roztocze kurzu domowego (punktowe testy skórne lub swoiste immunoglobuliny E)</w:t>
            </w:r>
          </w:p>
        </w:tc>
        <w:tc>
          <w:tcPr>
            <w:tcW w:w="1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408246" w14:textId="79A7FF7A" w:rsidR="00213CAE" w:rsidRPr="004D77E0" w:rsidRDefault="00213CAE" w:rsidP="00213CA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>Rozszerzenia wskazania o populację dzieci w wieku 5-11 lat.</w:t>
            </w:r>
          </w:p>
        </w:tc>
      </w:tr>
      <w:tr w:rsidR="00213CAE" w:rsidRPr="004D77E0" w14:paraId="3E62A70D" w14:textId="77777777" w:rsidTr="004D093B">
        <w:trPr>
          <w:cantSplit/>
        </w:trPr>
        <w:tc>
          <w:tcPr>
            <w:tcW w:w="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0ED6C4" w14:textId="3E8E28DB" w:rsidR="00213CAE" w:rsidRPr="004D77E0" w:rsidRDefault="00213CAE" w:rsidP="00213CA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>2.</w:t>
            </w:r>
          </w:p>
        </w:tc>
        <w:tc>
          <w:tcPr>
            <w:tcW w:w="8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51D194" w14:textId="18DE6C95" w:rsidR="00213CAE" w:rsidRPr="004D77E0" w:rsidRDefault="00213CAE" w:rsidP="00213CA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Arexvy</w:t>
            </w:r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E1F354" w14:textId="68C270BC" w:rsidR="00213CAE" w:rsidRPr="004D77E0" w:rsidRDefault="00795B9B" w:rsidP="00213CAE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s</w:t>
            </w:r>
            <w:r w:rsidR="00213CAE" w:rsidRPr="004D77E0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zczepionka przeciw syncytialnemu wirusowi dróg oddechowych (RSV) (rekombinowana, z adiuwantem)</w:t>
            </w:r>
          </w:p>
        </w:tc>
        <w:tc>
          <w:tcPr>
            <w:tcW w:w="19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40D22F" w14:textId="7AE75BBC" w:rsidR="00213CAE" w:rsidRPr="004D77E0" w:rsidRDefault="00213CAE" w:rsidP="00213CA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  <w:highlight w:val="yellow"/>
              </w:rPr>
            </w:pP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>Profilaktyka zakażeń RSV u pacjentów w wieku 60 lat i starszych</w:t>
            </w:r>
          </w:p>
        </w:tc>
        <w:tc>
          <w:tcPr>
            <w:tcW w:w="1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CC0182" w14:textId="484A310F" w:rsidR="00213CAE" w:rsidRPr="004D77E0" w:rsidRDefault="00213CAE" w:rsidP="00213CA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>Objęcie refundacją drugiej szczepionki przeciw RSV dla osób powyżej 60 roku życia.</w:t>
            </w:r>
          </w:p>
        </w:tc>
      </w:tr>
      <w:tr w:rsidR="00213CAE" w:rsidRPr="004D77E0" w14:paraId="6E8A1919" w14:textId="77777777" w:rsidTr="004D093B">
        <w:trPr>
          <w:cantSplit/>
        </w:trPr>
        <w:tc>
          <w:tcPr>
            <w:tcW w:w="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E10016" w14:textId="6EC23E42" w:rsidR="00213CAE" w:rsidRPr="004D77E0" w:rsidRDefault="00213CAE" w:rsidP="00213CA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>3.</w:t>
            </w:r>
          </w:p>
        </w:tc>
        <w:tc>
          <w:tcPr>
            <w:tcW w:w="8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CD168B" w14:textId="15BEF01D" w:rsidR="00213CAE" w:rsidRPr="004D77E0" w:rsidRDefault="00213CAE" w:rsidP="00213CA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Buccolam</w:t>
            </w:r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E6C870" w14:textId="590E4C1F" w:rsidR="00213CAE" w:rsidRPr="004D77E0" w:rsidRDefault="00213CAE" w:rsidP="00213CAE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midazolam</w:t>
            </w:r>
          </w:p>
        </w:tc>
        <w:tc>
          <w:tcPr>
            <w:tcW w:w="19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A42092" w14:textId="148B14F6" w:rsidR="00213CAE" w:rsidRPr="004D77E0" w:rsidRDefault="00213CAE" w:rsidP="00213CA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>Przedłużone, ostre napady drgawkowe u dorosłych.</w:t>
            </w:r>
          </w:p>
        </w:tc>
        <w:tc>
          <w:tcPr>
            <w:tcW w:w="1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AFD0B9" w14:textId="77777777" w:rsidR="00213CAE" w:rsidRPr="004D77E0" w:rsidRDefault="00213CAE" w:rsidP="00213CA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>Lek interwencyjny.</w:t>
            </w:r>
          </w:p>
          <w:p w14:paraId="11E71B42" w14:textId="77777777" w:rsidR="00213CAE" w:rsidRPr="004D77E0" w:rsidRDefault="00213CAE" w:rsidP="00213CA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>Podanie podpoliczkowe - alternatywa dla refundowanego diazepamu podawanego doodbytniczo w celu przerwania napadów drgawkowych.</w:t>
            </w:r>
          </w:p>
          <w:p w14:paraId="10823724" w14:textId="6A0D627B" w:rsidR="00213CAE" w:rsidRPr="004D77E0" w:rsidRDefault="00213CAE" w:rsidP="00213CA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>Rozszerzenie wskazania dostępnego obecnie tylko dla populacji pediatrycznej o populację dorosłych.</w:t>
            </w:r>
          </w:p>
        </w:tc>
      </w:tr>
      <w:tr w:rsidR="00213CAE" w:rsidRPr="004D77E0" w14:paraId="0C276518" w14:textId="77777777" w:rsidTr="004D093B">
        <w:trPr>
          <w:cantSplit/>
        </w:trPr>
        <w:tc>
          <w:tcPr>
            <w:tcW w:w="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BAF0A7" w14:textId="2CDB6EFA" w:rsidR="00213CAE" w:rsidRPr="004D77E0" w:rsidRDefault="00213CAE" w:rsidP="00213CA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>4.</w:t>
            </w:r>
          </w:p>
        </w:tc>
        <w:tc>
          <w:tcPr>
            <w:tcW w:w="8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AF24A9" w14:textId="3620DB91" w:rsidR="00213CAE" w:rsidRPr="004D77E0" w:rsidRDefault="00213CAE" w:rsidP="00213CA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  <w:highlight w:val="yellow"/>
              </w:rPr>
            </w:pPr>
            <w:r w:rsidRPr="004D77E0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Forxiga</w:t>
            </w:r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1E5A1D" w14:textId="076EDD13" w:rsidR="00213CAE" w:rsidRPr="004D77E0" w:rsidRDefault="00795B9B" w:rsidP="00213CAE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d</w:t>
            </w:r>
            <w:r w:rsidR="00213CAE" w:rsidRPr="004D77E0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apagliflozyna</w:t>
            </w:r>
          </w:p>
        </w:tc>
        <w:tc>
          <w:tcPr>
            <w:tcW w:w="19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73C189" w14:textId="3B68FB90" w:rsidR="00213CAE" w:rsidRPr="004D77E0" w:rsidRDefault="00213CAE" w:rsidP="00213CA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>Cukrzyca typu 2, u pacjentów stosujących co najmniej jeden lek hipoglikemizujący, z HbA1c ≥7% oraz bardzo wysokim ryzykiem sercowo-naczyniowym rozumianym jako: 1. potwierdzona choroba sercowo-naczyniowa, lub 2. uszkodzenie innych narządów objawiające się poprzez: białkomocz lub przerost lewej komory lub retinopatię, lub 3. obecność 3 lub więcej głównych czynników ryzyka spośród wymienionych poniżej: wiek ≥55 lat dla mężczyzn i ≥60 lat dla kobiet, dyslipidemia, nadciśnienie tętnicze, palenie tytoniu, otyłość.</w:t>
            </w:r>
          </w:p>
        </w:tc>
        <w:tc>
          <w:tcPr>
            <w:tcW w:w="1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D464AF" w14:textId="45878FD0" w:rsidR="00213CAE" w:rsidRPr="004D77E0" w:rsidRDefault="00213CAE" w:rsidP="00213CA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  <w:highlight w:val="yellow"/>
              </w:rPr>
            </w:pP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>Rozszerzenie wskazania refundacyjnego poprzez obniżenie wymaganego poziomu hemoglobiny glikowanej, wprowadzenie konieczności stosowania co najmniej jednego leku hipoglikemizującego.</w:t>
            </w:r>
          </w:p>
        </w:tc>
      </w:tr>
      <w:tr w:rsidR="00213CAE" w:rsidRPr="004D77E0" w14:paraId="10C792C6" w14:textId="77777777" w:rsidTr="004D093B">
        <w:trPr>
          <w:cantSplit/>
        </w:trPr>
        <w:tc>
          <w:tcPr>
            <w:tcW w:w="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AC998C" w14:textId="793D302D" w:rsidR="00213CAE" w:rsidRPr="004D77E0" w:rsidRDefault="00213CAE" w:rsidP="00213CA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lastRenderedPageBreak/>
              <w:t>5.</w:t>
            </w:r>
          </w:p>
        </w:tc>
        <w:tc>
          <w:tcPr>
            <w:tcW w:w="8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8B6941" w14:textId="7CA509DB" w:rsidR="00213CAE" w:rsidRPr="004D77E0" w:rsidRDefault="00213CAE" w:rsidP="00213CA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Forxiga</w:t>
            </w:r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518A7B" w14:textId="502B2281" w:rsidR="00213CAE" w:rsidRPr="004D77E0" w:rsidRDefault="00795B9B" w:rsidP="00213CAE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d</w:t>
            </w:r>
            <w:r w:rsidR="00213CAE" w:rsidRPr="004D77E0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apagliflozyna</w:t>
            </w:r>
          </w:p>
        </w:tc>
        <w:tc>
          <w:tcPr>
            <w:tcW w:w="19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3A3612" w14:textId="34AF0158" w:rsidR="00213CAE" w:rsidRPr="004D77E0" w:rsidRDefault="00213CAE" w:rsidP="00213CA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>Przewlekła niewydolność serca u dorosłych pacjentów w pełnym zakresie LVEF oraz utrzymującymi się objawami choroby w klasie II-IV NYHA: − pomimo zastosowania terapii opartej na ACEi (lub ARB/ARNi) i lekach z grupy betaadrenolityków oraz jeśli wskazane antagonistach receptora mineralokortykoidów (z frakcją wyrzutową z LVEF ≤40%) lub − pomimo zastosowania terapii opartej na ACEi (lub ARB/ARNi) i lekach z grupy betaadrenolityków oraz jeśli wskazane diuretykach (z frakcją wyrzutową z LVEF&gt;40%).</w:t>
            </w:r>
          </w:p>
        </w:tc>
        <w:tc>
          <w:tcPr>
            <w:tcW w:w="1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3942E1" w14:textId="38D36CBA" w:rsidR="00213CAE" w:rsidRPr="004D77E0" w:rsidRDefault="00213CAE" w:rsidP="00213CA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  <w:highlight w:val="yellow"/>
              </w:rPr>
            </w:pP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>Rozszerzenie wskazania refundacyjnego do pełnego zakresu frakcji wyrzutowej lewej komory serca (LVEF).</w:t>
            </w:r>
          </w:p>
        </w:tc>
      </w:tr>
      <w:tr w:rsidR="00213CAE" w:rsidRPr="004D77E0" w14:paraId="7AC7A105" w14:textId="77777777" w:rsidTr="004D093B">
        <w:trPr>
          <w:cantSplit/>
        </w:trPr>
        <w:tc>
          <w:tcPr>
            <w:tcW w:w="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0A8290" w14:textId="3B6E39DD" w:rsidR="00213CAE" w:rsidRPr="004D77E0" w:rsidRDefault="00213CAE" w:rsidP="00213CA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>6.</w:t>
            </w:r>
          </w:p>
        </w:tc>
        <w:tc>
          <w:tcPr>
            <w:tcW w:w="8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3FA9E0" w14:textId="7E08A184" w:rsidR="00213CAE" w:rsidRPr="004D77E0" w:rsidRDefault="00213CAE" w:rsidP="00213CA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Glandex</w:t>
            </w:r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64CEDD" w14:textId="2C29357F" w:rsidR="00213CAE" w:rsidRPr="004D77E0" w:rsidRDefault="00213CAE" w:rsidP="00213CAE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eksemestan</w:t>
            </w:r>
          </w:p>
        </w:tc>
        <w:tc>
          <w:tcPr>
            <w:tcW w:w="19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60E1FB" w14:textId="43F61C62" w:rsidR="00213CAE" w:rsidRPr="004D77E0" w:rsidRDefault="00213CAE" w:rsidP="00213CA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>W leczeniu zaawansowanego raka piersi u kobiet w okresie naturalnego lub wywołanego leczeniem stanu po menopauzie, u których choroba uległa postępowi po zastosowaniu terapii antyestrogenowej.</w:t>
            </w:r>
          </w:p>
        </w:tc>
        <w:tc>
          <w:tcPr>
            <w:tcW w:w="1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ABADDF" w14:textId="5C6FE3BA" w:rsidR="00213CAE" w:rsidRPr="004D77E0" w:rsidRDefault="00213CAE" w:rsidP="00213CA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>Objęcie refundacją nowego wskazania klinicznego w stosunku do dotychczas ujętej na wykazie substancji czynnej.</w:t>
            </w:r>
          </w:p>
          <w:p w14:paraId="2FCA3107" w14:textId="7C3A2EC8" w:rsidR="00213CAE" w:rsidRPr="004D77E0" w:rsidRDefault="00213CAE" w:rsidP="00213CA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>Refundacja w ramach trybu określonego w art. 30a ustawy o refundacji, tj. leków o ugruntowanej skuteczności klinicznej.</w:t>
            </w:r>
          </w:p>
        </w:tc>
      </w:tr>
      <w:tr w:rsidR="00213CAE" w:rsidRPr="004D77E0" w14:paraId="1F65A043" w14:textId="77777777" w:rsidTr="004D093B">
        <w:trPr>
          <w:cantSplit/>
        </w:trPr>
        <w:tc>
          <w:tcPr>
            <w:tcW w:w="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C21E57" w14:textId="0EAEB585" w:rsidR="00213CAE" w:rsidRPr="004D77E0" w:rsidRDefault="00213CAE" w:rsidP="00213CA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>7.</w:t>
            </w:r>
          </w:p>
        </w:tc>
        <w:tc>
          <w:tcPr>
            <w:tcW w:w="8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12E730" w14:textId="478CDE57" w:rsidR="00213CAE" w:rsidRPr="004D77E0" w:rsidRDefault="00213CAE" w:rsidP="00213CA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="Calibri"/>
                <w:b/>
                <w:bCs/>
                <w:color w:val="000000"/>
                <w:sz w:val="18"/>
                <w:szCs w:val="18"/>
              </w:rPr>
              <w:t>Oralair</w:t>
            </w:r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3C18BF" w14:textId="12CA6794" w:rsidR="00213CAE" w:rsidRPr="004D77E0" w:rsidRDefault="00795B9B" w:rsidP="00213CAE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Lato" w:hAnsi="Lato" w:cs="Calibri"/>
                <w:i/>
                <w:iCs/>
                <w:color w:val="000000"/>
                <w:sz w:val="18"/>
                <w:szCs w:val="18"/>
              </w:rPr>
              <w:t>w</w:t>
            </w:r>
            <w:r w:rsidR="00213CAE" w:rsidRPr="004D77E0">
              <w:rPr>
                <w:rFonts w:ascii="Lato" w:hAnsi="Lato" w:cs="Calibri"/>
                <w:i/>
                <w:iCs/>
                <w:color w:val="000000"/>
                <w:sz w:val="18"/>
                <w:szCs w:val="18"/>
              </w:rPr>
              <w:t>yciąg alergenów z pyłków traw</w:t>
            </w:r>
          </w:p>
        </w:tc>
        <w:tc>
          <w:tcPr>
            <w:tcW w:w="19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8E17FA" w14:textId="1C4FD9B9" w:rsidR="00213CAE" w:rsidRPr="004D77E0" w:rsidRDefault="00213CAE" w:rsidP="00213CA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="Calibri"/>
                <w:color w:val="000000"/>
                <w:sz w:val="18"/>
                <w:szCs w:val="18"/>
              </w:rPr>
              <w:t>Leczenie dzieci (od 5 roku życia), młodzieży oraz dorosłych (do 65 roku życia), u których zdiagnozowano alergiczny nieżyt nosa z</w:t>
            </w:r>
            <w:r w:rsidRPr="004D77E0">
              <w:rPr>
                <w:rFonts w:ascii="Arial" w:hAnsi="Arial" w:cs="Arial"/>
                <w:color w:val="000000"/>
                <w:sz w:val="18"/>
                <w:szCs w:val="18"/>
              </w:rPr>
              <w:t> </w:t>
            </w:r>
            <w:r w:rsidRPr="004D77E0">
              <w:rPr>
                <w:rFonts w:ascii="Lato" w:hAnsi="Lato" w:cs="Calibri"/>
                <w:color w:val="000000"/>
                <w:sz w:val="18"/>
                <w:szCs w:val="18"/>
              </w:rPr>
              <w:t>lub bez zapalenia spoj</w:t>
            </w:r>
            <w:r w:rsidRPr="004D77E0">
              <w:rPr>
                <w:rFonts w:ascii="Lato" w:hAnsi="Lato" w:cs="Lato"/>
                <w:color w:val="000000"/>
                <w:sz w:val="18"/>
                <w:szCs w:val="18"/>
              </w:rPr>
              <w:t>ó</w:t>
            </w:r>
            <w:r w:rsidRPr="004D77E0">
              <w:rPr>
                <w:rFonts w:ascii="Lato" w:hAnsi="Lato" w:cs="Calibri"/>
                <w:color w:val="000000"/>
                <w:sz w:val="18"/>
                <w:szCs w:val="18"/>
              </w:rPr>
              <w:t>wek, na podstawie objaw</w:t>
            </w:r>
            <w:r w:rsidRPr="004D77E0">
              <w:rPr>
                <w:rFonts w:ascii="Lato" w:hAnsi="Lato" w:cs="Lato"/>
                <w:color w:val="000000"/>
                <w:sz w:val="18"/>
                <w:szCs w:val="18"/>
              </w:rPr>
              <w:t>ó</w:t>
            </w:r>
            <w:r w:rsidRPr="004D77E0">
              <w:rPr>
                <w:rFonts w:ascii="Lato" w:hAnsi="Lato" w:cs="Calibri"/>
                <w:color w:val="000000"/>
                <w:sz w:val="18"/>
                <w:szCs w:val="18"/>
              </w:rPr>
              <w:t>w klinicznych oraz dodatniego wyniku punktowego testu sk</w:t>
            </w:r>
            <w:r w:rsidRPr="004D77E0">
              <w:rPr>
                <w:rFonts w:ascii="Lato" w:hAnsi="Lato" w:cs="Lato"/>
                <w:color w:val="000000"/>
                <w:sz w:val="18"/>
                <w:szCs w:val="18"/>
              </w:rPr>
              <w:t>ó</w:t>
            </w:r>
            <w:r w:rsidRPr="004D77E0">
              <w:rPr>
                <w:rFonts w:ascii="Lato" w:hAnsi="Lato" w:cs="Calibri"/>
                <w:color w:val="000000"/>
                <w:sz w:val="18"/>
                <w:szCs w:val="18"/>
              </w:rPr>
              <w:t>rnego lub obecno</w:t>
            </w:r>
            <w:r w:rsidRPr="004D77E0">
              <w:rPr>
                <w:rFonts w:ascii="Lato" w:hAnsi="Lato" w:cs="Lato"/>
                <w:color w:val="000000"/>
                <w:sz w:val="18"/>
                <w:szCs w:val="18"/>
              </w:rPr>
              <w:t>ś</w:t>
            </w:r>
            <w:r w:rsidRPr="004D77E0">
              <w:rPr>
                <w:rFonts w:ascii="Lato" w:hAnsi="Lato" w:cs="Calibri"/>
                <w:color w:val="000000"/>
                <w:sz w:val="18"/>
                <w:szCs w:val="18"/>
              </w:rPr>
              <w:t>ci swoistych IgE w surowicy skierowanego przeciw py</w:t>
            </w:r>
            <w:r w:rsidRPr="004D77E0">
              <w:rPr>
                <w:rFonts w:ascii="Lato" w:hAnsi="Lato" w:cs="Lato"/>
                <w:color w:val="000000"/>
                <w:sz w:val="18"/>
                <w:szCs w:val="18"/>
              </w:rPr>
              <w:t>ł</w:t>
            </w:r>
            <w:r w:rsidRPr="004D77E0">
              <w:rPr>
                <w:rFonts w:ascii="Lato" w:hAnsi="Lato" w:cs="Calibri"/>
                <w:color w:val="000000"/>
                <w:sz w:val="18"/>
                <w:szCs w:val="18"/>
              </w:rPr>
              <w:t>kowi jednej z traw z grupy homologicznej traw wiechlinowatych (Pooideae)</w:t>
            </w:r>
          </w:p>
        </w:tc>
        <w:tc>
          <w:tcPr>
            <w:tcW w:w="1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3A9B53" w14:textId="3E605DDC" w:rsidR="00213CAE" w:rsidRPr="004D77E0" w:rsidRDefault="00213CAE" w:rsidP="00213CA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/>
                <w:sz w:val="18"/>
                <w:szCs w:val="18"/>
              </w:rPr>
              <w:t>Wyciąg alergenów z pyłków 5 traw.</w:t>
            </w:r>
          </w:p>
        </w:tc>
      </w:tr>
      <w:tr w:rsidR="00213CAE" w:rsidRPr="004D77E0" w14:paraId="0BC6A894" w14:textId="77777777" w:rsidTr="004D093B">
        <w:trPr>
          <w:cantSplit/>
        </w:trPr>
        <w:tc>
          <w:tcPr>
            <w:tcW w:w="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E02808" w14:textId="5F7667D0" w:rsidR="00213CAE" w:rsidRPr="004D77E0" w:rsidRDefault="00213CAE" w:rsidP="00213CA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>8.</w:t>
            </w:r>
          </w:p>
        </w:tc>
        <w:tc>
          <w:tcPr>
            <w:tcW w:w="8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6CA1EE" w14:textId="0139141B" w:rsidR="00213CAE" w:rsidRPr="004D77E0" w:rsidRDefault="00213CAE" w:rsidP="00213CA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Różne produkty handlowe</w:t>
            </w:r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8D1E4D" w14:textId="05C5010A" w:rsidR="00213CAE" w:rsidRPr="004D77E0" w:rsidRDefault="00213CAE" w:rsidP="00213CAE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anastrozol</w:t>
            </w:r>
          </w:p>
        </w:tc>
        <w:tc>
          <w:tcPr>
            <w:tcW w:w="19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D02699" w14:textId="71C59D12" w:rsidR="00213CAE" w:rsidRPr="004D77E0" w:rsidRDefault="00213CAE" w:rsidP="00213CA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>W leczeniu zaawansowanego raka piersi u kobiet po menopauzie, u których stwierdzono w guzie obecność receptora estrogenowego.</w:t>
            </w:r>
          </w:p>
        </w:tc>
        <w:tc>
          <w:tcPr>
            <w:tcW w:w="1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27A8F8" w14:textId="4B8030A2" w:rsidR="00213CAE" w:rsidRPr="004D77E0" w:rsidRDefault="00213CAE" w:rsidP="00213CA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>Objęcie refundacją nowego wskazania klinicznego w stosunku do dotychczas ujętej na wykazie substancji czynnej.</w:t>
            </w:r>
          </w:p>
          <w:p w14:paraId="77657F04" w14:textId="1D89FC33" w:rsidR="00213CAE" w:rsidRPr="004D77E0" w:rsidRDefault="00213CAE" w:rsidP="00213CA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>Refundacja w ramach trybu określonego w art. 30a ustawy o refundacji, tj. leków o ugruntowanej skuteczności klinicznej.</w:t>
            </w:r>
          </w:p>
        </w:tc>
      </w:tr>
      <w:tr w:rsidR="00213CAE" w:rsidRPr="004D77E0" w14:paraId="5BDF8A84" w14:textId="77777777" w:rsidTr="004D093B">
        <w:trPr>
          <w:cantSplit/>
        </w:trPr>
        <w:tc>
          <w:tcPr>
            <w:tcW w:w="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790E3E" w14:textId="5C796EC0" w:rsidR="00213CAE" w:rsidRPr="004D77E0" w:rsidRDefault="00213CAE" w:rsidP="00213CA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>9.</w:t>
            </w:r>
          </w:p>
        </w:tc>
        <w:tc>
          <w:tcPr>
            <w:tcW w:w="8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2417D2" w14:textId="404F4888" w:rsidR="00213CAE" w:rsidRPr="004D77E0" w:rsidRDefault="00213CAE" w:rsidP="00213CA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Różne produkty handlowe</w:t>
            </w:r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B2AF14" w14:textId="3C9E68CA" w:rsidR="00213CAE" w:rsidRPr="004D77E0" w:rsidRDefault="00213CAE" w:rsidP="00213CAE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letrozol</w:t>
            </w:r>
          </w:p>
        </w:tc>
        <w:tc>
          <w:tcPr>
            <w:tcW w:w="19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F3594D" w14:textId="2426EFFE" w:rsidR="00213CAE" w:rsidRPr="004D77E0" w:rsidRDefault="00213CAE" w:rsidP="00213CA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>W leczeniu zaawansowanego raka piersi u kobiet po menopauzie, występującej fizjologicznie lub wywołanej sztucznie, u których wystąpił nawrót lub progresja procesu nowotworowego, a które uprzednio były leczone lekami o działaniu antyestrogenowym.</w:t>
            </w:r>
          </w:p>
        </w:tc>
        <w:tc>
          <w:tcPr>
            <w:tcW w:w="1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D19840" w14:textId="0FD69D6F" w:rsidR="00213CAE" w:rsidRPr="004D77E0" w:rsidRDefault="00213CAE" w:rsidP="00213CA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>Objęcie refundacją nowego wskazania klinicznego w stosunku do dotychczas ujętej na wykazie substancji czynnej.</w:t>
            </w:r>
          </w:p>
          <w:p w14:paraId="12B599F2" w14:textId="77CA92D5" w:rsidR="00213CAE" w:rsidRPr="004D77E0" w:rsidRDefault="00213CAE" w:rsidP="00213CA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>Refundacja w ramach trybu określonego w art. 30a ustawy o refundacji, tj. leków o ugruntowanej skuteczności klinicznej.</w:t>
            </w:r>
          </w:p>
        </w:tc>
      </w:tr>
      <w:tr w:rsidR="00213CAE" w:rsidRPr="004D77E0" w14:paraId="2B168D8A" w14:textId="77777777" w:rsidTr="004D093B">
        <w:trPr>
          <w:cantSplit/>
        </w:trPr>
        <w:tc>
          <w:tcPr>
            <w:tcW w:w="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910DCF" w14:textId="399AB3F0" w:rsidR="00213CAE" w:rsidRPr="004D77E0" w:rsidRDefault="00213CAE" w:rsidP="00213CA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>10.</w:t>
            </w:r>
          </w:p>
        </w:tc>
        <w:tc>
          <w:tcPr>
            <w:tcW w:w="8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CB9DA9" w14:textId="65C500A1" w:rsidR="00213CAE" w:rsidRPr="004D77E0" w:rsidRDefault="00213CAE" w:rsidP="00213CA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Ryeqo</w:t>
            </w:r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6C1F9B" w14:textId="51B61D3E" w:rsidR="00213CAE" w:rsidRPr="004D77E0" w:rsidRDefault="00213CAE" w:rsidP="00213CAE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relugoliks +</w:t>
            </w:r>
            <w:r w:rsidRPr="004D77E0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br/>
              <w:t>estradiol + octan</w:t>
            </w:r>
            <w:r w:rsidRPr="004D77E0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br/>
              <w:t>noretysteronu</w:t>
            </w:r>
          </w:p>
        </w:tc>
        <w:tc>
          <w:tcPr>
            <w:tcW w:w="19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055487" w14:textId="528CBDEC" w:rsidR="00213CAE" w:rsidRPr="004D77E0" w:rsidRDefault="00213CAE" w:rsidP="00213CA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>Objawowe leczenie endometriozy u dorosłych kobiet w wieku rozrodczym, które wcześniej były leczone farmakologicznie lub chirurgicznie.</w:t>
            </w:r>
          </w:p>
        </w:tc>
        <w:tc>
          <w:tcPr>
            <w:tcW w:w="1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888300" w14:textId="7C5EDDDF" w:rsidR="00213CAE" w:rsidRPr="004D77E0" w:rsidRDefault="00213CAE" w:rsidP="00213CA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>Objęcie refundacją nowego wskazania klinicznego w stosunku do ujętej na wykazie substancji czynnej.</w:t>
            </w:r>
          </w:p>
        </w:tc>
      </w:tr>
      <w:tr w:rsidR="00213CAE" w:rsidRPr="004D77E0" w14:paraId="70E76557" w14:textId="77777777" w:rsidTr="004D093B">
        <w:trPr>
          <w:cantSplit/>
        </w:trPr>
        <w:tc>
          <w:tcPr>
            <w:tcW w:w="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47A074" w14:textId="7EF5BF26" w:rsidR="00213CAE" w:rsidRPr="004D77E0" w:rsidRDefault="00213CAE" w:rsidP="00213CA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>11.</w:t>
            </w:r>
          </w:p>
        </w:tc>
        <w:tc>
          <w:tcPr>
            <w:tcW w:w="8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E37D07" w14:textId="3B0095D6" w:rsidR="00213CAE" w:rsidRPr="004D77E0" w:rsidRDefault="00213CAE" w:rsidP="00213CAE">
            <w:pPr>
              <w:spacing w:before="60" w:after="60" w:line="240" w:lineRule="auto"/>
              <w:jc w:val="center"/>
              <w:rPr>
                <w:rFonts w:ascii="Lato" w:hAnsi="Lato" w:cs="Calibri"/>
                <w:b/>
                <w:bCs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="Calibri"/>
                <w:b/>
                <w:bCs/>
                <w:color w:val="000000"/>
                <w:sz w:val="18"/>
                <w:szCs w:val="18"/>
              </w:rPr>
              <w:t>Staloral 300</w:t>
            </w:r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4024D3" w14:textId="67533427" w:rsidR="00213CAE" w:rsidRPr="004D77E0" w:rsidRDefault="00795B9B" w:rsidP="00213CAE">
            <w:pPr>
              <w:spacing w:before="60" w:after="60" w:line="240" w:lineRule="auto"/>
              <w:jc w:val="center"/>
              <w:rPr>
                <w:rFonts w:ascii="Lato" w:hAnsi="Lato" w:cs="Calibri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Lato" w:hAnsi="Lato" w:cs="Calibri"/>
                <w:i/>
                <w:iCs/>
                <w:color w:val="000000"/>
                <w:sz w:val="18"/>
                <w:szCs w:val="18"/>
              </w:rPr>
              <w:t>m</w:t>
            </w:r>
            <w:r w:rsidR="00213CAE" w:rsidRPr="004D77E0">
              <w:rPr>
                <w:rFonts w:ascii="Lato" w:hAnsi="Lato" w:cs="Calibri"/>
                <w:i/>
                <w:iCs/>
                <w:color w:val="000000"/>
                <w:sz w:val="18"/>
                <w:szCs w:val="18"/>
              </w:rPr>
              <w:t>ieszanki wyciągów alergenowych roztoczy kurzu domowego (350 Dermatophagoides pteronyssinus, Dermatophagoides farinae)</w:t>
            </w:r>
          </w:p>
        </w:tc>
        <w:tc>
          <w:tcPr>
            <w:tcW w:w="19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D17DBB" w14:textId="126D7A90" w:rsidR="00213CAE" w:rsidRPr="004D77E0" w:rsidRDefault="00213CAE" w:rsidP="00213CAE">
            <w:pPr>
              <w:spacing w:before="60" w:after="60" w:line="240" w:lineRule="auto"/>
              <w:jc w:val="center"/>
              <w:rPr>
                <w:rFonts w:ascii="Lato" w:hAnsi="Lato" w:cs="Calibr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>Leczenie dzieci w wieku od ukończonego 5. roku życia do ukończonego 12. roku życia (w wieku 5-11 lat) z umiarkowanym lub ciężkim alergicznym nieżytem nosa spowodowanym kurzem domowym, utrzymującym się pomimo stosowania leków łagodzących objawy, u których rozpoznanie zostało postawione na podstawie wywiadu klinicznego oraz dodatniego testu alergicznego na roztocza kurzu domowego (punktowe testy skórne lub swoiste immunoglobuliny E</w:t>
            </w:r>
          </w:p>
        </w:tc>
        <w:tc>
          <w:tcPr>
            <w:tcW w:w="1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D148EC" w14:textId="0D0398BE" w:rsidR="00213CAE" w:rsidRPr="004D77E0" w:rsidRDefault="00213CAE" w:rsidP="00213CA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>Rozszerzenia wskazania o populację dzieci w wieku 5-11 lat.</w:t>
            </w:r>
          </w:p>
        </w:tc>
      </w:tr>
      <w:tr w:rsidR="00213CAE" w:rsidRPr="004D77E0" w14:paraId="2E47449C" w14:textId="77777777" w:rsidTr="004D093B">
        <w:trPr>
          <w:cantSplit/>
        </w:trPr>
        <w:tc>
          <w:tcPr>
            <w:tcW w:w="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A280D0" w14:textId="7C92A828" w:rsidR="00213CAE" w:rsidRPr="004D77E0" w:rsidRDefault="00213CAE" w:rsidP="00213CA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lastRenderedPageBreak/>
              <w:t>12.</w:t>
            </w:r>
          </w:p>
        </w:tc>
        <w:tc>
          <w:tcPr>
            <w:tcW w:w="8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34529A" w14:textId="6E87F637" w:rsidR="00213CAE" w:rsidRPr="004D77E0" w:rsidRDefault="00213CAE" w:rsidP="00213CAE">
            <w:pPr>
              <w:spacing w:before="60" w:after="60" w:line="240" w:lineRule="auto"/>
              <w:jc w:val="center"/>
              <w:rPr>
                <w:rFonts w:ascii="Lato" w:hAnsi="Lato" w:cs="Calibri"/>
                <w:b/>
                <w:bCs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="Calibri"/>
                <w:b/>
                <w:bCs/>
                <w:color w:val="000000"/>
                <w:sz w:val="18"/>
                <w:szCs w:val="18"/>
              </w:rPr>
              <w:t>Staloral 300</w:t>
            </w:r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FD9EBA" w14:textId="7175BD80" w:rsidR="00213CAE" w:rsidRPr="004D77E0" w:rsidRDefault="00795B9B" w:rsidP="00213CAE">
            <w:pPr>
              <w:spacing w:before="60" w:after="60" w:line="240" w:lineRule="auto"/>
              <w:jc w:val="center"/>
              <w:rPr>
                <w:rFonts w:ascii="Lato" w:hAnsi="Lato" w:cs="Calibri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Lato" w:hAnsi="Lato" w:cs="Calibri"/>
                <w:i/>
                <w:iCs/>
                <w:color w:val="000000"/>
                <w:sz w:val="18"/>
                <w:szCs w:val="18"/>
              </w:rPr>
              <w:t>w</w:t>
            </w:r>
            <w:r w:rsidR="00213CAE" w:rsidRPr="004D77E0">
              <w:rPr>
                <w:rFonts w:ascii="Lato" w:hAnsi="Lato" w:cs="Calibri"/>
                <w:i/>
                <w:iCs/>
                <w:color w:val="000000"/>
                <w:sz w:val="18"/>
                <w:szCs w:val="18"/>
              </w:rPr>
              <w:t>yciągi alergenowe pyłku tymotki łąkowej (661) albo pyłku brzozy (615) oraz</w:t>
            </w:r>
          </w:p>
          <w:p w14:paraId="4D51A9C6" w14:textId="4CBF446C" w:rsidR="00213CAE" w:rsidRPr="004D77E0" w:rsidRDefault="00213CAE" w:rsidP="00213CAE">
            <w:pPr>
              <w:spacing w:before="60" w:after="60" w:line="240" w:lineRule="auto"/>
              <w:jc w:val="center"/>
              <w:rPr>
                <w:rFonts w:ascii="Lato" w:hAnsi="Lato" w:cs="Calibri"/>
                <w:i/>
                <w:iCs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Mieszanki wyciągów alergenowych 5 traw (688)</w:t>
            </w:r>
          </w:p>
        </w:tc>
        <w:tc>
          <w:tcPr>
            <w:tcW w:w="19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EAE3E0" w14:textId="60B0D101" w:rsidR="00213CAE" w:rsidRPr="004D77E0" w:rsidRDefault="00213CAE" w:rsidP="00213CAE">
            <w:pPr>
              <w:spacing w:before="60" w:after="60" w:line="240" w:lineRule="auto"/>
              <w:jc w:val="center"/>
              <w:rPr>
                <w:rFonts w:ascii="Lato" w:hAnsi="Lato" w:cs="Calibr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="Calibri"/>
                <w:color w:val="000000"/>
                <w:sz w:val="18"/>
                <w:szCs w:val="18"/>
              </w:rPr>
              <w:t>Leczenie schorzeń alergicznych (typ I alergii wg klasyfikacji Gella i Coombsa), objawiających się nieżytem nosa, zapaleniem spojówek, nieżytem nosa i spojówek lub astmą (łagodną do umiarkowanej) u dzieci i młodzieży od ukończonego 5. roku życia do ukończonego 18. roku życia (w wieku 5-17 lat), u których rozpoznanie zostało postawione na podstawie wywiadu klinicznego oraz dodatniego wyniku punktowych testów skórnych lub testu w kierunku swoistej immunoglobuliny E na pyłki traw lub brzozy</w:t>
            </w:r>
          </w:p>
        </w:tc>
        <w:tc>
          <w:tcPr>
            <w:tcW w:w="1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34E522" w14:textId="7A4EF12C" w:rsidR="00213CAE" w:rsidRPr="004D77E0" w:rsidRDefault="00213CAE" w:rsidP="00213CA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>Objęcie refundacją wyciągów alergenowych  pyłków roślin:  tymotki łąkowej, pyłku brzozy oraz mieszaniny wyciągów 5 traw.</w:t>
            </w:r>
          </w:p>
        </w:tc>
      </w:tr>
    </w:tbl>
    <w:p w14:paraId="6B996492" w14:textId="0986F7C0" w:rsidR="009D10B8" w:rsidRPr="004D77E0" w:rsidRDefault="009D10B8" w:rsidP="0068046C">
      <w:pPr>
        <w:suppressAutoHyphens w:val="0"/>
        <w:rPr>
          <w:rFonts w:ascii="Lato" w:hAnsi="Lato"/>
          <w:b/>
          <w:bCs/>
          <w:color w:val="00B0F0"/>
        </w:rPr>
      </w:pPr>
    </w:p>
    <w:p w14:paraId="621B5752" w14:textId="78A39E6B" w:rsidR="006826ED" w:rsidRDefault="001321BE">
      <w:pPr>
        <w:suppressAutoHyphens w:val="0"/>
        <w:rPr>
          <w:rFonts w:ascii="Lato" w:hAnsi="Lato"/>
        </w:rPr>
      </w:pPr>
      <w:r w:rsidRPr="004D77E0">
        <w:rPr>
          <w:rFonts w:ascii="Lato" w:hAnsi="Lato"/>
        </w:rPr>
        <w:tab/>
      </w:r>
    </w:p>
    <w:p w14:paraId="0D5B3F4C" w14:textId="77777777" w:rsidR="001321BE" w:rsidRPr="004D77E0" w:rsidRDefault="001321BE" w:rsidP="001321BE">
      <w:pPr>
        <w:suppressAutoHyphens w:val="0"/>
        <w:rPr>
          <w:rFonts w:ascii="Lato" w:hAnsi="Lato"/>
          <w:b/>
          <w:bCs/>
          <w:color w:val="00B0F0"/>
        </w:rPr>
      </w:pPr>
    </w:p>
    <w:p w14:paraId="6EC0A257" w14:textId="77777777" w:rsidR="001321BE" w:rsidRPr="004D77E0" w:rsidRDefault="001321BE" w:rsidP="001321BE">
      <w:pPr>
        <w:jc w:val="center"/>
        <w:rPr>
          <w:rFonts w:ascii="Lato" w:hAnsi="Lato"/>
          <w:b/>
          <w:bCs/>
          <w:color w:val="00B0F0"/>
          <w:sz w:val="28"/>
          <w:szCs w:val="28"/>
        </w:rPr>
      </w:pPr>
      <w:r w:rsidRPr="004D77E0">
        <w:rPr>
          <w:rFonts w:ascii="Lato" w:hAnsi="Lato"/>
          <w:b/>
          <w:bCs/>
          <w:color w:val="00B0F0"/>
          <w:sz w:val="28"/>
          <w:szCs w:val="28"/>
        </w:rPr>
        <w:t xml:space="preserve">ZMIANY NA BEZPŁATNYCH WYKAZACH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10" w:type="dxa"/>
          <w:bottom w:w="57" w:type="dxa"/>
          <w:right w:w="10" w:type="dxa"/>
        </w:tblCellMar>
        <w:tblLook w:val="04A0" w:firstRow="1" w:lastRow="0" w:firstColumn="1" w:lastColumn="0" w:noHBand="0" w:noVBand="1"/>
      </w:tblPr>
      <w:tblGrid>
        <w:gridCol w:w="520"/>
        <w:gridCol w:w="2124"/>
        <w:gridCol w:w="4210"/>
        <w:gridCol w:w="8534"/>
      </w:tblGrid>
      <w:tr w:rsidR="001321BE" w:rsidRPr="004D77E0" w14:paraId="5A3DE00D" w14:textId="77777777" w:rsidTr="00E20B57">
        <w:trPr>
          <w:trHeight w:val="310"/>
        </w:trPr>
        <w:tc>
          <w:tcPr>
            <w:tcW w:w="5000" w:type="pct"/>
            <w:gridSpan w:val="4"/>
            <w:shd w:val="clear" w:color="auto" w:fill="00206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20D951" w14:textId="77777777" w:rsidR="001321BE" w:rsidRPr="004D77E0" w:rsidRDefault="001321BE" w:rsidP="00E20B57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FFFFFF"/>
              </w:rPr>
            </w:pPr>
            <w:bookmarkStart w:id="2" w:name="_Hlk148004033"/>
            <w:r w:rsidRPr="004D77E0">
              <w:rPr>
                <w:rFonts w:ascii="Lato" w:hAnsi="Lato" w:cstheme="majorHAnsi"/>
                <w:b/>
                <w:bCs/>
                <w:color w:val="FFFFFF"/>
              </w:rPr>
              <w:t>Zmiany na liście 18-</w:t>
            </w:r>
          </w:p>
        </w:tc>
      </w:tr>
      <w:tr w:rsidR="001321BE" w:rsidRPr="004D77E0" w14:paraId="0D5A7C1E" w14:textId="77777777" w:rsidTr="00E20B57">
        <w:trPr>
          <w:trHeight w:val="334"/>
        </w:trPr>
        <w:tc>
          <w:tcPr>
            <w:tcW w:w="169" w:type="pct"/>
            <w:shd w:val="clear" w:color="auto" w:fill="007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C934A8" w14:textId="77777777" w:rsidR="001321BE" w:rsidRPr="004D77E0" w:rsidRDefault="001321BE" w:rsidP="00E20B57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FFFFFF" w:themeColor="background1"/>
                <w:sz w:val="20"/>
                <w:szCs w:val="20"/>
              </w:rPr>
            </w:pPr>
            <w:r w:rsidRPr="004D77E0">
              <w:rPr>
                <w:rFonts w:ascii="Lato" w:hAnsi="Lato" w:cstheme="majorHAnsi"/>
                <w:b/>
                <w:bCs/>
                <w:color w:val="FFFFFF" w:themeColor="background1"/>
                <w:sz w:val="20"/>
                <w:szCs w:val="20"/>
              </w:rPr>
              <w:t>Lp.</w:t>
            </w:r>
          </w:p>
        </w:tc>
        <w:tc>
          <w:tcPr>
            <w:tcW w:w="690" w:type="pct"/>
            <w:shd w:val="clear" w:color="auto" w:fill="007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F5D404" w14:textId="77777777" w:rsidR="001321BE" w:rsidRPr="004D77E0" w:rsidRDefault="001321BE" w:rsidP="00E20B57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FFFFFF" w:themeColor="background1"/>
                <w:sz w:val="20"/>
                <w:szCs w:val="20"/>
              </w:rPr>
            </w:pPr>
            <w:r w:rsidRPr="004D77E0">
              <w:rPr>
                <w:rFonts w:ascii="Lato" w:hAnsi="Lato" w:cstheme="majorHAnsi"/>
                <w:b/>
                <w:bCs/>
                <w:color w:val="FFFFFF" w:themeColor="background1"/>
                <w:sz w:val="20"/>
                <w:szCs w:val="20"/>
              </w:rPr>
              <w:t>Substancja czynna</w:t>
            </w:r>
          </w:p>
        </w:tc>
        <w:tc>
          <w:tcPr>
            <w:tcW w:w="1368" w:type="pct"/>
            <w:shd w:val="clear" w:color="auto" w:fill="007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D38621" w14:textId="77777777" w:rsidR="001321BE" w:rsidRPr="004D77E0" w:rsidRDefault="001321BE" w:rsidP="00E20B57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FFFFFF" w:themeColor="background1"/>
                <w:sz w:val="20"/>
                <w:szCs w:val="20"/>
              </w:rPr>
            </w:pPr>
            <w:r w:rsidRPr="004D77E0">
              <w:rPr>
                <w:rFonts w:ascii="Lato" w:hAnsi="Lato" w:cstheme="majorHAnsi"/>
                <w:b/>
                <w:bCs/>
                <w:color w:val="FFFFFF" w:themeColor="background1"/>
                <w:sz w:val="20"/>
                <w:szCs w:val="20"/>
              </w:rPr>
              <w:t>Wskazanie refundacyjne</w:t>
            </w:r>
          </w:p>
        </w:tc>
        <w:tc>
          <w:tcPr>
            <w:tcW w:w="2773" w:type="pct"/>
            <w:shd w:val="clear" w:color="auto" w:fill="007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CD7050" w14:textId="77777777" w:rsidR="001321BE" w:rsidRPr="004D77E0" w:rsidRDefault="001321BE" w:rsidP="00E20B57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FFFFFF" w:themeColor="background1"/>
                <w:sz w:val="20"/>
                <w:szCs w:val="20"/>
              </w:rPr>
            </w:pPr>
            <w:r w:rsidRPr="004D77E0">
              <w:rPr>
                <w:rFonts w:ascii="Lato" w:hAnsi="Lato" w:cstheme="majorHAnsi"/>
                <w:b/>
                <w:bCs/>
                <w:color w:val="FFFFFF" w:themeColor="background1"/>
                <w:sz w:val="20"/>
                <w:szCs w:val="20"/>
              </w:rPr>
              <w:t>Dodatkowe informacje</w:t>
            </w:r>
          </w:p>
        </w:tc>
      </w:tr>
      <w:tr w:rsidR="001321BE" w:rsidRPr="004D77E0" w14:paraId="53B8DA68" w14:textId="77777777" w:rsidTr="00E20B57">
        <w:trPr>
          <w:trHeight w:val="733"/>
        </w:trPr>
        <w:tc>
          <w:tcPr>
            <w:tcW w:w="169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583036" w14:textId="77777777" w:rsidR="001321BE" w:rsidRPr="004D77E0" w:rsidRDefault="001321BE" w:rsidP="00E20B57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>1.</w:t>
            </w:r>
          </w:p>
        </w:tc>
        <w:tc>
          <w:tcPr>
            <w:tcW w:w="69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3E72FD" w14:textId="77777777" w:rsidR="001321BE" w:rsidRPr="004D77E0" w:rsidRDefault="001321BE" w:rsidP="00E20B57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</w:rPr>
            </w:pPr>
            <w:r w:rsidRPr="004D77E0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Wyciągi alergenowe roztoczy kurzu domowego (Dermatophagoides pteronyssinus, Dermatophagoides farina)</w:t>
            </w:r>
          </w:p>
        </w:tc>
        <w:tc>
          <w:tcPr>
            <w:tcW w:w="136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CE38E9" w14:textId="77777777" w:rsidR="001321BE" w:rsidRPr="004D77E0" w:rsidRDefault="001321BE" w:rsidP="00E20B57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</w:rPr>
            </w:pP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>Leczenie dzieci w wieku od ukończonego 5. roku życia do ukończonego 12. roku życia (w wieku 5-11 lat) z umiarkowanym lub ciężkim alergicznym nieżytem nosa spowodowanym kurzem domowym, utrzymującym się pomimo stosowania leków łagodzących objawy, u których rozpoznanie zostało postawione na podstawie wywiadu klinicznego oraz dodatniego testu alergicznego na roztocza kurzu domowego (punktowe testy skórne lub swoiste immunoglobuliny E</w:t>
            </w:r>
          </w:p>
        </w:tc>
        <w:tc>
          <w:tcPr>
            <w:tcW w:w="277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6A3D27" w14:textId="77777777" w:rsidR="001321BE" w:rsidRPr="004D77E0" w:rsidRDefault="001321BE" w:rsidP="00E20B57">
            <w:pPr>
              <w:suppressAutoHyphens w:val="0"/>
              <w:spacing w:before="60" w:after="60" w:line="240" w:lineRule="auto"/>
              <w:jc w:val="center"/>
              <w:textAlignment w:val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>W wyniku rozszerzenia populacji dla dzieci w wieku od 5 lat do 11 lat decyzją Ministra Zdrowia substancja czynna, która była oceniana przez Agencję Oceny Technologii Medycznych i Taryfikacji, została włączona na bezpłatny wykaz D1 (lista bezpłatnych leków 18-) z uwagi na bezpłatne zaopatrzenie starszej populacji dzieci w analogicznym wskazaniu.</w:t>
            </w:r>
          </w:p>
        </w:tc>
      </w:tr>
      <w:bookmarkEnd w:id="2"/>
    </w:tbl>
    <w:p w14:paraId="759FAE6E" w14:textId="77777777" w:rsidR="001321BE" w:rsidRPr="004D77E0" w:rsidRDefault="001321BE" w:rsidP="001321BE">
      <w:pPr>
        <w:suppressAutoHyphens w:val="0"/>
        <w:rPr>
          <w:rFonts w:ascii="Lato" w:hAnsi="Lato"/>
          <w:b/>
          <w:bCs/>
          <w:color w:val="00B0F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10" w:type="dxa"/>
          <w:bottom w:w="57" w:type="dxa"/>
          <w:right w:w="10" w:type="dxa"/>
        </w:tblCellMar>
        <w:tblLook w:val="04A0" w:firstRow="1" w:lastRow="0" w:firstColumn="1" w:lastColumn="0" w:noHBand="0" w:noVBand="1"/>
      </w:tblPr>
      <w:tblGrid>
        <w:gridCol w:w="520"/>
        <w:gridCol w:w="2124"/>
        <w:gridCol w:w="4210"/>
        <w:gridCol w:w="8534"/>
      </w:tblGrid>
      <w:tr w:rsidR="00565C90" w:rsidRPr="004D77E0" w14:paraId="21C06A5C" w14:textId="77777777" w:rsidTr="00145E7D">
        <w:trPr>
          <w:trHeight w:val="310"/>
        </w:trPr>
        <w:tc>
          <w:tcPr>
            <w:tcW w:w="5000" w:type="pct"/>
            <w:gridSpan w:val="4"/>
            <w:shd w:val="clear" w:color="auto" w:fill="00206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F1225F" w14:textId="02E9A754" w:rsidR="00565C90" w:rsidRPr="004D77E0" w:rsidRDefault="00565C90" w:rsidP="00145E7D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FFFFFF"/>
              </w:rPr>
            </w:pPr>
            <w:r w:rsidRPr="004D77E0">
              <w:rPr>
                <w:rFonts w:ascii="Lato" w:hAnsi="Lato" w:cstheme="majorHAnsi"/>
                <w:b/>
                <w:bCs/>
                <w:color w:val="FFFFFF"/>
              </w:rPr>
              <w:t>Zmiany na liście 65+</w:t>
            </w:r>
          </w:p>
        </w:tc>
      </w:tr>
      <w:tr w:rsidR="00565C90" w:rsidRPr="004D77E0" w14:paraId="748391B3" w14:textId="77777777" w:rsidTr="00145E7D">
        <w:trPr>
          <w:trHeight w:val="334"/>
        </w:trPr>
        <w:tc>
          <w:tcPr>
            <w:tcW w:w="169" w:type="pct"/>
            <w:shd w:val="clear" w:color="auto" w:fill="007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BD08B6" w14:textId="77777777" w:rsidR="00565C90" w:rsidRPr="004D77E0" w:rsidRDefault="00565C90" w:rsidP="00145E7D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FFFFFF" w:themeColor="background1"/>
                <w:sz w:val="20"/>
                <w:szCs w:val="20"/>
              </w:rPr>
            </w:pPr>
            <w:r w:rsidRPr="004D77E0">
              <w:rPr>
                <w:rFonts w:ascii="Lato" w:hAnsi="Lato" w:cstheme="majorHAnsi"/>
                <w:b/>
                <w:bCs/>
                <w:color w:val="FFFFFF" w:themeColor="background1"/>
                <w:sz w:val="20"/>
                <w:szCs w:val="20"/>
              </w:rPr>
              <w:t>Lp.</w:t>
            </w:r>
          </w:p>
        </w:tc>
        <w:tc>
          <w:tcPr>
            <w:tcW w:w="690" w:type="pct"/>
            <w:shd w:val="clear" w:color="auto" w:fill="007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041E4A" w14:textId="77777777" w:rsidR="00565C90" w:rsidRPr="004D77E0" w:rsidRDefault="00565C90" w:rsidP="00145E7D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FFFFFF" w:themeColor="background1"/>
                <w:sz w:val="20"/>
                <w:szCs w:val="20"/>
              </w:rPr>
            </w:pPr>
            <w:r w:rsidRPr="004D77E0">
              <w:rPr>
                <w:rFonts w:ascii="Lato" w:hAnsi="Lato" w:cstheme="majorHAnsi"/>
                <w:b/>
                <w:bCs/>
                <w:color w:val="FFFFFF" w:themeColor="background1"/>
                <w:sz w:val="20"/>
                <w:szCs w:val="20"/>
              </w:rPr>
              <w:t>Substancja czynna</w:t>
            </w:r>
          </w:p>
        </w:tc>
        <w:tc>
          <w:tcPr>
            <w:tcW w:w="1368" w:type="pct"/>
            <w:shd w:val="clear" w:color="auto" w:fill="007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0AAD37" w14:textId="77777777" w:rsidR="00565C90" w:rsidRPr="004D77E0" w:rsidRDefault="00565C90" w:rsidP="00145E7D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FFFFFF" w:themeColor="background1"/>
                <w:sz w:val="20"/>
                <w:szCs w:val="20"/>
              </w:rPr>
            </w:pPr>
            <w:r w:rsidRPr="004D77E0">
              <w:rPr>
                <w:rFonts w:ascii="Lato" w:hAnsi="Lato" w:cstheme="majorHAnsi"/>
                <w:b/>
                <w:bCs/>
                <w:color w:val="FFFFFF" w:themeColor="background1"/>
                <w:sz w:val="20"/>
                <w:szCs w:val="20"/>
              </w:rPr>
              <w:t>Wskazanie refundacyjne</w:t>
            </w:r>
          </w:p>
        </w:tc>
        <w:tc>
          <w:tcPr>
            <w:tcW w:w="2773" w:type="pct"/>
            <w:shd w:val="clear" w:color="auto" w:fill="007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A3D087" w14:textId="77777777" w:rsidR="00565C90" w:rsidRPr="004D77E0" w:rsidRDefault="00565C90" w:rsidP="00145E7D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FFFFFF" w:themeColor="background1"/>
                <w:sz w:val="20"/>
                <w:szCs w:val="20"/>
              </w:rPr>
            </w:pPr>
            <w:r w:rsidRPr="004D77E0">
              <w:rPr>
                <w:rFonts w:ascii="Lato" w:hAnsi="Lato" w:cstheme="majorHAnsi"/>
                <w:b/>
                <w:bCs/>
                <w:color w:val="FFFFFF" w:themeColor="background1"/>
                <w:sz w:val="20"/>
                <w:szCs w:val="20"/>
              </w:rPr>
              <w:t>Dodatkowe informacje</w:t>
            </w:r>
          </w:p>
        </w:tc>
      </w:tr>
      <w:tr w:rsidR="00565C90" w:rsidRPr="004D77E0" w14:paraId="6A89B47A" w14:textId="77777777" w:rsidTr="00145E7D">
        <w:trPr>
          <w:trHeight w:val="733"/>
        </w:trPr>
        <w:tc>
          <w:tcPr>
            <w:tcW w:w="169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7964E1" w14:textId="77777777" w:rsidR="00565C90" w:rsidRPr="004D77E0" w:rsidRDefault="00565C90" w:rsidP="00145E7D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>1.</w:t>
            </w:r>
          </w:p>
        </w:tc>
        <w:tc>
          <w:tcPr>
            <w:tcW w:w="69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1FF876" w14:textId="40EB7191" w:rsidR="00565C90" w:rsidRPr="004D77E0" w:rsidRDefault="00565C90" w:rsidP="00145E7D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</w:rPr>
            </w:pPr>
            <w:r w:rsidRPr="004D77E0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Szczepionka przeciw syncytialnemu wirusowi dróg oddechowych (RSV) (rekombinowana, z adiuwantem)</w:t>
            </w:r>
          </w:p>
        </w:tc>
        <w:tc>
          <w:tcPr>
            <w:tcW w:w="136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8B8FED" w14:textId="366C418A" w:rsidR="00565C90" w:rsidRPr="004D77E0" w:rsidRDefault="00565C90" w:rsidP="00145E7D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</w:rPr>
            </w:pP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>Profilaktyka zakażeń RSV u pacjentów w wieku 60 lat i starszych</w:t>
            </w:r>
          </w:p>
        </w:tc>
        <w:tc>
          <w:tcPr>
            <w:tcW w:w="277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1D2E65" w14:textId="58509A69" w:rsidR="00565C90" w:rsidRPr="004D77E0" w:rsidRDefault="00565C90" w:rsidP="00145E7D">
            <w:pPr>
              <w:suppressAutoHyphens w:val="0"/>
              <w:spacing w:before="60" w:after="60" w:line="240" w:lineRule="auto"/>
              <w:jc w:val="center"/>
              <w:textAlignment w:val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Umieszczenie na wykazie 65+ dodatkowej szczepionki przeciwko RSV. </w:t>
            </w:r>
          </w:p>
        </w:tc>
      </w:tr>
      <w:tr w:rsidR="005512E6" w:rsidRPr="004D77E0" w14:paraId="016F6F04" w14:textId="77777777" w:rsidTr="00145E7D">
        <w:trPr>
          <w:trHeight w:val="733"/>
        </w:trPr>
        <w:tc>
          <w:tcPr>
            <w:tcW w:w="169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8E729D" w14:textId="435BCBCB" w:rsidR="005512E6" w:rsidRPr="004D77E0" w:rsidRDefault="005512E6" w:rsidP="005512E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>2.</w:t>
            </w:r>
          </w:p>
        </w:tc>
        <w:tc>
          <w:tcPr>
            <w:tcW w:w="69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CFF31D" w14:textId="3D1D0F56" w:rsidR="005512E6" w:rsidRPr="004D77E0" w:rsidRDefault="005512E6" w:rsidP="005512E6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Dapagliflozyna</w:t>
            </w:r>
          </w:p>
        </w:tc>
        <w:tc>
          <w:tcPr>
            <w:tcW w:w="136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AE5F98" w14:textId="3496C6F8" w:rsidR="005512E6" w:rsidRPr="004D77E0" w:rsidRDefault="005512E6" w:rsidP="005512E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Cukrzyca typu 2, u pacjentów stosujących co najmniej jeden lek hipoglikemizujący, z HbA1c ≥7% oraz bardzo wysokim ryzykiem sercowo-naczyniowym rozumianym jako: 1. potwierdzona choroba sercowo-naczyniowa, lub 2. uszkodzenie </w:t>
            </w: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lastRenderedPageBreak/>
              <w:t>innych narządów objawiające się poprzez: białkomocz lub przerost lewej komory lub retinopatię, lub 3. obecność 3 lub więcej głównych czynników ryzyka spośród wymienionych poniżej: wiek ≥55 lat dla mężczyzn i ≥60 lat dla kobiet, dyslipidemia, nadciśnienie tętnicze, palenie tytoniu, otyłość.</w:t>
            </w:r>
          </w:p>
        </w:tc>
        <w:tc>
          <w:tcPr>
            <w:tcW w:w="277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965608" w14:textId="7E17106A" w:rsidR="005512E6" w:rsidRPr="004D77E0" w:rsidRDefault="005512E6" w:rsidP="005512E6">
            <w:pPr>
              <w:suppressAutoHyphens w:val="0"/>
              <w:spacing w:before="60" w:after="60" w:line="240" w:lineRule="auto"/>
              <w:jc w:val="center"/>
              <w:textAlignment w:val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lastRenderedPageBreak/>
              <w:t>Włączenie rozszerzonego wskazania diabetologicznego na listę D2.</w:t>
            </w:r>
          </w:p>
        </w:tc>
      </w:tr>
      <w:tr w:rsidR="005512E6" w:rsidRPr="004D77E0" w14:paraId="76FA32A1" w14:textId="77777777" w:rsidTr="00145E7D">
        <w:trPr>
          <w:trHeight w:val="733"/>
        </w:trPr>
        <w:tc>
          <w:tcPr>
            <w:tcW w:w="169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380984" w14:textId="6C0B31ED" w:rsidR="005512E6" w:rsidRPr="004D77E0" w:rsidRDefault="005512E6" w:rsidP="005512E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>3.</w:t>
            </w:r>
          </w:p>
        </w:tc>
        <w:tc>
          <w:tcPr>
            <w:tcW w:w="69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D1C826" w14:textId="3FEFAAAB" w:rsidR="005512E6" w:rsidRPr="004D77E0" w:rsidRDefault="005512E6" w:rsidP="005512E6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Dapagliflozyna</w:t>
            </w:r>
          </w:p>
        </w:tc>
        <w:tc>
          <w:tcPr>
            <w:tcW w:w="136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F8204F" w14:textId="175BE86B" w:rsidR="005512E6" w:rsidRPr="004D77E0" w:rsidRDefault="005512E6" w:rsidP="005512E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>Przewlekła niewydolność serca u dorosłych pacjentów w pełnym zakresie LVEF oraz utrzymującymi się objawami choroby w klasie II-IV NYHA: − pomimo zastosowania terapii opartej na ACEi (lub ARB/ARNi) i lekach z grupy betaadrenolityków oraz jeśli wskazane antagonistach receptora mineralokortykoidów (z frakcją wyrzutową z LVEF ≤40%) lub − pomimo zastosowania terapii opartej na ACEi (lub ARB/ARNi) i lekach z grupy betaadrenolityków oraz jeśli wskazane diuretykach (z frakcją wyrzutową z LVEF&gt;40%).</w:t>
            </w:r>
          </w:p>
        </w:tc>
        <w:tc>
          <w:tcPr>
            <w:tcW w:w="277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FC73FB" w14:textId="396F5CAB" w:rsidR="005512E6" w:rsidRPr="004D77E0" w:rsidRDefault="005512E6" w:rsidP="005512E6">
            <w:pPr>
              <w:suppressAutoHyphens w:val="0"/>
              <w:spacing w:before="60" w:after="60" w:line="240" w:lineRule="auto"/>
              <w:jc w:val="center"/>
              <w:textAlignment w:val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>Włączenie rozszerzonego wskazania kardiologicznego na listę D2.</w:t>
            </w:r>
          </w:p>
        </w:tc>
      </w:tr>
    </w:tbl>
    <w:p w14:paraId="54E1ACCA" w14:textId="09F3AC53" w:rsidR="001321BE" w:rsidRPr="004D77E0" w:rsidRDefault="001321BE" w:rsidP="001321BE">
      <w:pPr>
        <w:tabs>
          <w:tab w:val="left" w:pos="4283"/>
        </w:tabs>
        <w:rPr>
          <w:rFonts w:ascii="Lato" w:hAnsi="Lato"/>
        </w:rPr>
      </w:pPr>
    </w:p>
    <w:sectPr w:rsidR="001321BE" w:rsidRPr="004D77E0" w:rsidSect="00F453C2">
      <w:headerReference w:type="first" r:id="rId8"/>
      <w:pgSz w:w="16838" w:h="11906" w:orient="landscape"/>
      <w:pgMar w:top="720" w:right="720" w:bottom="720" w:left="720" w:header="708" w:footer="708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E8C748" w14:textId="77777777" w:rsidR="00995E0A" w:rsidRDefault="00995E0A">
      <w:pPr>
        <w:spacing w:after="0" w:line="240" w:lineRule="auto"/>
      </w:pPr>
      <w:r>
        <w:separator/>
      </w:r>
    </w:p>
  </w:endnote>
  <w:endnote w:type="continuationSeparator" w:id="0">
    <w:p w14:paraId="529C75F9" w14:textId="77777777" w:rsidR="00995E0A" w:rsidRDefault="00995E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523CD5" w14:textId="77777777" w:rsidR="00995E0A" w:rsidRDefault="00995E0A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63140239" w14:textId="77777777" w:rsidR="00995E0A" w:rsidRDefault="00995E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3F36CF" w14:textId="4633511D" w:rsidR="005058F2" w:rsidRDefault="00143D0B">
    <w:pPr>
      <w:pStyle w:val="Nagwek"/>
    </w:pPr>
    <w:bookmarkStart w:id="3" w:name="_Hlk74147372"/>
    <w:bookmarkEnd w:id="3"/>
    <w:r>
      <w:rPr>
        <w:noProof/>
        <w:lang w:eastAsia="pl-PL"/>
      </w:rPr>
      <w:drawing>
        <wp:inline distT="0" distB="0" distL="0" distR="0" wp14:anchorId="39BB8D04" wp14:editId="6B1DB73B">
          <wp:extent cx="2381885" cy="1061720"/>
          <wp:effectExtent l="0" t="0" r="0" b="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81885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3163CA"/>
    <w:multiLevelType w:val="hybridMultilevel"/>
    <w:tmpl w:val="0DE0BC64"/>
    <w:lvl w:ilvl="0" w:tplc="CEC4EFEE">
      <w:start w:val="1"/>
      <w:numFmt w:val="bullet"/>
      <w:lvlText w:val="•"/>
      <w:lvlJc w:val="left"/>
      <w:pPr>
        <w:ind w:left="1049" w:firstLine="227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1" w15:restartNumberingAfterBreak="0">
    <w:nsid w:val="0D2743CD"/>
    <w:multiLevelType w:val="hybridMultilevel"/>
    <w:tmpl w:val="C2FA7544"/>
    <w:lvl w:ilvl="0" w:tplc="04150001">
      <w:start w:val="1"/>
      <w:numFmt w:val="bullet"/>
      <w:lvlText w:val=""/>
      <w:lvlJc w:val="left"/>
      <w:pPr>
        <w:ind w:left="-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7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4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1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8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5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3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0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747" w:hanging="360"/>
      </w:pPr>
      <w:rPr>
        <w:rFonts w:ascii="Wingdings" w:hAnsi="Wingdings" w:hint="default"/>
      </w:rPr>
    </w:lvl>
  </w:abstractNum>
  <w:abstractNum w:abstractNumId="2" w15:restartNumberingAfterBreak="0">
    <w:nsid w:val="14FE0EDD"/>
    <w:multiLevelType w:val="hybridMultilevel"/>
    <w:tmpl w:val="AD006D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0F2875"/>
    <w:multiLevelType w:val="hybridMultilevel"/>
    <w:tmpl w:val="1EC49BCA"/>
    <w:lvl w:ilvl="0" w:tplc="5A3E6A72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E83431"/>
    <w:multiLevelType w:val="hybridMultilevel"/>
    <w:tmpl w:val="ABB6E3FC"/>
    <w:lvl w:ilvl="0" w:tplc="FC02698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A42910"/>
    <w:multiLevelType w:val="hybridMultilevel"/>
    <w:tmpl w:val="10004B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757CAC"/>
    <w:multiLevelType w:val="multilevel"/>
    <w:tmpl w:val="0A84EA68"/>
    <w:lvl w:ilvl="0">
      <w:start w:val="1"/>
      <w:numFmt w:val="decimal"/>
      <w:suff w:val="space"/>
      <w:lvlText w:val="%1."/>
      <w:lvlJc w:val="left"/>
      <w:pPr>
        <w:ind w:left="227" w:hanging="227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227" w:hanging="227"/>
      </w:pPr>
      <w:rPr>
        <w:rFonts w:hint="default"/>
        <w:b/>
        <w:bCs/>
      </w:rPr>
    </w:lvl>
    <w:lvl w:ilvl="2">
      <w:start w:val="1"/>
      <w:numFmt w:val="decimal"/>
      <w:suff w:val="space"/>
      <w:lvlText w:val="%1.%2.%3."/>
      <w:lvlJc w:val="left"/>
      <w:pPr>
        <w:ind w:left="227" w:hanging="227"/>
      </w:pPr>
      <w:rPr>
        <w:rFonts w:hint="default"/>
        <w:b/>
        <w:bCs/>
        <w:i w:val="0"/>
      </w:rPr>
    </w:lvl>
    <w:lvl w:ilvl="3">
      <w:start w:val="1"/>
      <w:numFmt w:val="decimal"/>
      <w:suff w:val="space"/>
      <w:lvlText w:val="%4)"/>
      <w:lvlJc w:val="left"/>
      <w:pPr>
        <w:ind w:left="454" w:hanging="227"/>
      </w:pPr>
      <w:rPr>
        <w:rFonts w:hint="default"/>
        <w:b w:val="0"/>
        <w:bCs w:val="0"/>
      </w:rPr>
    </w:lvl>
    <w:lvl w:ilvl="4">
      <w:start w:val="1"/>
      <w:numFmt w:val="lowerLetter"/>
      <w:suff w:val="space"/>
      <w:lvlText w:val="%5)"/>
      <w:lvlJc w:val="left"/>
      <w:pPr>
        <w:ind w:left="680" w:hanging="226"/>
      </w:pPr>
      <w:rPr>
        <w:rFonts w:hint="default"/>
        <w:b w:val="0"/>
        <w:bCs/>
      </w:rPr>
    </w:lvl>
    <w:lvl w:ilvl="5">
      <w:start w:val="1"/>
      <w:numFmt w:val="bullet"/>
      <w:lvlText w:val=""/>
      <w:lvlJc w:val="left"/>
      <w:pPr>
        <w:ind w:left="907" w:hanging="227"/>
      </w:pPr>
      <w:rPr>
        <w:rFonts w:ascii="Symbol" w:hAnsi="Symbol" w:hint="default"/>
      </w:rPr>
    </w:lvl>
    <w:lvl w:ilvl="6">
      <w:start w:val="1"/>
      <w:numFmt w:val="lowerRoman"/>
      <w:lvlText w:val="%7."/>
      <w:lvlJc w:val="left"/>
      <w:pPr>
        <w:ind w:left="1134" w:hanging="22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5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26" w:hanging="1440"/>
      </w:pPr>
      <w:rPr>
        <w:rFonts w:hint="default"/>
      </w:rPr>
    </w:lvl>
  </w:abstractNum>
  <w:abstractNum w:abstractNumId="7" w15:restartNumberingAfterBreak="0">
    <w:nsid w:val="1E346ADB"/>
    <w:multiLevelType w:val="multilevel"/>
    <w:tmpl w:val="887C7392"/>
    <w:lvl w:ilvl="0">
      <w:start w:val="1"/>
      <w:numFmt w:val="decimal"/>
      <w:suff w:val="space"/>
      <w:lvlText w:val="%1."/>
      <w:lvlJc w:val="left"/>
      <w:pPr>
        <w:ind w:left="227" w:hanging="227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227" w:hanging="227"/>
      </w:pPr>
      <w:rPr>
        <w:rFonts w:hint="default"/>
        <w:b/>
        <w:bCs/>
      </w:rPr>
    </w:lvl>
    <w:lvl w:ilvl="2">
      <w:start w:val="1"/>
      <w:numFmt w:val="decimal"/>
      <w:suff w:val="space"/>
      <w:lvlText w:val="%1.%2.%3."/>
      <w:lvlJc w:val="left"/>
      <w:pPr>
        <w:ind w:left="227" w:hanging="227"/>
      </w:pPr>
      <w:rPr>
        <w:rFonts w:hint="default"/>
        <w:b/>
        <w:bCs/>
        <w:i w:val="0"/>
      </w:rPr>
    </w:lvl>
    <w:lvl w:ilvl="3">
      <w:start w:val="1"/>
      <w:numFmt w:val="decimal"/>
      <w:suff w:val="space"/>
      <w:lvlText w:val="%4)"/>
      <w:lvlJc w:val="left"/>
      <w:pPr>
        <w:ind w:left="454" w:hanging="227"/>
      </w:pPr>
      <w:rPr>
        <w:rFonts w:hint="default"/>
        <w:b w:val="0"/>
        <w:bCs w:val="0"/>
      </w:rPr>
    </w:lvl>
    <w:lvl w:ilvl="4">
      <w:start w:val="1"/>
      <w:numFmt w:val="lowerLetter"/>
      <w:suff w:val="space"/>
      <w:lvlText w:val="%5)"/>
      <w:lvlJc w:val="left"/>
      <w:pPr>
        <w:ind w:left="680" w:hanging="226"/>
      </w:pPr>
      <w:rPr>
        <w:rFonts w:hint="default"/>
      </w:rPr>
    </w:lvl>
    <w:lvl w:ilvl="5">
      <w:start w:val="1"/>
      <w:numFmt w:val="bullet"/>
      <w:lvlText w:val=""/>
      <w:lvlJc w:val="left"/>
      <w:pPr>
        <w:ind w:left="907" w:hanging="227"/>
      </w:pPr>
      <w:rPr>
        <w:rFonts w:ascii="Symbol" w:hAnsi="Symbol" w:hint="default"/>
      </w:rPr>
    </w:lvl>
    <w:lvl w:ilvl="6">
      <w:start w:val="1"/>
      <w:numFmt w:val="lowerRoman"/>
      <w:lvlText w:val="%7."/>
      <w:lvlJc w:val="left"/>
      <w:pPr>
        <w:ind w:left="1134" w:hanging="22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5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26" w:hanging="1440"/>
      </w:pPr>
      <w:rPr>
        <w:rFonts w:hint="default"/>
      </w:rPr>
    </w:lvl>
  </w:abstractNum>
  <w:abstractNum w:abstractNumId="8" w15:restartNumberingAfterBreak="0">
    <w:nsid w:val="2BF91E53"/>
    <w:multiLevelType w:val="hybridMultilevel"/>
    <w:tmpl w:val="E0781596"/>
    <w:lvl w:ilvl="0" w:tplc="FC02698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4F3043"/>
    <w:multiLevelType w:val="hybridMultilevel"/>
    <w:tmpl w:val="7F041AF0"/>
    <w:lvl w:ilvl="0" w:tplc="07E64A30">
      <w:start w:val="1"/>
      <w:numFmt w:val="decimal"/>
      <w:lvlText w:val="%1."/>
      <w:lvlJc w:val="left"/>
      <w:pPr>
        <w:ind w:left="41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0" w:hanging="360"/>
      </w:pPr>
    </w:lvl>
    <w:lvl w:ilvl="2" w:tplc="0415001B" w:tentative="1">
      <w:start w:val="1"/>
      <w:numFmt w:val="lowerRoman"/>
      <w:lvlText w:val="%3."/>
      <w:lvlJc w:val="right"/>
      <w:pPr>
        <w:ind w:left="1850" w:hanging="180"/>
      </w:pPr>
    </w:lvl>
    <w:lvl w:ilvl="3" w:tplc="0415000F" w:tentative="1">
      <w:start w:val="1"/>
      <w:numFmt w:val="decimal"/>
      <w:lvlText w:val="%4."/>
      <w:lvlJc w:val="left"/>
      <w:pPr>
        <w:ind w:left="2570" w:hanging="360"/>
      </w:pPr>
    </w:lvl>
    <w:lvl w:ilvl="4" w:tplc="04150019" w:tentative="1">
      <w:start w:val="1"/>
      <w:numFmt w:val="lowerLetter"/>
      <w:lvlText w:val="%5."/>
      <w:lvlJc w:val="left"/>
      <w:pPr>
        <w:ind w:left="3290" w:hanging="360"/>
      </w:pPr>
    </w:lvl>
    <w:lvl w:ilvl="5" w:tplc="0415001B" w:tentative="1">
      <w:start w:val="1"/>
      <w:numFmt w:val="lowerRoman"/>
      <w:lvlText w:val="%6."/>
      <w:lvlJc w:val="right"/>
      <w:pPr>
        <w:ind w:left="4010" w:hanging="180"/>
      </w:pPr>
    </w:lvl>
    <w:lvl w:ilvl="6" w:tplc="0415000F" w:tentative="1">
      <w:start w:val="1"/>
      <w:numFmt w:val="decimal"/>
      <w:lvlText w:val="%7."/>
      <w:lvlJc w:val="left"/>
      <w:pPr>
        <w:ind w:left="4730" w:hanging="360"/>
      </w:pPr>
    </w:lvl>
    <w:lvl w:ilvl="7" w:tplc="04150019" w:tentative="1">
      <w:start w:val="1"/>
      <w:numFmt w:val="lowerLetter"/>
      <w:lvlText w:val="%8."/>
      <w:lvlJc w:val="left"/>
      <w:pPr>
        <w:ind w:left="5450" w:hanging="360"/>
      </w:pPr>
    </w:lvl>
    <w:lvl w:ilvl="8" w:tplc="0415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10" w15:restartNumberingAfterBreak="0">
    <w:nsid w:val="393F60CD"/>
    <w:multiLevelType w:val="hybridMultilevel"/>
    <w:tmpl w:val="758009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CE0B82"/>
    <w:multiLevelType w:val="hybridMultilevel"/>
    <w:tmpl w:val="386CFB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3C6885"/>
    <w:multiLevelType w:val="hybridMultilevel"/>
    <w:tmpl w:val="0B8ECA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340582"/>
    <w:multiLevelType w:val="hybridMultilevel"/>
    <w:tmpl w:val="19703E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5F6E8B"/>
    <w:multiLevelType w:val="multilevel"/>
    <w:tmpl w:val="C32AD0A0"/>
    <w:lvl w:ilvl="0">
      <w:start w:val="1"/>
      <w:numFmt w:val="decimal"/>
      <w:suff w:val="space"/>
      <w:lvlText w:val="%1."/>
      <w:lvlJc w:val="left"/>
      <w:pPr>
        <w:ind w:left="227" w:hanging="227"/>
      </w:pPr>
      <w:rPr>
        <w:b/>
      </w:rPr>
    </w:lvl>
    <w:lvl w:ilvl="1">
      <w:start w:val="1"/>
      <w:numFmt w:val="decimal"/>
      <w:suff w:val="space"/>
      <w:lvlText w:val="%1.%2."/>
      <w:lvlJc w:val="left"/>
      <w:pPr>
        <w:ind w:left="227" w:hanging="227"/>
      </w:pPr>
      <w:rPr>
        <w:b/>
        <w:bCs/>
      </w:rPr>
    </w:lvl>
    <w:lvl w:ilvl="2">
      <w:start w:val="1"/>
      <w:numFmt w:val="decimal"/>
      <w:suff w:val="space"/>
      <w:lvlText w:val="%1.%2.%3."/>
      <w:lvlJc w:val="left"/>
      <w:pPr>
        <w:ind w:left="227" w:hanging="227"/>
      </w:pPr>
      <w:rPr>
        <w:b/>
        <w:bCs/>
        <w:i w:val="0"/>
      </w:rPr>
    </w:lvl>
    <w:lvl w:ilvl="3">
      <w:start w:val="1"/>
      <w:numFmt w:val="decimal"/>
      <w:suff w:val="space"/>
      <w:lvlText w:val="%4)"/>
      <w:lvlJc w:val="left"/>
      <w:pPr>
        <w:ind w:left="454" w:hanging="227"/>
      </w:pPr>
      <w:rPr>
        <w:b w:val="0"/>
        <w:bCs/>
        <w:strike w:val="0"/>
      </w:rPr>
    </w:lvl>
    <w:lvl w:ilvl="4">
      <w:start w:val="1"/>
      <w:numFmt w:val="lowerLetter"/>
      <w:suff w:val="space"/>
      <w:lvlText w:val="%5)"/>
      <w:lvlJc w:val="left"/>
      <w:pPr>
        <w:ind w:left="680" w:hanging="226"/>
      </w:pPr>
    </w:lvl>
    <w:lvl w:ilvl="5">
      <w:start w:val="1"/>
      <w:numFmt w:val="bullet"/>
      <w:lvlText w:val=""/>
      <w:lvlJc w:val="left"/>
      <w:pPr>
        <w:ind w:left="907" w:hanging="227"/>
      </w:pPr>
      <w:rPr>
        <w:rFonts w:ascii="Symbol" w:hAnsi="Symbol" w:hint="default"/>
      </w:rPr>
    </w:lvl>
    <w:lvl w:ilvl="6">
      <w:start w:val="1"/>
      <w:numFmt w:val="lowerRoman"/>
      <w:lvlText w:val="%7."/>
      <w:lvlJc w:val="left"/>
      <w:pPr>
        <w:ind w:left="1134" w:hanging="227"/>
      </w:pPr>
    </w:lvl>
    <w:lvl w:ilvl="7">
      <w:start w:val="1"/>
      <w:numFmt w:val="decimal"/>
      <w:lvlText w:val="%1.%2.%3.%4.%5.%6.%7.%8."/>
      <w:lvlJc w:val="left"/>
      <w:pPr>
        <w:ind w:left="3950" w:hanging="1224"/>
      </w:pPr>
    </w:lvl>
    <w:lvl w:ilvl="8">
      <w:start w:val="1"/>
      <w:numFmt w:val="decimal"/>
      <w:lvlText w:val="%1.%2.%3.%4.%5.%6.%7.%8.%9."/>
      <w:lvlJc w:val="left"/>
      <w:pPr>
        <w:ind w:left="4526" w:hanging="1440"/>
      </w:pPr>
    </w:lvl>
  </w:abstractNum>
  <w:abstractNum w:abstractNumId="15" w15:restartNumberingAfterBreak="0">
    <w:nsid w:val="4EBA728E"/>
    <w:multiLevelType w:val="hybridMultilevel"/>
    <w:tmpl w:val="1748AC5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072792B"/>
    <w:multiLevelType w:val="hybridMultilevel"/>
    <w:tmpl w:val="75AA86A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BB03E5C"/>
    <w:multiLevelType w:val="hybridMultilevel"/>
    <w:tmpl w:val="FF32B6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FF5C7F"/>
    <w:multiLevelType w:val="hybridMultilevel"/>
    <w:tmpl w:val="5AF279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C30263"/>
    <w:multiLevelType w:val="hybridMultilevel"/>
    <w:tmpl w:val="8910B7C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83F0D0B"/>
    <w:multiLevelType w:val="hybridMultilevel"/>
    <w:tmpl w:val="3A2E6C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594C8D"/>
    <w:multiLevelType w:val="hybridMultilevel"/>
    <w:tmpl w:val="10004B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324C5B"/>
    <w:multiLevelType w:val="hybridMultilevel"/>
    <w:tmpl w:val="01F6A7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2068946">
    <w:abstractNumId w:val="5"/>
  </w:num>
  <w:num w:numId="2" w16cid:durableId="983047750">
    <w:abstractNumId w:val="3"/>
  </w:num>
  <w:num w:numId="3" w16cid:durableId="912206815">
    <w:abstractNumId w:val="6"/>
  </w:num>
  <w:num w:numId="4" w16cid:durableId="191924158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53262071">
    <w:abstractNumId w:val="21"/>
  </w:num>
  <w:num w:numId="6" w16cid:durableId="1164782895">
    <w:abstractNumId w:val="4"/>
  </w:num>
  <w:num w:numId="7" w16cid:durableId="1764568987">
    <w:abstractNumId w:val="8"/>
  </w:num>
  <w:num w:numId="8" w16cid:durableId="1605840971">
    <w:abstractNumId w:val="9"/>
  </w:num>
  <w:num w:numId="9" w16cid:durableId="969629549">
    <w:abstractNumId w:val="18"/>
  </w:num>
  <w:num w:numId="10" w16cid:durableId="1576276737">
    <w:abstractNumId w:val="1"/>
  </w:num>
  <w:num w:numId="11" w16cid:durableId="409036424">
    <w:abstractNumId w:val="22"/>
  </w:num>
  <w:num w:numId="12" w16cid:durableId="1526747669">
    <w:abstractNumId w:val="2"/>
  </w:num>
  <w:num w:numId="13" w16cid:durableId="1746950255">
    <w:abstractNumId w:val="10"/>
  </w:num>
  <w:num w:numId="14" w16cid:durableId="329715522">
    <w:abstractNumId w:val="12"/>
  </w:num>
  <w:num w:numId="15" w16cid:durableId="1837842867">
    <w:abstractNumId w:val="11"/>
  </w:num>
  <w:num w:numId="16" w16cid:durableId="1970238000">
    <w:abstractNumId w:val="20"/>
  </w:num>
  <w:num w:numId="17" w16cid:durableId="485172914">
    <w:abstractNumId w:val="14"/>
  </w:num>
  <w:num w:numId="18" w16cid:durableId="338780148">
    <w:abstractNumId w:val="7"/>
  </w:num>
  <w:num w:numId="19" w16cid:durableId="1977641737">
    <w:abstractNumId w:val="1"/>
  </w:num>
  <w:num w:numId="20" w16cid:durableId="1099830501">
    <w:abstractNumId w:val="0"/>
  </w:num>
  <w:num w:numId="21" w16cid:durableId="1796680411">
    <w:abstractNumId w:val="16"/>
  </w:num>
  <w:num w:numId="22" w16cid:durableId="1157845039">
    <w:abstractNumId w:val="15"/>
  </w:num>
  <w:num w:numId="23" w16cid:durableId="1318220489">
    <w:abstractNumId w:val="13"/>
  </w:num>
  <w:num w:numId="24" w16cid:durableId="791442922">
    <w:abstractNumId w:val="17"/>
  </w:num>
  <w:num w:numId="25" w16cid:durableId="185279030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08C5"/>
    <w:rsid w:val="00006AE8"/>
    <w:rsid w:val="0001122C"/>
    <w:rsid w:val="00022990"/>
    <w:rsid w:val="00031E9F"/>
    <w:rsid w:val="00033ED5"/>
    <w:rsid w:val="0003445F"/>
    <w:rsid w:val="0004009C"/>
    <w:rsid w:val="0005011B"/>
    <w:rsid w:val="00052E44"/>
    <w:rsid w:val="000603EB"/>
    <w:rsid w:val="00061904"/>
    <w:rsid w:val="000702E4"/>
    <w:rsid w:val="00070A13"/>
    <w:rsid w:val="00070A89"/>
    <w:rsid w:val="0008118E"/>
    <w:rsid w:val="00086074"/>
    <w:rsid w:val="0009112E"/>
    <w:rsid w:val="00092C38"/>
    <w:rsid w:val="00097B17"/>
    <w:rsid w:val="000A4576"/>
    <w:rsid w:val="000A688D"/>
    <w:rsid w:val="000A6B96"/>
    <w:rsid w:val="000B21F0"/>
    <w:rsid w:val="000B32C4"/>
    <w:rsid w:val="000B7075"/>
    <w:rsid w:val="000C7D57"/>
    <w:rsid w:val="000D02C0"/>
    <w:rsid w:val="000D2FED"/>
    <w:rsid w:val="000E3BBE"/>
    <w:rsid w:val="000E649C"/>
    <w:rsid w:val="000F077F"/>
    <w:rsid w:val="000F3ED2"/>
    <w:rsid w:val="000F5E24"/>
    <w:rsid w:val="001030B2"/>
    <w:rsid w:val="00103C77"/>
    <w:rsid w:val="001204EA"/>
    <w:rsid w:val="00121E74"/>
    <w:rsid w:val="001321BE"/>
    <w:rsid w:val="0014120D"/>
    <w:rsid w:val="00143D0B"/>
    <w:rsid w:val="00144B55"/>
    <w:rsid w:val="0014687D"/>
    <w:rsid w:val="00155C8E"/>
    <w:rsid w:val="00161605"/>
    <w:rsid w:val="00170D7F"/>
    <w:rsid w:val="00172790"/>
    <w:rsid w:val="00173D8E"/>
    <w:rsid w:val="00180F5C"/>
    <w:rsid w:val="00186CB7"/>
    <w:rsid w:val="00190358"/>
    <w:rsid w:val="001933DE"/>
    <w:rsid w:val="00194CB4"/>
    <w:rsid w:val="00197FA2"/>
    <w:rsid w:val="001A1A5B"/>
    <w:rsid w:val="001A2D4B"/>
    <w:rsid w:val="001A7E82"/>
    <w:rsid w:val="001B0859"/>
    <w:rsid w:val="001B354B"/>
    <w:rsid w:val="001B440C"/>
    <w:rsid w:val="001B7475"/>
    <w:rsid w:val="001D6485"/>
    <w:rsid w:val="001E2320"/>
    <w:rsid w:val="001E610A"/>
    <w:rsid w:val="001E721F"/>
    <w:rsid w:val="00205C55"/>
    <w:rsid w:val="00206C0B"/>
    <w:rsid w:val="00213CAE"/>
    <w:rsid w:val="00221A2A"/>
    <w:rsid w:val="002270E2"/>
    <w:rsid w:val="0023030E"/>
    <w:rsid w:val="00230BB7"/>
    <w:rsid w:val="0024697E"/>
    <w:rsid w:val="00255E53"/>
    <w:rsid w:val="00256617"/>
    <w:rsid w:val="00275115"/>
    <w:rsid w:val="00280311"/>
    <w:rsid w:val="00281BE7"/>
    <w:rsid w:val="00286651"/>
    <w:rsid w:val="00287196"/>
    <w:rsid w:val="0029287B"/>
    <w:rsid w:val="0029403F"/>
    <w:rsid w:val="002A1024"/>
    <w:rsid w:val="002C0340"/>
    <w:rsid w:val="002C19DE"/>
    <w:rsid w:val="002C7803"/>
    <w:rsid w:val="002D55B8"/>
    <w:rsid w:val="002D6ED9"/>
    <w:rsid w:val="002E46AC"/>
    <w:rsid w:val="002F0FB2"/>
    <w:rsid w:val="002F61E3"/>
    <w:rsid w:val="003051DF"/>
    <w:rsid w:val="0031104C"/>
    <w:rsid w:val="003130CA"/>
    <w:rsid w:val="00326537"/>
    <w:rsid w:val="003357D9"/>
    <w:rsid w:val="00337B00"/>
    <w:rsid w:val="00355899"/>
    <w:rsid w:val="00356E75"/>
    <w:rsid w:val="0035733E"/>
    <w:rsid w:val="00374DBE"/>
    <w:rsid w:val="0037704D"/>
    <w:rsid w:val="0037714E"/>
    <w:rsid w:val="003841AB"/>
    <w:rsid w:val="003935E8"/>
    <w:rsid w:val="003975D4"/>
    <w:rsid w:val="003A0F16"/>
    <w:rsid w:val="003A3874"/>
    <w:rsid w:val="003A5B7D"/>
    <w:rsid w:val="003A6433"/>
    <w:rsid w:val="003B46BF"/>
    <w:rsid w:val="003D2AE2"/>
    <w:rsid w:val="003D71C6"/>
    <w:rsid w:val="003F072E"/>
    <w:rsid w:val="00404F9B"/>
    <w:rsid w:val="00411C64"/>
    <w:rsid w:val="004156E6"/>
    <w:rsid w:val="00415707"/>
    <w:rsid w:val="00416F70"/>
    <w:rsid w:val="0041703B"/>
    <w:rsid w:val="00426A12"/>
    <w:rsid w:val="004403B4"/>
    <w:rsid w:val="00446466"/>
    <w:rsid w:val="00447CE9"/>
    <w:rsid w:val="00453B55"/>
    <w:rsid w:val="00457779"/>
    <w:rsid w:val="00463E4B"/>
    <w:rsid w:val="00466FE8"/>
    <w:rsid w:val="004744CD"/>
    <w:rsid w:val="0048011A"/>
    <w:rsid w:val="0048087E"/>
    <w:rsid w:val="004850DC"/>
    <w:rsid w:val="00490715"/>
    <w:rsid w:val="00491267"/>
    <w:rsid w:val="00491300"/>
    <w:rsid w:val="00492285"/>
    <w:rsid w:val="004944F1"/>
    <w:rsid w:val="004A2F20"/>
    <w:rsid w:val="004A2F45"/>
    <w:rsid w:val="004A5135"/>
    <w:rsid w:val="004B2F38"/>
    <w:rsid w:val="004C35E7"/>
    <w:rsid w:val="004C7EB8"/>
    <w:rsid w:val="004D093B"/>
    <w:rsid w:val="004D2191"/>
    <w:rsid w:val="004D77E0"/>
    <w:rsid w:val="004D7DDC"/>
    <w:rsid w:val="004E4723"/>
    <w:rsid w:val="004F3FEF"/>
    <w:rsid w:val="005058F2"/>
    <w:rsid w:val="00512C38"/>
    <w:rsid w:val="00512C7C"/>
    <w:rsid w:val="005130EF"/>
    <w:rsid w:val="005143E4"/>
    <w:rsid w:val="00543E79"/>
    <w:rsid w:val="005512E6"/>
    <w:rsid w:val="0055182D"/>
    <w:rsid w:val="00553AE5"/>
    <w:rsid w:val="00565C90"/>
    <w:rsid w:val="0056748F"/>
    <w:rsid w:val="00570A91"/>
    <w:rsid w:val="00574D83"/>
    <w:rsid w:val="005871C9"/>
    <w:rsid w:val="005B06B3"/>
    <w:rsid w:val="005B09E1"/>
    <w:rsid w:val="005B598A"/>
    <w:rsid w:val="005C1959"/>
    <w:rsid w:val="005C499F"/>
    <w:rsid w:val="005C608D"/>
    <w:rsid w:val="005C6551"/>
    <w:rsid w:val="005D269A"/>
    <w:rsid w:val="005D3140"/>
    <w:rsid w:val="005D5D31"/>
    <w:rsid w:val="005D60FF"/>
    <w:rsid w:val="005D7E09"/>
    <w:rsid w:val="005E4CF5"/>
    <w:rsid w:val="005E7898"/>
    <w:rsid w:val="005F70FE"/>
    <w:rsid w:val="006008CD"/>
    <w:rsid w:val="00633806"/>
    <w:rsid w:val="00633883"/>
    <w:rsid w:val="00634434"/>
    <w:rsid w:val="0064109C"/>
    <w:rsid w:val="0064487F"/>
    <w:rsid w:val="00661BA2"/>
    <w:rsid w:val="006648F3"/>
    <w:rsid w:val="00670C14"/>
    <w:rsid w:val="0068046C"/>
    <w:rsid w:val="00680B0E"/>
    <w:rsid w:val="00682616"/>
    <w:rsid w:val="006826ED"/>
    <w:rsid w:val="00687B5F"/>
    <w:rsid w:val="00687E5A"/>
    <w:rsid w:val="006905E7"/>
    <w:rsid w:val="006967BC"/>
    <w:rsid w:val="006A03EB"/>
    <w:rsid w:val="006A533F"/>
    <w:rsid w:val="006A7DCE"/>
    <w:rsid w:val="006B1374"/>
    <w:rsid w:val="006C1B62"/>
    <w:rsid w:val="006C31BC"/>
    <w:rsid w:val="006C452F"/>
    <w:rsid w:val="006C4ED5"/>
    <w:rsid w:val="006D079B"/>
    <w:rsid w:val="006D183E"/>
    <w:rsid w:val="006D336E"/>
    <w:rsid w:val="006D7964"/>
    <w:rsid w:val="006E62D7"/>
    <w:rsid w:val="006F498A"/>
    <w:rsid w:val="006F5BEB"/>
    <w:rsid w:val="00707F05"/>
    <w:rsid w:val="007135A8"/>
    <w:rsid w:val="007156F6"/>
    <w:rsid w:val="00715B91"/>
    <w:rsid w:val="007321D8"/>
    <w:rsid w:val="00733AF9"/>
    <w:rsid w:val="00734732"/>
    <w:rsid w:val="00740ABA"/>
    <w:rsid w:val="0074295D"/>
    <w:rsid w:val="00755E27"/>
    <w:rsid w:val="007655E7"/>
    <w:rsid w:val="0078723A"/>
    <w:rsid w:val="00795B9B"/>
    <w:rsid w:val="007A4FB5"/>
    <w:rsid w:val="007B043E"/>
    <w:rsid w:val="007B74F8"/>
    <w:rsid w:val="007C4332"/>
    <w:rsid w:val="007C4C95"/>
    <w:rsid w:val="007D0493"/>
    <w:rsid w:val="007D1551"/>
    <w:rsid w:val="007D273D"/>
    <w:rsid w:val="007D3AA2"/>
    <w:rsid w:val="007D6A3A"/>
    <w:rsid w:val="007D6B6F"/>
    <w:rsid w:val="007D74E2"/>
    <w:rsid w:val="007F016E"/>
    <w:rsid w:val="008008F6"/>
    <w:rsid w:val="008017A7"/>
    <w:rsid w:val="00822DFB"/>
    <w:rsid w:val="00823875"/>
    <w:rsid w:val="00827817"/>
    <w:rsid w:val="00827986"/>
    <w:rsid w:val="008279BD"/>
    <w:rsid w:val="0084154E"/>
    <w:rsid w:val="00841C78"/>
    <w:rsid w:val="00843352"/>
    <w:rsid w:val="00844624"/>
    <w:rsid w:val="008462C0"/>
    <w:rsid w:val="0087118E"/>
    <w:rsid w:val="008771C8"/>
    <w:rsid w:val="00882DCA"/>
    <w:rsid w:val="0088727A"/>
    <w:rsid w:val="00896D35"/>
    <w:rsid w:val="008B00C4"/>
    <w:rsid w:val="008B43B0"/>
    <w:rsid w:val="008C0493"/>
    <w:rsid w:val="008C0E92"/>
    <w:rsid w:val="008C1DC6"/>
    <w:rsid w:val="008D45C3"/>
    <w:rsid w:val="008E18D7"/>
    <w:rsid w:val="008E33C7"/>
    <w:rsid w:val="008F1D35"/>
    <w:rsid w:val="00902739"/>
    <w:rsid w:val="009066C7"/>
    <w:rsid w:val="0092216D"/>
    <w:rsid w:val="00933339"/>
    <w:rsid w:val="00953B84"/>
    <w:rsid w:val="00982754"/>
    <w:rsid w:val="009943F4"/>
    <w:rsid w:val="00995E0A"/>
    <w:rsid w:val="00995FDD"/>
    <w:rsid w:val="00996389"/>
    <w:rsid w:val="009A2234"/>
    <w:rsid w:val="009A56BD"/>
    <w:rsid w:val="009A6D46"/>
    <w:rsid w:val="009B2F99"/>
    <w:rsid w:val="009B7A4D"/>
    <w:rsid w:val="009C573D"/>
    <w:rsid w:val="009C66C8"/>
    <w:rsid w:val="009D10B8"/>
    <w:rsid w:val="009D185F"/>
    <w:rsid w:val="009D43CC"/>
    <w:rsid w:val="009E2331"/>
    <w:rsid w:val="009F413F"/>
    <w:rsid w:val="009F550A"/>
    <w:rsid w:val="009F7497"/>
    <w:rsid w:val="00A01F60"/>
    <w:rsid w:val="00A06DAB"/>
    <w:rsid w:val="00A118F0"/>
    <w:rsid w:val="00A159DA"/>
    <w:rsid w:val="00A20E09"/>
    <w:rsid w:val="00A22494"/>
    <w:rsid w:val="00A22A7B"/>
    <w:rsid w:val="00A242D8"/>
    <w:rsid w:val="00A434EB"/>
    <w:rsid w:val="00A5351C"/>
    <w:rsid w:val="00A54C06"/>
    <w:rsid w:val="00A633F0"/>
    <w:rsid w:val="00A6481E"/>
    <w:rsid w:val="00A66140"/>
    <w:rsid w:val="00A66626"/>
    <w:rsid w:val="00A7064A"/>
    <w:rsid w:val="00A733DA"/>
    <w:rsid w:val="00A7345A"/>
    <w:rsid w:val="00A75027"/>
    <w:rsid w:val="00A90397"/>
    <w:rsid w:val="00A90CB0"/>
    <w:rsid w:val="00A9374D"/>
    <w:rsid w:val="00A94461"/>
    <w:rsid w:val="00A960EA"/>
    <w:rsid w:val="00AA4608"/>
    <w:rsid w:val="00AA6179"/>
    <w:rsid w:val="00AB1235"/>
    <w:rsid w:val="00AB2D5E"/>
    <w:rsid w:val="00AC0511"/>
    <w:rsid w:val="00AD08C5"/>
    <w:rsid w:val="00AD0AB2"/>
    <w:rsid w:val="00AD602B"/>
    <w:rsid w:val="00AE069A"/>
    <w:rsid w:val="00AF1EBC"/>
    <w:rsid w:val="00B1467F"/>
    <w:rsid w:val="00B26346"/>
    <w:rsid w:val="00B31928"/>
    <w:rsid w:val="00B326A9"/>
    <w:rsid w:val="00B45ED3"/>
    <w:rsid w:val="00B543E9"/>
    <w:rsid w:val="00B57127"/>
    <w:rsid w:val="00B76B2B"/>
    <w:rsid w:val="00B8251D"/>
    <w:rsid w:val="00B92D4D"/>
    <w:rsid w:val="00B94288"/>
    <w:rsid w:val="00B9538B"/>
    <w:rsid w:val="00BA15A9"/>
    <w:rsid w:val="00BB30C0"/>
    <w:rsid w:val="00BC376D"/>
    <w:rsid w:val="00BD18E8"/>
    <w:rsid w:val="00BD20BC"/>
    <w:rsid w:val="00C129E4"/>
    <w:rsid w:val="00C15673"/>
    <w:rsid w:val="00C15E6F"/>
    <w:rsid w:val="00C210A9"/>
    <w:rsid w:val="00C22821"/>
    <w:rsid w:val="00C243BF"/>
    <w:rsid w:val="00C25F63"/>
    <w:rsid w:val="00C276AE"/>
    <w:rsid w:val="00C30537"/>
    <w:rsid w:val="00C34F0F"/>
    <w:rsid w:val="00C4237C"/>
    <w:rsid w:val="00C55218"/>
    <w:rsid w:val="00C55C85"/>
    <w:rsid w:val="00C60868"/>
    <w:rsid w:val="00C6097A"/>
    <w:rsid w:val="00C64DAA"/>
    <w:rsid w:val="00C65204"/>
    <w:rsid w:val="00C664AC"/>
    <w:rsid w:val="00C67FB4"/>
    <w:rsid w:val="00C70530"/>
    <w:rsid w:val="00C77217"/>
    <w:rsid w:val="00C816A5"/>
    <w:rsid w:val="00C83BE1"/>
    <w:rsid w:val="00C97315"/>
    <w:rsid w:val="00CA1AD2"/>
    <w:rsid w:val="00CA2878"/>
    <w:rsid w:val="00CA7D06"/>
    <w:rsid w:val="00CB2E2B"/>
    <w:rsid w:val="00CB3D33"/>
    <w:rsid w:val="00CC0463"/>
    <w:rsid w:val="00CC7F58"/>
    <w:rsid w:val="00CD47C3"/>
    <w:rsid w:val="00CD7881"/>
    <w:rsid w:val="00CE099F"/>
    <w:rsid w:val="00CE73E2"/>
    <w:rsid w:val="00CF402D"/>
    <w:rsid w:val="00CF5E4F"/>
    <w:rsid w:val="00CF7674"/>
    <w:rsid w:val="00D17D3E"/>
    <w:rsid w:val="00D21B9D"/>
    <w:rsid w:val="00D44A5D"/>
    <w:rsid w:val="00D510E8"/>
    <w:rsid w:val="00D554A2"/>
    <w:rsid w:val="00D5628B"/>
    <w:rsid w:val="00D63F4F"/>
    <w:rsid w:val="00D6426A"/>
    <w:rsid w:val="00D66456"/>
    <w:rsid w:val="00D77CD0"/>
    <w:rsid w:val="00D9306F"/>
    <w:rsid w:val="00D94376"/>
    <w:rsid w:val="00DA16F1"/>
    <w:rsid w:val="00DB0B88"/>
    <w:rsid w:val="00DD18C6"/>
    <w:rsid w:val="00DD6D00"/>
    <w:rsid w:val="00DE00F0"/>
    <w:rsid w:val="00DE1894"/>
    <w:rsid w:val="00DE5079"/>
    <w:rsid w:val="00DF6B3A"/>
    <w:rsid w:val="00E10271"/>
    <w:rsid w:val="00E134B8"/>
    <w:rsid w:val="00E275CD"/>
    <w:rsid w:val="00E3083B"/>
    <w:rsid w:val="00E34DF7"/>
    <w:rsid w:val="00E35DF6"/>
    <w:rsid w:val="00E50D44"/>
    <w:rsid w:val="00E52765"/>
    <w:rsid w:val="00E636D5"/>
    <w:rsid w:val="00E64133"/>
    <w:rsid w:val="00E66456"/>
    <w:rsid w:val="00E738D5"/>
    <w:rsid w:val="00E8288D"/>
    <w:rsid w:val="00E8348C"/>
    <w:rsid w:val="00E900DE"/>
    <w:rsid w:val="00E91E64"/>
    <w:rsid w:val="00EA326D"/>
    <w:rsid w:val="00EB1B3E"/>
    <w:rsid w:val="00EB5A68"/>
    <w:rsid w:val="00EB77EA"/>
    <w:rsid w:val="00EC0C4F"/>
    <w:rsid w:val="00EC2B8F"/>
    <w:rsid w:val="00EC74BA"/>
    <w:rsid w:val="00ED15F0"/>
    <w:rsid w:val="00EE4384"/>
    <w:rsid w:val="00EE4BD7"/>
    <w:rsid w:val="00EF3551"/>
    <w:rsid w:val="00F017D6"/>
    <w:rsid w:val="00F066C9"/>
    <w:rsid w:val="00F07177"/>
    <w:rsid w:val="00F12CF6"/>
    <w:rsid w:val="00F147FC"/>
    <w:rsid w:val="00F15BD4"/>
    <w:rsid w:val="00F23691"/>
    <w:rsid w:val="00F31A79"/>
    <w:rsid w:val="00F42214"/>
    <w:rsid w:val="00F453C2"/>
    <w:rsid w:val="00F5061B"/>
    <w:rsid w:val="00F52755"/>
    <w:rsid w:val="00F61A7D"/>
    <w:rsid w:val="00F63AA8"/>
    <w:rsid w:val="00F67CA2"/>
    <w:rsid w:val="00F73CAC"/>
    <w:rsid w:val="00F859A8"/>
    <w:rsid w:val="00F9203E"/>
    <w:rsid w:val="00F957B7"/>
    <w:rsid w:val="00FA53DF"/>
    <w:rsid w:val="00FA5800"/>
    <w:rsid w:val="00FB2364"/>
    <w:rsid w:val="00FB30AC"/>
    <w:rsid w:val="00FB3B6F"/>
    <w:rsid w:val="00FC712D"/>
    <w:rsid w:val="00FD39E3"/>
    <w:rsid w:val="00FD48BC"/>
    <w:rsid w:val="00FE1242"/>
    <w:rsid w:val="00FE2769"/>
    <w:rsid w:val="00FE6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11808D"/>
  <w15:docId w15:val="{9907FBD6-CEC2-42E2-A88E-10EDFCF32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160" w:line="254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46466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Bullet1,Styl moj,aotm_załączniki,Akapit z listą11,Table Legend,Dot pt,F5 List Paragraph,List Paragraph1,No Spacing1,List Paragraph Char Char Char,Indicator Text,Colorful List - Accent 11,Numbered Para 1,Bullet 1,Bullet Points,MAIN CONTENT"/>
    <w:basedOn w:val="Normalny"/>
    <w:link w:val="AkapitzlistZnak"/>
    <w:uiPriority w:val="34"/>
    <w:qFormat/>
    <w:rsid w:val="008C0E9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8C0E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C0E92"/>
  </w:style>
  <w:style w:type="paragraph" w:styleId="Stopka">
    <w:name w:val="footer"/>
    <w:basedOn w:val="Normalny"/>
    <w:link w:val="StopkaZnak"/>
    <w:uiPriority w:val="99"/>
    <w:unhideWhenUsed/>
    <w:rsid w:val="008C0E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C0E92"/>
  </w:style>
  <w:style w:type="paragraph" w:customStyle="1" w:styleId="Style2">
    <w:name w:val="Style2"/>
    <w:basedOn w:val="Normalny"/>
    <w:uiPriority w:val="99"/>
    <w:rsid w:val="00230BB7"/>
    <w:pPr>
      <w:widowControl w:val="0"/>
      <w:suppressAutoHyphens w:val="0"/>
      <w:autoSpaceDE w:val="0"/>
      <w:adjustRightInd w:val="0"/>
      <w:spacing w:after="0" w:line="331" w:lineRule="exact"/>
      <w:jc w:val="both"/>
      <w:textAlignment w:val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FontStyle19">
    <w:name w:val="Font Style19"/>
    <w:basedOn w:val="Domylnaczcionkaakapitu"/>
    <w:uiPriority w:val="99"/>
    <w:rsid w:val="00230BB7"/>
    <w:rPr>
      <w:rFonts w:ascii="Times New Roman" w:hAnsi="Times New Roman" w:cs="Times New Roman"/>
      <w:b/>
      <w:bCs/>
      <w:color w:val="000000"/>
      <w:sz w:val="26"/>
      <w:szCs w:val="26"/>
    </w:rPr>
  </w:style>
  <w:style w:type="character" w:customStyle="1" w:styleId="FontStyle20">
    <w:name w:val="Font Style20"/>
    <w:basedOn w:val="Domylnaczcionkaakapitu"/>
    <w:uiPriority w:val="99"/>
    <w:rsid w:val="00230BB7"/>
    <w:rPr>
      <w:rFonts w:ascii="Times New Roman" w:hAnsi="Times New Roman" w:cs="Times New Roman"/>
      <w:b/>
      <w:bCs/>
      <w:color w:val="000000"/>
      <w:sz w:val="26"/>
      <w:szCs w:val="26"/>
    </w:rPr>
  </w:style>
  <w:style w:type="paragraph" w:styleId="NormalnyWeb">
    <w:name w:val="Normal (Web)"/>
    <w:basedOn w:val="Normalny"/>
    <w:uiPriority w:val="99"/>
    <w:unhideWhenUsed/>
    <w:rsid w:val="006C1B62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Theme="minorEastAsia" w:hAnsi="Times New Roman"/>
      <w:sz w:val="24"/>
      <w:szCs w:val="24"/>
      <w:lang w:val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31E9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31E9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31E9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31E9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31E9F"/>
    <w:rPr>
      <w:b/>
      <w:bCs/>
      <w:sz w:val="20"/>
      <w:szCs w:val="20"/>
    </w:rPr>
  </w:style>
  <w:style w:type="character" w:customStyle="1" w:styleId="AkapitzlistZnak">
    <w:name w:val="Akapit z listą Znak"/>
    <w:aliases w:val="Bullet1 Znak,Styl moj Znak,aotm_załączniki Znak,Akapit z listą11 Znak,Table Legend Znak,Dot pt Znak,F5 List Paragraph Znak,List Paragraph1 Znak,No Spacing1 Znak,List Paragraph Char Char Char Znak,Indicator Text Znak,Bullet 1 Znak"/>
    <w:basedOn w:val="Domylnaczcionkaakapitu"/>
    <w:link w:val="Akapitzlist"/>
    <w:uiPriority w:val="99"/>
    <w:qFormat/>
    <w:rsid w:val="001933DE"/>
  </w:style>
  <w:style w:type="paragraph" w:styleId="Poprawka">
    <w:name w:val="Revision"/>
    <w:hidden/>
    <w:uiPriority w:val="99"/>
    <w:semiHidden/>
    <w:rsid w:val="003A3874"/>
    <w:pPr>
      <w:autoSpaceDN/>
      <w:spacing w:after="0" w:line="240" w:lineRule="auto"/>
      <w:textAlignment w:val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71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0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4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A95A0F-79F3-45FB-AAC6-7EBFDA9590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12</Pages>
  <Words>3621</Words>
  <Characters>21726</Characters>
  <Application>Microsoft Office Word</Application>
  <DocSecurity>0</DocSecurity>
  <Lines>181</Lines>
  <Paragraphs>50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Oczkowski Mateusz</dc:creator>
  <dc:description/>
  <cp:lastModifiedBy>Wilk Justyna</cp:lastModifiedBy>
  <cp:revision>46</cp:revision>
  <dcterms:created xsi:type="dcterms:W3CDTF">2025-09-10T06:08:00Z</dcterms:created>
  <dcterms:modified xsi:type="dcterms:W3CDTF">2025-09-15T09:51:00Z</dcterms:modified>
</cp:coreProperties>
</file>