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90" w:rsidRDefault="00120F31" w:rsidP="00120F31">
      <w:pPr>
        <w:rPr>
          <w:rFonts w:ascii="Arial" w:hAnsi="Arial" w:cs="Arial"/>
          <w:color w:val="000000" w:themeColor="text1"/>
        </w:rPr>
      </w:pPr>
    </w:p>
    <w:p w:rsidR="001C69A3" w:rsidRDefault="00DB7C7E" w:rsidP="001C69A3">
      <w:pPr>
        <w:jc w:val="center"/>
        <w:rPr>
          <w:rFonts w:ascii="Arial" w:hAnsi="Arial" w:cs="Arial"/>
          <w:color w:val="000000" w:themeColor="text1"/>
        </w:rPr>
      </w:pPr>
      <w:r w:rsidRPr="00566812">
        <w:rPr>
          <w:rFonts w:ascii="Arial" w:hAnsi="Arial" w:cs="Arial"/>
          <w:color w:val="000000" w:themeColor="text1"/>
        </w:rPr>
        <w:t>OGŁOSZENIE O OSTATECZNYM ROZSTRZYGNIĘCIU KONKURSU OFERT</w:t>
      </w:r>
    </w:p>
    <w:p w:rsidR="00503D34" w:rsidRPr="001C69A3" w:rsidRDefault="00DB7C7E" w:rsidP="001C69A3">
      <w:pPr>
        <w:jc w:val="both"/>
        <w:rPr>
          <w:rStyle w:val="pismamzZnak"/>
          <w:rFonts w:cs="Arial"/>
          <w:color w:val="000000" w:themeColor="text1"/>
        </w:rPr>
      </w:pPr>
      <w:r w:rsidRPr="00503D34">
        <w:rPr>
          <w:rFonts w:ascii="Arial" w:hAnsi="Arial" w:cs="Arial"/>
          <w:color w:val="000000" w:themeColor="text1"/>
        </w:rPr>
        <w:t xml:space="preserve">Komisja Konkursowa informuje, że minister właściwy do spraw zdrowia, podjął decyzję w przedmiocie rozpatrzenia odwołań, jakie wpłynęły w związku z przeprowadzonym konkursem ofert na wybór realizatorów zadania Narodowego Programu Zwalczania Chorób Nowotworowych pn.: </w:t>
      </w:r>
      <w:r w:rsidRPr="00503D34">
        <w:rPr>
          <w:rFonts w:ascii="Arial" w:hAnsi="Arial" w:cs="Arial"/>
          <w:b/>
          <w:bCs/>
          <w:i/>
          <w:iCs/>
          <w:color w:val="000000" w:themeColor="text1"/>
        </w:rPr>
        <w:t>„</w:t>
      </w:r>
      <w:r w:rsidRPr="00503D34">
        <w:rPr>
          <w:rStyle w:val="pismamzZnak"/>
          <w:color w:val="000000" w:themeColor="text1"/>
        </w:rPr>
        <w:t>Program badań przesiewowych raka jelita grubego, w zakresie wykonywania badań kolonoskopowych w systemie mieszanym na lata 2019-2021”</w:t>
      </w:r>
      <w:r>
        <w:rPr>
          <w:rStyle w:val="pismamzZnak"/>
        </w:rPr>
        <w:t xml:space="preserve"> </w:t>
      </w:r>
    </w:p>
    <w:p w:rsidR="00566812" w:rsidRDefault="00DB7C7E" w:rsidP="00503D34">
      <w:pPr>
        <w:spacing w:line="360" w:lineRule="auto"/>
        <w:jc w:val="both"/>
        <w:rPr>
          <w:rStyle w:val="pismamzZnak"/>
        </w:rPr>
      </w:pPr>
      <w:r>
        <w:rPr>
          <w:rStyle w:val="pismamzZnak"/>
        </w:rPr>
        <w:t>Decyzją ministra właściwego do spraw zdrowia rozstrzygnięcie zawarte w ogłoszeniu o wynikach konkursu ofert opublikowanym w dniu 18.04.2019 r. Uległo zmianie.</w:t>
      </w:r>
    </w:p>
    <w:p w:rsidR="005D1373" w:rsidRDefault="00DB7C7E" w:rsidP="00503D34">
      <w:pPr>
        <w:spacing w:line="360" w:lineRule="auto"/>
        <w:jc w:val="both"/>
        <w:rPr>
          <w:rStyle w:val="pismamzZnak"/>
        </w:rPr>
      </w:pPr>
      <w:r>
        <w:rPr>
          <w:rStyle w:val="pismamzZnak"/>
        </w:rPr>
        <w:t>Na realizatorów wybrano:</w:t>
      </w:r>
    </w:p>
    <w:tbl>
      <w:tblPr>
        <w:tblpPr w:leftFromText="141" w:rightFromText="141" w:vertAnchor="text" w:tblpXSpec="center" w:tblpY="1"/>
        <w:tblOverlap w:val="never"/>
        <w:tblW w:w="108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1701"/>
        <w:gridCol w:w="1134"/>
        <w:gridCol w:w="1418"/>
        <w:gridCol w:w="1417"/>
        <w:gridCol w:w="297"/>
        <w:gridCol w:w="1121"/>
        <w:gridCol w:w="1417"/>
        <w:gridCol w:w="1351"/>
      </w:tblGrid>
      <w:tr w:rsidR="002E2598" w:rsidTr="00DC1C5E">
        <w:trPr>
          <w:trHeight w:val="825"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PRZYZNANO</w:t>
            </w:r>
          </w:p>
        </w:tc>
      </w:tr>
      <w:tr w:rsidR="002E2598" w:rsidTr="00DC1C5E">
        <w:trPr>
          <w:trHeight w:val="73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Dane jednostki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2E2598" w:rsidTr="00DC1C5E">
        <w:trPr>
          <w:trHeight w:val="926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Nazwa jednostki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Miasto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Miejsce badań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Przyznana kwota ogólna na badania w 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Przyznana kwota ogólna na badania w 2020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Przyznana kwota ogólna na badania w 2021</w:t>
            </w:r>
          </w:p>
        </w:tc>
      </w:tr>
      <w:tr w:rsidR="002E2598" w:rsidTr="00DC1C5E">
        <w:trPr>
          <w:trHeight w:val="10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Diagnostyczno-Terapeutyczne „MEDICUS”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59-300 Lubin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Leśna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1 500 000,00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</w:tr>
      <w:tr w:rsidR="002E2598" w:rsidTr="00DC1C5E">
        <w:trPr>
          <w:trHeight w:val="9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Specjalistyczne Centrum Medyczne im. Św. Jana Pawła II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57-320 Polanica Zdrój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Jana Pawła II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Centrum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Gastrologiczno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Hepatologiczne Sp. z. o.o. Sp.k.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50-555 Wrocław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Krynicka 37-39 lok.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1 500 000,00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</w:tr>
      <w:tr w:rsidR="002E2598" w:rsidTr="00DC1C5E">
        <w:trPr>
          <w:trHeight w:val="10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Onkologii im. prof. F. Łukaszczyka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85-796 Bydgoszcz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Dr I. Romanowskiej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2E2598" w:rsidTr="00DC1C5E">
        <w:trPr>
          <w:trHeight w:val="9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ZOZ GASTROMED  (prowadzony przez SCANMED S.A. ul. Armii Krajowej 18, 30-150 Kraków)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20-582 Lublin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Onyskowa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ZOZ GASTROMED, 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Onyskowa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10, 20-582 Lublin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2 400 000,00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3 780 000,00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3 780 000,00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Medyczne LUXMED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20-080 Lublin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Radziwiłłowska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filia Koncertowa 4D, 20-866 Lublin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960 000,00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960 000,00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960 000,00 zł</w:t>
            </w:r>
          </w:p>
        </w:tc>
      </w:tr>
      <w:tr w:rsidR="002E2598" w:rsidTr="00DC1C5E">
        <w:trPr>
          <w:trHeight w:val="13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KardioNeuroMED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23-400 Biłgoraj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Moniuszki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Nadstawna 56B, lok.4, 23-400 Biłgoraj,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360 000,00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</w:tr>
      <w:tr w:rsidR="002E2598" w:rsidTr="00DC1C5E">
        <w:trPr>
          <w:trHeight w:val="7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ZOZ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Medical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z.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o.o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24-110 Puławy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al.Tysiąclecia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Państwa Polskiego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277 500,00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201 600,00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203 400,00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ENDOMED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Buszkiewicz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Gabryniewski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66-400 Gorzów Wielkopolski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Obotrycka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1 350 000,00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1 440 000,00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1 440 000,00 zł</w:t>
            </w:r>
          </w:p>
        </w:tc>
      </w:tr>
      <w:tr w:rsidR="002E2598" w:rsidTr="00DC1C5E">
        <w:trPr>
          <w:trHeight w:val="21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MAGODENT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gen.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A.E.Fieldorfa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Nila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" 40 </w:t>
            </w:r>
          </w:p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04-125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MagodentEndoterapia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Szpital Łódź, ul. Mikołaja Kopernika 38, 90-552 Łódź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MAGODENT Sp. z o.o.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720 000,00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900 000,00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900 000,00 zł</w:t>
            </w:r>
          </w:p>
        </w:tc>
      </w:tr>
      <w:tr w:rsidR="002E2598" w:rsidTr="00DC1C5E">
        <w:trPr>
          <w:trHeight w:val="10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Pabianickie Centrum Medyczne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Jana Pawła II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295 000,00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295 000,00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295 000,00 zł</w:t>
            </w:r>
          </w:p>
        </w:tc>
      </w:tr>
      <w:tr w:rsidR="002E2598" w:rsidTr="00DC1C5E">
        <w:trPr>
          <w:trHeight w:val="12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Niepubliczny Zakład Opieki Zdrowotnej „Biały Prądnik”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31-214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Bałtycka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NZOZ „Biały Prądnik” Sp. z o.o. Pracownia Endoskopii Przewodu Pokarmowego, ul. Barska 12, 30-307 Kraków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1 050 000,00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1 050 000,00 zł</w:t>
            </w:r>
          </w:p>
        </w:tc>
      </w:tr>
      <w:tr w:rsidR="002E2598" w:rsidTr="00DC1C5E">
        <w:trPr>
          <w:trHeight w:val="15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Węgrzce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„Biały Prądnik” Sp. z o.o. Pracownia Endoskopii Przewodu Pokarmowego, ul. Forteczna 12a, 32-086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Węgrzce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</w:tr>
      <w:tr w:rsidR="002E2598" w:rsidTr="00DC1C5E">
        <w:trPr>
          <w:trHeight w:val="10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S.C.D.Z. „MEDICINA”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31-559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Rogozińskego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S.C.D.Z. „MEDICINA” Sp. z o.o. - Pracownia Endoskopowa, ul. </w:t>
            </w: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Barska 12, 30-307 Kraków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</w:tr>
      <w:tr w:rsidR="002E2598" w:rsidTr="00DC1C5E">
        <w:trPr>
          <w:trHeight w:val="11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Sp.k.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30-424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Chłodna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ul. Josepha Conrada 79, 31-357 Kraków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</w:tr>
      <w:tr w:rsidR="002E2598" w:rsidTr="00DC1C5E">
        <w:trPr>
          <w:trHeight w:val="18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ul. Polskiego Czerwonego Krzyża 26, 33-100 Tarnów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1 080 000,00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1 080 000,00 zł</w:t>
            </w:r>
          </w:p>
        </w:tc>
      </w:tr>
      <w:tr w:rsidR="002E2598" w:rsidTr="00DC1C5E">
        <w:trPr>
          <w:trHeight w:val="23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5E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C5E" w:rsidRP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MAGODENT Sp. z o.o.</w:t>
            </w:r>
          </w:p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5E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C5E" w:rsidRP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04-125 Warszawa</w:t>
            </w:r>
          </w:p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5E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C5E" w:rsidRP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 xml:space="preserve">ul. gen. </w:t>
            </w:r>
            <w:proofErr w:type="spellStart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A.E.Fieldorfa</w:t>
            </w:r>
            <w:proofErr w:type="spellEnd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Nila</w:t>
            </w:r>
            <w:proofErr w:type="spellEnd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" 40</w:t>
            </w:r>
          </w:p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5E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Magodent</w:t>
            </w:r>
            <w:proofErr w:type="spellEnd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-Szpital Onkologiczno-Kardiologiczny, ul. gen. </w:t>
            </w:r>
            <w:proofErr w:type="spellStart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A.E.Fieldorfa</w:t>
            </w:r>
            <w:proofErr w:type="spellEnd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Nila</w:t>
            </w:r>
            <w:proofErr w:type="spellEnd"/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" 40, 04-125 Warszawa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5E" w:rsidRDefault="00120F31" w:rsidP="00DC1C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1C5E" w:rsidRP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DC1C5E" w:rsidRP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 xml:space="preserve">432 000,00 zł </w:t>
            </w:r>
          </w:p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</w:p>
          <w:p w:rsidR="00DC1C5E" w:rsidRPr="00DC1C5E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1C5E">
              <w:rPr>
                <w:rFonts w:ascii="Arial" w:hAnsi="Arial" w:cs="Arial"/>
                <w:color w:val="000000"/>
                <w:sz w:val="16"/>
                <w:szCs w:val="16"/>
              </w:rPr>
              <w:t xml:space="preserve">432 000,00 zł </w:t>
            </w:r>
          </w:p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2598" w:rsidTr="00DC1C5E">
        <w:trPr>
          <w:trHeight w:val="15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Endomed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Janusz Romanowski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26-600 Radom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ks. Sedlaka 4/6/8 lok. B8C1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ENDOTERAPIA PFG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02-653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 Niepodległości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Endoterapia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PFG Ambulatorium Filia nr 1 Al. Niepodległości 18, 02-653 Warszawa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1 440 000,00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1 344 000,00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1 344 000,00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Endoterapia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PFG Ambulatorium Filia nr 2 ul. Brzeska 131, 08-110 Siedlce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450 000,00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</w:tr>
      <w:tr w:rsidR="002E2598" w:rsidTr="00DC1C5E">
        <w:trPr>
          <w:trHeight w:val="15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Onkologii – Instytut im. Marii Skłodowskiej – Curie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02-034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Wawelska 15B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Onkologii – Instytut im. Marii Skłodowskiej – Curie, ul. W.K. Roentgena 5, 02-781 Warszawa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3 060 000,00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3 672 000,00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3 672 000,00 zł</w:t>
            </w:r>
          </w:p>
        </w:tc>
      </w:tr>
      <w:tr w:rsidR="002E2598" w:rsidTr="00DC1C5E">
        <w:trPr>
          <w:trHeight w:val="9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Mazowiecki Szpital Specjalistyczny im. Dr. Józefa </w:t>
            </w: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Psarskiego w Ostrołęce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07-410 Ostrołęka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al.Jana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Pawła II 120A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150 000,00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180 000,00 zł</w:t>
            </w:r>
          </w:p>
        </w:tc>
      </w:tr>
      <w:tr w:rsidR="002E2598" w:rsidTr="00DC1C5E">
        <w:trPr>
          <w:trHeight w:val="9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Szpital Wojewódzki im. Kardynała Stefana Wyszyńskiego w Łomży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18-404 Łomża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 Piłsudskiego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</w:tr>
      <w:tr w:rsidR="002E2598" w:rsidTr="00DC1C5E">
        <w:trPr>
          <w:trHeight w:val="15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Medyczne Dąbrowa – Dąbrówka Spółka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81-589 Gdynia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Sojowa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Medyczne Dąbrowa – Dąbrówka Pracownia endoskopii ul. Sojowa 33c, 81-589 Gdynia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Nr 1 Ewelina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Dołżyńska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84-230 Rumia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Derdowskiego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1 680 000,00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1 680 000,00 zł</w:t>
            </w:r>
          </w:p>
        </w:tc>
      </w:tr>
      <w:tr w:rsidR="002E2598" w:rsidTr="00DC1C5E">
        <w:trPr>
          <w:trHeight w:val="10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Gastro-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NZOZ Gastro-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Clinic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44-335 Jastrzębie Zdrój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Katowicka 24, lok. 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900 000,00 zł</w:t>
            </w:r>
          </w:p>
        </w:tc>
      </w:tr>
      <w:tr w:rsidR="002E2598" w:rsidTr="00DC1C5E">
        <w:trPr>
          <w:trHeight w:val="25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Niepubliczny Zakład Opieki Zdrowotnej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Jarus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i Skupień Spółka Partnerska Lekarzy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44-290 Jejkowice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Główna 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NZOZ Centrum Gastroenterologii, 44-300 Wodzisław Śląski, ul. Jana Pawła II 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1 500 000,00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</w:tr>
      <w:tr w:rsidR="002E2598" w:rsidTr="00DC1C5E">
        <w:trPr>
          <w:trHeight w:val="9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NZOZ Ars-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Med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Klimas i Wspólnicy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27-400 Ostrowiec Świętokrzyski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Słowackiego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480 000,00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480 000,00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480 000,00 zł</w:t>
            </w:r>
          </w:p>
        </w:tc>
      </w:tr>
      <w:tr w:rsidR="002E2598" w:rsidTr="00DC1C5E">
        <w:trPr>
          <w:trHeight w:val="11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Wojewódzki Szpital Zespolony w Elblągu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82-300 Elbląg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Królewiecka 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SPZOZ Ministerstwa Spraw Wewnętrznych i Administracji z Warmińsko-Mazurskim Centrum Onkologii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10-228 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Aleja Wojska Polskiego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2E2598" w:rsidTr="00DC1C5E">
        <w:trPr>
          <w:trHeight w:val="15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„MEDYK” Jankowska, Kielek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62-500 Konin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Szpitalna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Diagnostyczno-Terapeutyczne "MEDYK" Konin, 62-500 Konin, ul. Szpitalna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</w:tr>
      <w:tr w:rsidR="002E2598" w:rsidTr="00DC1C5E">
        <w:trPr>
          <w:trHeight w:val="12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Diagnostyczno-Terapeutyczne "MEDYK" Kalisz, 62-800 Kalisz, ul. Podkowińskiego2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780 000,00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864 000,00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864 000,00 zł</w:t>
            </w:r>
          </w:p>
        </w:tc>
      </w:tr>
      <w:tr w:rsidR="002E2598" w:rsidTr="00DC1C5E">
        <w:trPr>
          <w:trHeight w:val="9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Samodzielny Publiczny Zespół Opieki Zdrowotnej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64-000 Kościan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Szpitalna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510 000,00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</w:tr>
      <w:tr w:rsidR="002E2598" w:rsidTr="00DC1C5E">
        <w:trPr>
          <w:trHeight w:val="9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Termedia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61-615 Poznań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Kleeberga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NSZOZ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Termedica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, os. B. Chrobrego 101, 60-681 Poznań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3 000 000,00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2 880 000,00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2 880 000,00 zł</w:t>
            </w:r>
          </w:p>
        </w:tc>
      </w:tr>
      <w:tr w:rsidR="002E2598" w:rsidTr="00DC1C5E">
        <w:trPr>
          <w:trHeight w:val="9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Samodzielny Publiczny Wojewódzki Szpital Zespolony w Szczecinie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71-455 Szczecin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Arkońska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Pracownia endoskopii ul. A. Sokołowskiego 11, 70-891 Szczecin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2E2598" w:rsidTr="00DC1C5E">
        <w:trPr>
          <w:trHeight w:val="3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73" w:rsidRPr="00443847" w:rsidRDefault="00120F31" w:rsidP="00DC1C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D1373" w:rsidRPr="00443847" w:rsidRDefault="00DB7C7E" w:rsidP="00DC1C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C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36 872 500,00 zł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1C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41 398 600,00 zł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D1373" w:rsidRPr="00443847" w:rsidRDefault="00DB7C7E" w:rsidP="00DC1C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13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41 400 400,00 zł</w:t>
            </w:r>
          </w:p>
        </w:tc>
      </w:tr>
    </w:tbl>
    <w:p w:rsidR="002A7E98" w:rsidRDefault="00120F31" w:rsidP="00503D34">
      <w:pPr>
        <w:spacing w:line="360" w:lineRule="auto"/>
        <w:jc w:val="both"/>
        <w:rPr>
          <w:rStyle w:val="pismamzZnak"/>
        </w:rPr>
      </w:pPr>
    </w:p>
    <w:p w:rsidR="00566812" w:rsidRPr="002A7E98" w:rsidRDefault="00DB7C7E" w:rsidP="00503D34">
      <w:pPr>
        <w:spacing w:line="360" w:lineRule="auto"/>
        <w:jc w:val="both"/>
        <w:rPr>
          <w:rFonts w:ascii="Arial" w:hAnsi="Arial"/>
        </w:rPr>
      </w:pPr>
      <w:r>
        <w:rPr>
          <w:rStyle w:val="pismamzZnak"/>
        </w:rPr>
        <w:t xml:space="preserve">Na mocy </w:t>
      </w:r>
      <w:r>
        <w:rPr>
          <w:rStyle w:val="pismamzZnak"/>
          <w:rFonts w:cs="Arial"/>
        </w:rPr>
        <w:t>§</w:t>
      </w:r>
      <w:r>
        <w:rPr>
          <w:rStyle w:val="pismamzZnak"/>
        </w:rPr>
        <w:t xml:space="preserve"> 10 ust. 7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>
        <w:rPr>
          <w:rStyle w:val="pismamzZnak"/>
        </w:rPr>
        <w:t>Zdrow</w:t>
      </w:r>
      <w:proofErr w:type="spellEnd"/>
      <w:r>
        <w:rPr>
          <w:rStyle w:val="pismamzZnak"/>
        </w:rPr>
        <w:t>. Poz. 30) oferentom nie przysługuje odwołanie od ostatecznych wyników konkursu ofert zawartych w niniejszym ogłoszeniu.</w:t>
      </w:r>
    </w:p>
    <w:p w:rsidR="00503D34" w:rsidRPr="00721EB5" w:rsidRDefault="00DB7C7E" w:rsidP="00503D34">
      <w:pPr>
        <w:spacing w:line="36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991DD6">
        <w:rPr>
          <w:rFonts w:ascii="Arial" w:hAnsi="Arial" w:cs="Arial"/>
          <w:color w:val="000000" w:themeColor="text1"/>
        </w:rPr>
        <w:t xml:space="preserve">Jednocześnie informujemy, że podpisanie umów z realizatorami zadania Narodowego Programu Zwalczania Chorób Nowotworowych pn.: </w:t>
      </w:r>
      <w:r w:rsidRPr="00991DD6">
        <w:rPr>
          <w:rFonts w:ascii="Arial" w:hAnsi="Arial" w:cs="Arial"/>
          <w:bCs/>
          <w:iCs/>
          <w:color w:val="000000" w:themeColor="text1"/>
        </w:rPr>
        <w:t>„Program badań przesiewowych raka jelita grubego</w:t>
      </w:r>
      <w:r>
        <w:rPr>
          <w:rFonts w:ascii="Arial" w:hAnsi="Arial" w:cs="Arial"/>
          <w:bCs/>
          <w:iCs/>
          <w:color w:val="000000" w:themeColor="text1"/>
        </w:rPr>
        <w:t>”</w:t>
      </w:r>
      <w:r w:rsidRPr="00991DD6">
        <w:rPr>
          <w:rFonts w:ascii="Arial" w:hAnsi="Arial" w:cs="Arial"/>
          <w:bCs/>
          <w:iCs/>
          <w:color w:val="000000" w:themeColor="text1"/>
        </w:rPr>
        <w:t xml:space="preserve"> w zakresie wykonywania badań kolonoskopowych w systemie mieszanym na lata 2019-2021</w:t>
      </w:r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Pr="00991DD6">
        <w:rPr>
          <w:rFonts w:ascii="Arial" w:hAnsi="Arial" w:cs="Arial"/>
          <w:b/>
          <w:color w:val="000000" w:themeColor="text1"/>
          <w:u w:val="single"/>
        </w:rPr>
        <w:t xml:space="preserve">będzie przeprowadzane elektronicznie za pośrednictwem skrzynki podawczej </w:t>
      </w:r>
      <w:proofErr w:type="spellStart"/>
      <w:r w:rsidRPr="00991DD6">
        <w:rPr>
          <w:rFonts w:ascii="Arial" w:hAnsi="Arial" w:cs="Arial"/>
          <w:b/>
          <w:color w:val="000000" w:themeColor="text1"/>
          <w:u w:val="single"/>
        </w:rPr>
        <w:t>ePUAP</w:t>
      </w:r>
      <w:proofErr w:type="spellEnd"/>
      <w:r w:rsidRPr="00991DD6">
        <w:rPr>
          <w:rFonts w:ascii="Arial" w:hAnsi="Arial" w:cs="Arial"/>
          <w:b/>
          <w:color w:val="000000" w:themeColor="text1"/>
          <w:u w:val="single"/>
        </w:rPr>
        <w:t>.</w:t>
      </w:r>
    </w:p>
    <w:p w:rsidR="00E644AE" w:rsidRPr="000A3390" w:rsidRDefault="00DB7C7E" w:rsidP="000A3390">
      <w:pPr>
        <w:spacing w:line="360" w:lineRule="auto"/>
        <w:jc w:val="both"/>
        <w:rPr>
          <w:rStyle w:val="pismamzZnak"/>
          <w:rFonts w:cs="Arial"/>
          <w:b/>
          <w:color w:val="000000" w:themeColor="text1"/>
          <w:u w:val="single"/>
        </w:rPr>
      </w:pPr>
      <w:r w:rsidRPr="00991DD6">
        <w:rPr>
          <w:rFonts w:ascii="Arial" w:hAnsi="Arial" w:cs="Arial"/>
          <w:b/>
          <w:color w:val="000000" w:themeColor="text1"/>
          <w:u w:val="single"/>
        </w:rPr>
        <w:t>Umowy będą podpisywane kwalifikowanym podpisem elektronicznym.</w:t>
      </w:r>
    </w:p>
    <w:p w:rsidR="0080722D" w:rsidRPr="000A3390" w:rsidRDefault="00DB7C7E" w:rsidP="000A3390">
      <w:pPr>
        <w:spacing w:after="0"/>
        <w:ind w:left="2124" w:firstLine="708"/>
        <w:rPr>
          <w:rFonts w:ascii="Arial" w:hAnsi="Arial"/>
        </w:rPr>
      </w:pPr>
      <w:bookmarkStart w:id="0" w:name="_GoBack"/>
      <w:bookmarkEnd w:id="0"/>
      <w:r w:rsidRPr="005B3B04">
        <w:rPr>
          <w:rStyle w:val="pismamzZnak"/>
        </w:rPr>
        <w:t xml:space="preserve"> </w:t>
      </w:r>
    </w:p>
    <w:sectPr w:rsidR="0080722D" w:rsidRPr="000A3390" w:rsidSect="00D2623E">
      <w:footerReference w:type="even" r:id="rId8"/>
      <w:footerReference w:type="default" r:id="rId9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0C6" w:rsidRDefault="00DB7C7E">
      <w:pPr>
        <w:spacing w:after="0" w:line="240" w:lineRule="auto"/>
      </w:pPr>
      <w:r>
        <w:separator/>
      </w:r>
    </w:p>
  </w:endnote>
  <w:endnote w:type="continuationSeparator" w:id="0">
    <w:p w:rsidR="001020C6" w:rsidRDefault="00DB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DB7C7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0F31">
      <w:rPr>
        <w:noProof/>
      </w:rPr>
      <w:t>4</w:t>
    </w:r>
    <w:r>
      <w:rPr>
        <w:noProof/>
      </w:rPr>
      <w:fldChar w:fldCharType="end"/>
    </w:r>
  </w:p>
  <w:p w:rsidR="002E4674" w:rsidRDefault="00120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DB7C7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0F31">
      <w:rPr>
        <w:noProof/>
      </w:rPr>
      <w:t>5</w:t>
    </w:r>
    <w:r>
      <w:rPr>
        <w:noProof/>
      </w:rPr>
      <w:fldChar w:fldCharType="end"/>
    </w:r>
  </w:p>
  <w:p w:rsidR="002E4674" w:rsidRDefault="00120F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0C6" w:rsidRDefault="00DB7C7E">
      <w:pPr>
        <w:spacing w:after="0" w:line="240" w:lineRule="auto"/>
      </w:pPr>
      <w:r>
        <w:separator/>
      </w:r>
    </w:p>
  </w:footnote>
  <w:footnote w:type="continuationSeparator" w:id="0">
    <w:p w:rsidR="001020C6" w:rsidRDefault="00DB7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BCE"/>
    <w:multiLevelType w:val="hybridMultilevel"/>
    <w:tmpl w:val="16C842AA"/>
    <w:lvl w:ilvl="0" w:tplc="7D6A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EB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E5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27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5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AB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02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47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63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98"/>
    <w:rsid w:val="001020C6"/>
    <w:rsid w:val="00120F31"/>
    <w:rsid w:val="002E2598"/>
    <w:rsid w:val="0038324B"/>
    <w:rsid w:val="00D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16004-D809-4DBF-9DA2-59F24AB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E3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E4576-F64B-475C-9165-E7440D8E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</Template>
  <TotalTime>1</TotalTime>
  <Pages>5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Judek Katarzyna</cp:lastModifiedBy>
  <cp:revision>3</cp:revision>
  <cp:lastPrinted>2014-08-19T14:05:00Z</cp:lastPrinted>
  <dcterms:created xsi:type="dcterms:W3CDTF">2019-05-21T08:16:00Z</dcterms:created>
  <dcterms:modified xsi:type="dcterms:W3CDTF">2019-05-21T08:19:00Z</dcterms:modified>
</cp:coreProperties>
</file>