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Pr="00D604FF" w:rsidRDefault="00E95BF7" w:rsidP="00E95BF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367B36">
        <w:rPr>
          <w:rFonts w:ascii="Times New Roman" w:hAnsi="Times New Roman"/>
          <w:sz w:val="24"/>
          <w:szCs w:val="24"/>
        </w:rPr>
        <w:t>Okręgowego w Rybniku</w:t>
      </w:r>
      <w:r>
        <w:rPr>
          <w:rFonts w:ascii="Times New Roman" w:hAnsi="Times New Roman"/>
          <w:sz w:val="24"/>
          <w:szCs w:val="24"/>
        </w:rPr>
        <w:t>.</w:t>
      </w: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E95BF7" w:rsidRDefault="00E95BF7" w:rsidP="00E95BF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367B36">
        <w:rPr>
          <w:rFonts w:ascii="Times New Roman" w:hAnsi="Times New Roman"/>
          <w:sz w:val="24"/>
          <w:szCs w:val="24"/>
        </w:rPr>
        <w:t xml:space="preserve">Okręgowego w Rybniku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 w:rsidR="00367B36">
        <w:rPr>
          <w:rFonts w:ascii="Times New Roman" w:hAnsi="Times New Roman"/>
          <w:sz w:val="24"/>
          <w:szCs w:val="24"/>
        </w:rPr>
        <w:t xml:space="preserve">Okręgowego w Rybniku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 rekrutacji i powołania na stanowisko dyrektora tego sądu.</w:t>
      </w:r>
    </w:p>
    <w:p w:rsidR="00E95BF7" w:rsidRDefault="00E95BF7" w:rsidP="00E95B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</w:p>
    <w:p w:rsidR="00E95BF7" w:rsidRDefault="00E95BF7" w:rsidP="00E95BF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E95BF7" w:rsidRPr="0053684E" w:rsidRDefault="00E95BF7" w:rsidP="00E95BF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95BF7" w:rsidRDefault="00E95BF7" w:rsidP="00E95BF7"/>
    <w:p w:rsidR="00E95BF7" w:rsidRDefault="00E95BF7" w:rsidP="00E95BF7"/>
    <w:p w:rsidR="00EA2A52" w:rsidRDefault="00EA2A52"/>
    <w:sectPr w:rsidR="00EA2A52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BF7"/>
    <w:rsid w:val="00367B36"/>
    <w:rsid w:val="00E95BF7"/>
    <w:rsid w:val="00EA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8B7B"/>
  <w15:chartTrackingRefBased/>
  <w15:docId w15:val="{FD544361-9217-4817-8F13-A77BF160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E95B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2020-01-07T11:32:00Z</dcterms:created>
  <dcterms:modified xsi:type="dcterms:W3CDTF">2020-01-07T12:21:00Z</dcterms:modified>
</cp:coreProperties>
</file>