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02EB" w:rsidRDefault="008202EB" w:rsidP="008202EB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8202EB" w:rsidRDefault="008202EB" w:rsidP="008202EB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280EC8" w:rsidRPr="00FB24FE" w:rsidRDefault="007319FB" w:rsidP="00FC1D5A">
      <w:pPr>
        <w:pStyle w:val="Tytu"/>
        <w:jc w:val="center"/>
        <w:rPr>
          <w:rFonts w:ascii="Times New Roman" w:eastAsia="Times New Roman" w:hAnsi="Times New Roman" w:cs="Times New Roman"/>
          <w:color w:val="auto"/>
          <w:sz w:val="32"/>
          <w:szCs w:val="32"/>
          <w:lang w:eastAsia="pl-PL"/>
        </w:rPr>
      </w:pPr>
      <w:bookmarkStart w:id="0" w:name="_GoBack"/>
      <w:r w:rsidRPr="00FB24FE">
        <w:rPr>
          <w:rFonts w:ascii="Times New Roman" w:eastAsia="Times New Roman" w:hAnsi="Times New Roman" w:cs="Times New Roman"/>
          <w:color w:val="auto"/>
          <w:sz w:val="32"/>
          <w:szCs w:val="32"/>
          <w:lang w:eastAsia="pl-PL"/>
        </w:rPr>
        <w:t>S</w:t>
      </w:r>
      <w:r w:rsidR="00A56CCD" w:rsidRPr="00FB24FE">
        <w:rPr>
          <w:rFonts w:ascii="Times New Roman" w:eastAsia="Times New Roman" w:hAnsi="Times New Roman" w:cs="Times New Roman"/>
          <w:color w:val="auto"/>
          <w:sz w:val="32"/>
          <w:szCs w:val="32"/>
          <w:lang w:eastAsia="pl-PL"/>
        </w:rPr>
        <w:t>padek</w:t>
      </w:r>
      <w:r w:rsidRPr="00FB24FE">
        <w:rPr>
          <w:rFonts w:ascii="Times New Roman" w:eastAsia="Times New Roman" w:hAnsi="Times New Roman" w:cs="Times New Roman"/>
          <w:color w:val="auto"/>
          <w:sz w:val="32"/>
          <w:szCs w:val="32"/>
          <w:lang w:eastAsia="pl-PL"/>
        </w:rPr>
        <w:t xml:space="preserve"> w Unii Europejskiej</w:t>
      </w:r>
      <w:bookmarkEnd w:id="0"/>
      <w:r w:rsidR="00FB24FE" w:rsidRPr="00FB24FE">
        <w:rPr>
          <w:rFonts w:ascii="Times New Roman" w:eastAsia="Times New Roman" w:hAnsi="Times New Roman" w:cs="Times New Roman"/>
          <w:color w:val="auto"/>
          <w:sz w:val="32"/>
          <w:szCs w:val="32"/>
          <w:lang w:eastAsia="pl-PL"/>
        </w:rPr>
        <w:t xml:space="preserve"> -</w:t>
      </w:r>
    </w:p>
    <w:p w:rsidR="00A56CCD" w:rsidRPr="00FB24FE" w:rsidRDefault="00B72D20" w:rsidP="00FC1D5A">
      <w:pPr>
        <w:pStyle w:val="Tytu"/>
        <w:jc w:val="center"/>
        <w:rPr>
          <w:rFonts w:ascii="Times New Roman" w:eastAsia="Times New Roman" w:hAnsi="Times New Roman" w:cs="Times New Roman"/>
          <w:color w:val="auto"/>
          <w:sz w:val="32"/>
          <w:szCs w:val="32"/>
          <w:lang w:eastAsia="pl-PL"/>
        </w:rPr>
      </w:pPr>
      <w:r w:rsidRPr="00FB24FE">
        <w:rPr>
          <w:rFonts w:ascii="Times New Roman" w:eastAsia="Times New Roman" w:hAnsi="Times New Roman" w:cs="Times New Roman"/>
          <w:color w:val="auto"/>
          <w:sz w:val="32"/>
          <w:szCs w:val="32"/>
          <w:lang w:eastAsia="pl-PL"/>
        </w:rPr>
        <w:t>nowe regulacje prawne, które ułatwią załatwianie transgranicznych spraw spadkowych</w:t>
      </w:r>
    </w:p>
    <w:p w:rsidR="004410F1" w:rsidRPr="00FB24FE" w:rsidRDefault="004410F1" w:rsidP="00FB24FE">
      <w:pPr>
        <w:pStyle w:val="Tytu"/>
        <w:rPr>
          <w:rFonts w:ascii="Times New Roman" w:eastAsia="Times New Roman" w:hAnsi="Times New Roman" w:cs="Times New Roman"/>
          <w:color w:val="auto"/>
          <w:sz w:val="32"/>
          <w:szCs w:val="32"/>
          <w:lang w:eastAsia="pl-PL"/>
        </w:rPr>
      </w:pPr>
    </w:p>
    <w:p w:rsidR="004410F1" w:rsidRPr="00A70F67" w:rsidRDefault="004410F1" w:rsidP="00742F2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523616" w:rsidRDefault="001873A4" w:rsidP="00742F28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Informacja </w:t>
      </w:r>
      <w:r w:rsidR="00B179E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wstępna</w:t>
      </w:r>
    </w:p>
    <w:p w:rsidR="00742F28" w:rsidRPr="00A70F67" w:rsidRDefault="00742F28" w:rsidP="00742F28">
      <w:pPr>
        <w:pStyle w:val="Akapitzlist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BF5241" w:rsidRDefault="00F57590" w:rsidP="00742F2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0F67">
        <w:rPr>
          <w:rFonts w:ascii="Times New Roman" w:eastAsia="Times New Roman" w:hAnsi="Times New Roman" w:cs="Times New Roman"/>
          <w:sz w:val="24"/>
          <w:szCs w:val="24"/>
        </w:rPr>
        <w:t>O</w:t>
      </w:r>
      <w:r w:rsidR="00BF5241" w:rsidRPr="00A70F67">
        <w:rPr>
          <w:rFonts w:ascii="Times New Roman" w:eastAsia="Times New Roman" w:hAnsi="Times New Roman" w:cs="Times New Roman"/>
          <w:sz w:val="24"/>
          <w:szCs w:val="24"/>
        </w:rPr>
        <w:t xml:space="preserve">d 17 sierpnia 2015 r. zacznie obowiązywać </w:t>
      </w:r>
      <w:r w:rsidR="00BF5241" w:rsidRPr="00B179EF">
        <w:rPr>
          <w:rFonts w:ascii="Times New Roman" w:eastAsia="Times New Roman" w:hAnsi="Times New Roman" w:cs="Times New Roman"/>
          <w:b/>
          <w:i/>
          <w:sz w:val="24"/>
          <w:szCs w:val="24"/>
        </w:rPr>
        <w:t>r</w:t>
      </w:r>
      <w:r w:rsidR="00BF5241" w:rsidRPr="00B179EF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ozporządzenie Parlamentu Europejskiego i Rady (UE) nr 650/2012 z dnia 4 lipca 2012 r.</w:t>
      </w:r>
      <w:r w:rsidR="00BF5241" w:rsidRPr="00A70F6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BF5241" w:rsidRPr="00241FFF">
        <w:rPr>
          <w:rFonts w:ascii="Times New Roman" w:eastAsia="Times New Roman" w:hAnsi="Times New Roman" w:cs="Times New Roman"/>
          <w:b/>
          <w:i/>
          <w:sz w:val="24"/>
          <w:szCs w:val="24"/>
        </w:rPr>
        <w:t>w sprawie jurysdykcji, prawa właściwego, uznawania i wykonywania orzeczeń</w:t>
      </w:r>
      <w:r w:rsidR="00001D04">
        <w:rPr>
          <w:rFonts w:ascii="Times New Roman" w:eastAsia="Times New Roman" w:hAnsi="Times New Roman" w:cs="Times New Roman"/>
          <w:b/>
          <w:i/>
          <w:sz w:val="24"/>
          <w:szCs w:val="24"/>
        </w:rPr>
        <w:t>,</w:t>
      </w:r>
      <w:r w:rsidR="00BF5241" w:rsidRPr="00241FFF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przyjmowania i wykonywania dokumentów urzędowych dotyczących dziedziczenia oraz w sprawie ustanowienia europejskiego poświadczenia spadkowego</w:t>
      </w:r>
      <w:r w:rsidR="007670C4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7670C4">
        <w:rPr>
          <w:rFonts w:ascii="Times New Roman" w:eastAsia="Times New Roman" w:hAnsi="Times New Roman" w:cs="Times New Roman"/>
          <w:sz w:val="24"/>
          <w:szCs w:val="24"/>
        </w:rPr>
        <w:t>(dalej: „rozporządzenie”)</w:t>
      </w:r>
      <w:r w:rsidR="00BF5241" w:rsidRPr="00A70F6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  <w:r w:rsidR="00241FF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Razem z nim wejdzie w życie </w:t>
      </w:r>
      <w:r w:rsidR="00584363" w:rsidRPr="00E11791">
        <w:rPr>
          <w:rFonts w:ascii="Times New Roman" w:hAnsi="Times New Roman" w:cs="Times New Roman"/>
          <w:b/>
          <w:i/>
          <w:sz w:val="24"/>
          <w:szCs w:val="24"/>
        </w:rPr>
        <w:t xml:space="preserve">ustawa </w:t>
      </w:r>
      <w:r w:rsidR="00241FFF" w:rsidRPr="00E11791">
        <w:rPr>
          <w:rFonts w:ascii="Times New Roman" w:hAnsi="Times New Roman" w:cs="Times New Roman"/>
          <w:b/>
          <w:i/>
          <w:sz w:val="24"/>
          <w:szCs w:val="24"/>
        </w:rPr>
        <w:t xml:space="preserve">z dnia 24 lipca 2015 r. </w:t>
      </w:r>
      <w:r w:rsidR="00584363" w:rsidRPr="00E11791">
        <w:rPr>
          <w:rFonts w:ascii="Times New Roman" w:hAnsi="Times New Roman" w:cs="Times New Roman"/>
          <w:b/>
          <w:i/>
          <w:sz w:val="24"/>
          <w:szCs w:val="24"/>
        </w:rPr>
        <w:t>o zmianie ustawy – Kodeks</w:t>
      </w:r>
      <w:r w:rsidR="000C1C59" w:rsidRPr="00E11791">
        <w:rPr>
          <w:rFonts w:ascii="Times New Roman" w:hAnsi="Times New Roman" w:cs="Times New Roman"/>
          <w:b/>
          <w:i/>
          <w:sz w:val="24"/>
          <w:szCs w:val="24"/>
        </w:rPr>
        <w:t xml:space="preserve"> postę</w:t>
      </w:r>
      <w:r w:rsidR="00584363" w:rsidRPr="00E11791">
        <w:rPr>
          <w:rFonts w:ascii="Times New Roman" w:hAnsi="Times New Roman" w:cs="Times New Roman"/>
          <w:b/>
          <w:i/>
          <w:sz w:val="24"/>
          <w:szCs w:val="24"/>
        </w:rPr>
        <w:t>powania cywilnego, ustawy – Prawo o notariacie oraz niektórych innych ustaw</w:t>
      </w:r>
      <w:r w:rsidR="00B179EF">
        <w:rPr>
          <w:rFonts w:ascii="Times New Roman" w:hAnsi="Times New Roman" w:cs="Times New Roman"/>
          <w:sz w:val="24"/>
          <w:szCs w:val="24"/>
        </w:rPr>
        <w:t xml:space="preserve">, która </w:t>
      </w:r>
      <w:r w:rsidR="00E11791">
        <w:rPr>
          <w:rFonts w:ascii="Times New Roman" w:hAnsi="Times New Roman" w:cs="Times New Roman"/>
          <w:sz w:val="24"/>
          <w:szCs w:val="24"/>
        </w:rPr>
        <w:t>uzupełnia</w:t>
      </w:r>
      <w:r w:rsidR="00B179EF">
        <w:rPr>
          <w:rFonts w:ascii="Times New Roman" w:hAnsi="Times New Roman" w:cs="Times New Roman"/>
          <w:sz w:val="24"/>
          <w:szCs w:val="24"/>
        </w:rPr>
        <w:t xml:space="preserve"> to rozporządzenie w zakresie niezbędnym do jego skutecznego </w:t>
      </w:r>
      <w:r w:rsidR="00E11791">
        <w:rPr>
          <w:rFonts w:ascii="Times New Roman" w:hAnsi="Times New Roman" w:cs="Times New Roman"/>
          <w:sz w:val="24"/>
          <w:szCs w:val="24"/>
        </w:rPr>
        <w:t>stosowania w Polsce.</w:t>
      </w:r>
    </w:p>
    <w:p w:rsidR="00E11791" w:rsidRPr="00A70F67" w:rsidRDefault="00E11791" w:rsidP="00742F2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Nowe regulacje</w:t>
      </w:r>
      <w:r w:rsidR="00BA57C5">
        <w:rPr>
          <w:rFonts w:ascii="Times New Roman" w:hAnsi="Times New Roman" w:cs="Times New Roman"/>
          <w:sz w:val="24"/>
          <w:szCs w:val="24"/>
        </w:rPr>
        <w:t xml:space="preserve"> powinny ułatwić obywatelom UE, w tym obywatelom Polski, załatwianie transgranicznych spraw spadkowych.</w:t>
      </w:r>
    </w:p>
    <w:p w:rsidR="00584363" w:rsidRPr="00A70F67" w:rsidRDefault="00584363" w:rsidP="00742F2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0595D" w:rsidRPr="00611474" w:rsidRDefault="00584363" w:rsidP="00742F28">
      <w:pPr>
        <w:pStyle w:val="Akapitzlist"/>
        <w:numPr>
          <w:ilvl w:val="0"/>
          <w:numId w:val="2"/>
        </w:numPr>
        <w:tabs>
          <w:tab w:val="left" w:pos="2880"/>
          <w:tab w:val="left" w:pos="9180"/>
        </w:tabs>
        <w:spacing w:after="0" w:line="360" w:lineRule="auto"/>
        <w:ind w:right="72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A70F6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Zakres terytorialny</w:t>
      </w:r>
      <w:r w:rsidR="00E61BD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,</w:t>
      </w:r>
      <w:r w:rsidR="0061147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="00611474" w:rsidRPr="00611474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 xml:space="preserve">czyli w jakich państwach </w:t>
      </w:r>
      <w:r w:rsidR="00F33B71" w:rsidRPr="00611474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 xml:space="preserve">rozporządzenie będzie </w:t>
      </w:r>
      <w:r w:rsidR="00611474" w:rsidRPr="00611474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 xml:space="preserve">obowiązywać </w:t>
      </w:r>
    </w:p>
    <w:p w:rsidR="00564EF8" w:rsidRPr="00B25389" w:rsidRDefault="00564EF8" w:rsidP="00742F28">
      <w:pPr>
        <w:tabs>
          <w:tab w:val="left" w:pos="2880"/>
          <w:tab w:val="left" w:pos="9180"/>
        </w:tabs>
        <w:spacing w:after="0" w:line="360" w:lineRule="auto"/>
        <w:ind w:right="72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A70F67">
        <w:rPr>
          <w:rFonts w:ascii="Times New Roman" w:hAnsi="Times New Roman" w:cs="Times New Roman"/>
          <w:sz w:val="24"/>
          <w:szCs w:val="24"/>
        </w:rPr>
        <w:t xml:space="preserve">Rozporządzenie </w:t>
      </w:r>
      <w:r w:rsidR="00F57590" w:rsidRPr="00A70F67">
        <w:rPr>
          <w:rFonts w:ascii="Times New Roman" w:hAnsi="Times New Roman" w:cs="Times New Roman"/>
          <w:sz w:val="24"/>
          <w:szCs w:val="24"/>
        </w:rPr>
        <w:t xml:space="preserve">wiąże </w:t>
      </w:r>
      <w:r w:rsidR="008E1EE5" w:rsidRPr="00CC1F58">
        <w:rPr>
          <w:rFonts w:ascii="Times New Roman" w:hAnsi="Times New Roman" w:cs="Times New Roman"/>
          <w:sz w:val="24"/>
          <w:szCs w:val="24"/>
        </w:rPr>
        <w:t>25 państw członkowskich UE</w:t>
      </w:r>
      <w:r w:rsidR="00CC1F58" w:rsidRPr="00CC1F58">
        <w:rPr>
          <w:rFonts w:ascii="Times New Roman" w:hAnsi="Times New Roman" w:cs="Times New Roman"/>
          <w:sz w:val="24"/>
          <w:szCs w:val="24"/>
        </w:rPr>
        <w:t xml:space="preserve">, </w:t>
      </w:r>
      <w:r w:rsidR="00CC1F58">
        <w:rPr>
          <w:rFonts w:ascii="Times New Roman" w:hAnsi="Times New Roman" w:cs="Times New Roman"/>
          <w:sz w:val="24"/>
          <w:szCs w:val="24"/>
        </w:rPr>
        <w:t xml:space="preserve">w tym Polskę, </w:t>
      </w:r>
      <w:r w:rsidR="00CC1F58" w:rsidRPr="00CC1F58">
        <w:rPr>
          <w:rFonts w:ascii="Times New Roman" w:hAnsi="Times New Roman" w:cs="Times New Roman"/>
          <w:sz w:val="24"/>
          <w:szCs w:val="24"/>
        </w:rPr>
        <w:t xml:space="preserve">tzn. </w:t>
      </w:r>
      <w:r w:rsidR="00CC1F58" w:rsidRPr="00B25389">
        <w:rPr>
          <w:rFonts w:ascii="Times New Roman" w:hAnsi="Times New Roman" w:cs="Times New Roman"/>
          <w:sz w:val="24"/>
          <w:szCs w:val="24"/>
        </w:rPr>
        <w:t xml:space="preserve">będzie obowiązywać we </w:t>
      </w:r>
      <w:r w:rsidR="00CC1F58">
        <w:rPr>
          <w:rFonts w:ascii="Times New Roman" w:hAnsi="Times New Roman" w:cs="Times New Roman"/>
          <w:sz w:val="24"/>
          <w:szCs w:val="24"/>
          <w:u w:val="single"/>
        </w:rPr>
        <w:t xml:space="preserve">wszystkich państwach członkowskich za </w:t>
      </w:r>
      <w:r w:rsidR="00CC1F58" w:rsidRPr="00B25389">
        <w:rPr>
          <w:rFonts w:ascii="Times New Roman" w:hAnsi="Times New Roman" w:cs="Times New Roman"/>
          <w:sz w:val="24"/>
          <w:szCs w:val="24"/>
          <w:u w:val="single"/>
        </w:rPr>
        <w:t xml:space="preserve">wyjątkiem </w:t>
      </w:r>
      <w:r w:rsidRPr="00B25389">
        <w:rPr>
          <w:rFonts w:ascii="Times New Roman" w:hAnsi="Times New Roman" w:cs="Times New Roman"/>
          <w:sz w:val="24"/>
          <w:szCs w:val="24"/>
          <w:u w:val="single"/>
        </w:rPr>
        <w:t>Dani</w:t>
      </w:r>
      <w:r w:rsidR="00001D04">
        <w:rPr>
          <w:rFonts w:ascii="Times New Roman" w:hAnsi="Times New Roman" w:cs="Times New Roman"/>
          <w:sz w:val="24"/>
          <w:szCs w:val="24"/>
          <w:u w:val="single"/>
        </w:rPr>
        <w:t>i</w:t>
      </w:r>
      <w:r w:rsidR="000C1C59" w:rsidRPr="00B25389">
        <w:rPr>
          <w:rFonts w:ascii="Times New Roman" w:hAnsi="Times New Roman" w:cs="Times New Roman"/>
          <w:sz w:val="24"/>
          <w:szCs w:val="24"/>
          <w:u w:val="single"/>
        </w:rPr>
        <w:t xml:space="preserve">, </w:t>
      </w:r>
      <w:r w:rsidR="00B25389" w:rsidRPr="00B25389">
        <w:rPr>
          <w:rFonts w:ascii="Times New Roman" w:hAnsi="Times New Roman" w:cs="Times New Roman"/>
          <w:sz w:val="24"/>
          <w:szCs w:val="24"/>
          <w:u w:val="single"/>
        </w:rPr>
        <w:t xml:space="preserve">Irlandii i </w:t>
      </w:r>
      <w:r w:rsidRPr="00B25389">
        <w:rPr>
          <w:rFonts w:ascii="Times New Roman" w:hAnsi="Times New Roman" w:cs="Times New Roman"/>
          <w:sz w:val="24"/>
          <w:szCs w:val="24"/>
          <w:u w:val="single"/>
        </w:rPr>
        <w:t>Wielk</w:t>
      </w:r>
      <w:r w:rsidR="00F57590" w:rsidRPr="00B25389">
        <w:rPr>
          <w:rFonts w:ascii="Times New Roman" w:hAnsi="Times New Roman" w:cs="Times New Roman"/>
          <w:sz w:val="24"/>
          <w:szCs w:val="24"/>
          <w:u w:val="single"/>
        </w:rPr>
        <w:t>iej</w:t>
      </w:r>
      <w:r w:rsidRPr="00B25389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F57590" w:rsidRPr="00B25389">
        <w:rPr>
          <w:rFonts w:ascii="Times New Roman" w:hAnsi="Times New Roman" w:cs="Times New Roman"/>
          <w:sz w:val="24"/>
          <w:szCs w:val="24"/>
          <w:u w:val="single"/>
        </w:rPr>
        <w:t>Brytanii.</w:t>
      </w:r>
    </w:p>
    <w:p w:rsidR="00145BF1" w:rsidRPr="00A70F67" w:rsidRDefault="00145BF1" w:rsidP="00145BF1">
      <w:pPr>
        <w:pStyle w:val="Akapitzlist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145BF1" w:rsidRPr="002557D1" w:rsidRDefault="00145BF1" w:rsidP="002557D1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  <w:r w:rsidRPr="002557D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Zakres przedmiotowy</w:t>
      </w:r>
      <w:r w:rsidR="00E61BD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,</w:t>
      </w:r>
      <w:r w:rsidRPr="002557D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Pr="002557D1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czyli jakich spraw dotyczy rozporządzenie i co reguluje</w:t>
      </w:r>
    </w:p>
    <w:p w:rsidR="00D777FF" w:rsidRPr="00D777FF" w:rsidRDefault="005060C9" w:rsidP="00D777FF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777F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Rozporządzenie </w:t>
      </w:r>
      <w:r w:rsidRPr="00C60C29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dotyczy wszelkich spraw spadkowych</w:t>
      </w:r>
      <w:r w:rsidRPr="00D777F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czyli spraw dotyczących dziedziczenia po osobach zmarłych. </w:t>
      </w:r>
      <w:r w:rsidR="00B41E34" w:rsidRPr="00D777F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Najczęstszymi przykładami takich spraw są </w:t>
      </w:r>
      <w:r w:rsidRPr="00D777F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B41E34" w:rsidRPr="00D777FF">
        <w:rPr>
          <w:rFonts w:ascii="Times New Roman" w:eastAsia="Times New Roman" w:hAnsi="Times New Roman" w:cs="Times New Roman"/>
          <w:sz w:val="24"/>
          <w:szCs w:val="24"/>
          <w:lang w:eastAsia="pl-PL"/>
        </w:rPr>
        <w:t>sprawy o stwierdzenie nabycia spadku ora</w:t>
      </w:r>
      <w:r w:rsidR="00D777FF" w:rsidRPr="00D777FF">
        <w:rPr>
          <w:rFonts w:ascii="Times New Roman" w:eastAsia="Times New Roman" w:hAnsi="Times New Roman" w:cs="Times New Roman"/>
          <w:sz w:val="24"/>
          <w:szCs w:val="24"/>
          <w:lang w:eastAsia="pl-PL"/>
        </w:rPr>
        <w:t>z sprawy o dział spadku.</w:t>
      </w:r>
    </w:p>
    <w:p w:rsidR="00BC1333" w:rsidRDefault="00D777FF" w:rsidP="00D777FF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777F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Rozporządzenie </w:t>
      </w:r>
      <w:r w:rsidRPr="005E5D3C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nie dokonuje harmonizacji </w:t>
      </w:r>
      <w:r w:rsidR="003A6237" w:rsidRPr="005E5D3C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materialnego prawa spadkowego</w:t>
      </w:r>
      <w:r w:rsidR="00923DBC">
        <w:rPr>
          <w:rFonts w:ascii="Times New Roman" w:eastAsia="Times New Roman" w:hAnsi="Times New Roman" w:cs="Times New Roman"/>
          <w:sz w:val="24"/>
          <w:szCs w:val="24"/>
          <w:lang w:eastAsia="pl-PL"/>
        </w:rPr>
        <w:t>, tzn. nie określa</w:t>
      </w:r>
      <w:r w:rsidR="007E162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szczególności</w:t>
      </w:r>
      <w:r w:rsidR="00E61BD3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="007E162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3214F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jakie są podstawy dziedziczenia; </w:t>
      </w:r>
      <w:r w:rsidR="007E1624">
        <w:rPr>
          <w:rFonts w:ascii="Times New Roman" w:eastAsia="Times New Roman" w:hAnsi="Times New Roman" w:cs="Times New Roman"/>
          <w:sz w:val="24"/>
          <w:szCs w:val="24"/>
          <w:lang w:eastAsia="pl-PL"/>
        </w:rPr>
        <w:t>jakie osoby, w jakiej kolejności</w:t>
      </w:r>
      <w:r w:rsidR="003214F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w jakich częściach dziedziczą po zmarłym</w:t>
      </w:r>
      <w:r w:rsidR="00ED5D44">
        <w:rPr>
          <w:rFonts w:ascii="Times New Roman" w:eastAsia="Times New Roman" w:hAnsi="Times New Roman" w:cs="Times New Roman"/>
          <w:sz w:val="24"/>
          <w:szCs w:val="24"/>
          <w:lang w:eastAsia="pl-PL"/>
        </w:rPr>
        <w:t>; na jakich zasadach spadkobierc</w:t>
      </w:r>
      <w:r w:rsidR="00A521A4">
        <w:rPr>
          <w:rFonts w:ascii="Times New Roman" w:eastAsia="Times New Roman" w:hAnsi="Times New Roman" w:cs="Times New Roman"/>
          <w:sz w:val="24"/>
          <w:szCs w:val="24"/>
          <w:lang w:eastAsia="pl-PL"/>
        </w:rPr>
        <w:t>y</w:t>
      </w:r>
      <w:r w:rsidR="00ED5D4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odpowiada</w:t>
      </w:r>
      <w:r w:rsidR="00A521A4">
        <w:rPr>
          <w:rFonts w:ascii="Times New Roman" w:eastAsia="Times New Roman" w:hAnsi="Times New Roman" w:cs="Times New Roman"/>
          <w:sz w:val="24"/>
          <w:szCs w:val="24"/>
          <w:lang w:eastAsia="pl-PL"/>
        </w:rPr>
        <w:t>ją</w:t>
      </w:r>
      <w:r w:rsidR="00ED5D4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 długi spadkowe; </w:t>
      </w:r>
      <w:proofErr w:type="spellStart"/>
      <w:r w:rsidR="00ED5D44">
        <w:rPr>
          <w:rFonts w:ascii="Times New Roman" w:eastAsia="Times New Roman" w:hAnsi="Times New Roman" w:cs="Times New Roman"/>
          <w:sz w:val="24"/>
          <w:szCs w:val="24"/>
          <w:lang w:eastAsia="pl-PL"/>
        </w:rPr>
        <w:t>itp</w:t>
      </w:r>
      <w:proofErr w:type="spellEnd"/>
      <w:r w:rsidR="00ED5D4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itd. </w:t>
      </w:r>
      <w:r w:rsidR="0081770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6243C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Rozporządzenie </w:t>
      </w:r>
      <w:r w:rsidR="006243C2" w:rsidRPr="005E5D3C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nie określa też </w:t>
      </w:r>
      <w:r w:rsidR="006243C2" w:rsidRPr="005E5D3C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lastRenderedPageBreak/>
        <w:t>organów ani procedur</w:t>
      </w:r>
      <w:r w:rsidR="006243C2">
        <w:rPr>
          <w:rFonts w:ascii="Times New Roman" w:eastAsia="Times New Roman" w:hAnsi="Times New Roman" w:cs="Times New Roman"/>
          <w:sz w:val="24"/>
          <w:szCs w:val="24"/>
          <w:lang w:eastAsia="pl-PL"/>
        </w:rPr>
        <w:t>, w których załatwiane są sprawy</w:t>
      </w:r>
      <w:r w:rsidR="00A521A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spadkowe</w:t>
      </w:r>
      <w:r w:rsidR="006243C2">
        <w:rPr>
          <w:rFonts w:ascii="Times New Roman" w:eastAsia="Times New Roman" w:hAnsi="Times New Roman" w:cs="Times New Roman"/>
          <w:sz w:val="24"/>
          <w:szCs w:val="24"/>
          <w:lang w:eastAsia="pl-PL"/>
        </w:rPr>
        <w:t>. Wszystkie te kwestie pozostawione są</w:t>
      </w:r>
      <w:r w:rsidR="00BC133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 regulacji poszczególnym państwom członkowskim.</w:t>
      </w:r>
    </w:p>
    <w:p w:rsidR="00130664" w:rsidRDefault="00A521A4" w:rsidP="008C3EAE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Rozporządzenie re</w:t>
      </w:r>
      <w:r w:rsidR="00D777FF" w:rsidRPr="00D777FF">
        <w:rPr>
          <w:rFonts w:ascii="Times New Roman" w:eastAsia="Times New Roman" w:hAnsi="Times New Roman" w:cs="Times New Roman"/>
          <w:sz w:val="24"/>
          <w:szCs w:val="24"/>
          <w:lang w:eastAsia="pl-PL"/>
        </w:rPr>
        <w:t>guluje natomiast</w:t>
      </w:r>
      <w:r w:rsidR="00777C6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zasady </w:t>
      </w:r>
      <w:r w:rsidR="00777C69" w:rsidRPr="008C3EAE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jurysdykcji</w:t>
      </w:r>
      <w:r w:rsidR="00777C6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sprawach spadkowych, czyli zasady, </w:t>
      </w:r>
      <w:r w:rsidR="008C3EAE">
        <w:rPr>
          <w:rFonts w:ascii="Times New Roman" w:eastAsia="Times New Roman" w:hAnsi="Times New Roman" w:cs="Times New Roman"/>
          <w:sz w:val="24"/>
          <w:szCs w:val="24"/>
          <w:lang w:eastAsia="pl-PL"/>
        </w:rPr>
        <w:t>według</w:t>
      </w:r>
      <w:r w:rsidR="00777C6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których ustala się, sądy którego państwa </w:t>
      </w:r>
      <w:r w:rsidR="00E61C7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członkowskiego Unii Europejskiej </w:t>
      </w:r>
      <w:r w:rsidR="00777C69">
        <w:rPr>
          <w:rFonts w:ascii="Times New Roman" w:eastAsia="Times New Roman" w:hAnsi="Times New Roman" w:cs="Times New Roman"/>
          <w:sz w:val="24"/>
          <w:szCs w:val="24"/>
          <w:lang w:eastAsia="pl-PL"/>
        </w:rPr>
        <w:t>są właściwe do załatwienia danej sprawy</w:t>
      </w:r>
      <w:r w:rsidR="00DF5FC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; zasady ustalania </w:t>
      </w:r>
      <w:r w:rsidR="00DF5FC8" w:rsidRPr="008C3EAE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prawa właściwego</w:t>
      </w:r>
      <w:r w:rsidR="00DF5FC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sprawach spadkowych</w:t>
      </w:r>
      <w:r w:rsidR="008C3EAE">
        <w:rPr>
          <w:rFonts w:ascii="Times New Roman" w:eastAsia="Times New Roman" w:hAnsi="Times New Roman" w:cs="Times New Roman"/>
          <w:sz w:val="24"/>
          <w:szCs w:val="24"/>
          <w:lang w:eastAsia="pl-PL"/>
        </w:rPr>
        <w:t>, czyli zasady</w:t>
      </w:r>
      <w:r w:rsidR="00E44819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="00777C6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8C3EAE" w:rsidRPr="008C3EA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podstawie których ustala się, </w:t>
      </w:r>
      <w:r w:rsidR="008C3EA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prawo którego </w:t>
      </w:r>
      <w:r w:rsidR="008C3EAE" w:rsidRPr="008C3EA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państwa </w:t>
      </w:r>
      <w:r w:rsidR="00CB1A7D">
        <w:rPr>
          <w:rFonts w:ascii="Times New Roman" w:eastAsia="Times New Roman" w:hAnsi="Times New Roman" w:cs="Times New Roman"/>
          <w:sz w:val="24"/>
          <w:szCs w:val="24"/>
          <w:lang w:eastAsia="pl-PL"/>
        </w:rPr>
        <w:t>należy stosować</w:t>
      </w:r>
      <w:r w:rsidR="008C3EAE" w:rsidRPr="008C3EA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CB1A7D">
        <w:rPr>
          <w:rFonts w:ascii="Times New Roman" w:eastAsia="Times New Roman" w:hAnsi="Times New Roman" w:cs="Times New Roman"/>
          <w:sz w:val="24"/>
          <w:szCs w:val="24"/>
          <w:lang w:eastAsia="pl-PL"/>
        </w:rPr>
        <w:t>w</w:t>
      </w:r>
      <w:r w:rsidR="008C3EAE" w:rsidRPr="008C3EA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danej spraw</w:t>
      </w:r>
      <w:r w:rsidR="00CB1A7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ie; zasady </w:t>
      </w:r>
      <w:r w:rsidR="00CB1A7D" w:rsidRPr="00CB1A7D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uznawania i stwierdzania wykonalności orzeczeń</w:t>
      </w:r>
      <w:r w:rsidR="00CB1A7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sprawach spadkowych, czyli </w:t>
      </w:r>
      <w:r w:rsidR="00080B6F">
        <w:rPr>
          <w:rFonts w:ascii="Times New Roman" w:eastAsia="Times New Roman" w:hAnsi="Times New Roman" w:cs="Times New Roman"/>
          <w:sz w:val="24"/>
          <w:szCs w:val="24"/>
          <w:lang w:eastAsia="pl-PL"/>
        </w:rPr>
        <w:t>warunki</w:t>
      </w:r>
      <w:r w:rsidR="00C03F4B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="007F4DE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C50308">
        <w:rPr>
          <w:rFonts w:ascii="Times New Roman" w:eastAsia="Times New Roman" w:hAnsi="Times New Roman" w:cs="Times New Roman"/>
          <w:sz w:val="24"/>
          <w:szCs w:val="24"/>
          <w:lang w:eastAsia="pl-PL"/>
        </w:rPr>
        <w:t>od których spełnieni</w:t>
      </w:r>
      <w:r w:rsidR="00080B6F"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r w:rsidR="00C5030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zależy</w:t>
      </w:r>
      <w:r w:rsidR="00E61BD3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="00C5030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czy orzeczenie w sprawie spadkowej wydane w jednym państwie</w:t>
      </w:r>
      <w:r w:rsidR="00080B6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będzie rodziło skutki także w innym państwie. </w:t>
      </w:r>
      <w:r w:rsidR="00080B6F" w:rsidRPr="00130664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Kwestie te, wbrew pozorom, </w:t>
      </w:r>
      <w:r w:rsidR="00183841" w:rsidRPr="00130664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mogą okazać się niezwykle istotne dla ostatecznego wyniku danej spawy spadkowej</w:t>
      </w:r>
      <w:r w:rsidR="0018384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</w:p>
    <w:p w:rsidR="00130664" w:rsidRDefault="00130664" w:rsidP="008C3EAE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Nadto rozporządzenie wprowadza nowy dokument ułatwiający </w:t>
      </w:r>
      <w:r w:rsidR="005E5D3C">
        <w:rPr>
          <w:rFonts w:ascii="Times New Roman" w:eastAsia="Times New Roman" w:hAnsi="Times New Roman" w:cs="Times New Roman"/>
          <w:sz w:val="24"/>
          <w:szCs w:val="24"/>
          <w:lang w:eastAsia="pl-PL"/>
        </w:rPr>
        <w:t>wykazywanie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praw do </w:t>
      </w:r>
      <w:r w:rsidR="005E5D3C">
        <w:rPr>
          <w:rFonts w:ascii="Times New Roman" w:eastAsia="Times New Roman" w:hAnsi="Times New Roman" w:cs="Times New Roman"/>
          <w:sz w:val="24"/>
          <w:szCs w:val="24"/>
          <w:lang w:eastAsia="pl-PL"/>
        </w:rPr>
        <w:t>spadku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innych państwach </w:t>
      </w:r>
      <w:r w:rsidR="005E5D3C">
        <w:rPr>
          <w:rFonts w:ascii="Times New Roman" w:eastAsia="Times New Roman" w:hAnsi="Times New Roman" w:cs="Times New Roman"/>
          <w:sz w:val="24"/>
          <w:szCs w:val="24"/>
          <w:lang w:eastAsia="pl-PL"/>
        </w:rPr>
        <w:t>członkowskich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E4481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Unii Europejskiej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postaci tzw. </w:t>
      </w:r>
      <w:r w:rsidR="005E5D3C" w:rsidRPr="005E5D3C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e</w:t>
      </w:r>
      <w:r w:rsidRPr="005E5D3C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uropejskiego </w:t>
      </w:r>
      <w:r w:rsidR="005E5D3C" w:rsidRPr="005E5D3C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poświadczenia</w:t>
      </w:r>
      <w:r w:rsidRPr="005E5D3C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 spadkowego</w:t>
      </w:r>
      <w:r w:rsidR="005E5D3C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2557D1" w:rsidRDefault="002557D1" w:rsidP="00742F2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557D1" w:rsidRPr="002557D1" w:rsidRDefault="002557D1" w:rsidP="002557D1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2557D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Zakres </w:t>
      </w:r>
      <w:r w:rsidR="002A5BA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czasowy</w:t>
      </w:r>
      <w:r w:rsidR="00E61BD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,</w:t>
      </w:r>
      <w:r w:rsidR="002A5BA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="009D34E0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czyli</w:t>
      </w:r>
      <w:r w:rsidR="00DA6771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 xml:space="preserve"> do których spraw spadkowych stosuje się rozporządzenie, biorąc pod uwagę datę śmierci spadkodawcy</w:t>
      </w:r>
    </w:p>
    <w:p w:rsidR="002A5BAA" w:rsidRDefault="002A5BAA" w:rsidP="002A5BA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A5BA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Rozporządzenie stosuje się </w:t>
      </w:r>
      <w:r w:rsidR="00DA677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zasadniczo </w:t>
      </w:r>
      <w:r w:rsidRPr="002A5BA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 </w:t>
      </w:r>
      <w:r w:rsidR="003723B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spraw spadkowych po </w:t>
      </w:r>
      <w:r w:rsidRPr="002A5BA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osobach, które </w:t>
      </w:r>
      <w:r w:rsidR="003723B3" w:rsidRPr="00771607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umrą</w:t>
      </w:r>
      <w:r w:rsidRPr="00771607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 w dniu lub po dniu 17 sierpnia 2015 r.</w:t>
      </w:r>
      <w:r w:rsidRPr="002A5BA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771607">
        <w:rPr>
          <w:rFonts w:ascii="Times New Roman" w:eastAsia="Times New Roman" w:hAnsi="Times New Roman" w:cs="Times New Roman"/>
          <w:sz w:val="24"/>
          <w:szCs w:val="24"/>
          <w:lang w:eastAsia="pl-PL"/>
        </w:rPr>
        <w:t>Do spraw spadkowych po osobach zm</w:t>
      </w:r>
      <w:r w:rsidR="001338E8"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r w:rsidR="0077160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rłych przed tą datą, </w:t>
      </w:r>
      <w:r w:rsidR="00BF308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kwestiach objętych rozporządzeniem</w:t>
      </w:r>
      <w:r w:rsidR="00C5610D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="00BF308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77160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dalszym ciągu stosować się </w:t>
      </w:r>
      <w:r w:rsidR="001338E8">
        <w:rPr>
          <w:rFonts w:ascii="Times New Roman" w:eastAsia="Times New Roman" w:hAnsi="Times New Roman" w:cs="Times New Roman"/>
          <w:sz w:val="24"/>
          <w:szCs w:val="24"/>
          <w:lang w:eastAsia="pl-PL"/>
        </w:rPr>
        <w:t>będą przepisy dotychczasowe, tj</w:t>
      </w:r>
      <w:r w:rsidR="00BF308B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F7114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1338E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przede wszystkim przepisy ustawy – Kodeks postępowania cywilnego (Księga czwarta – </w:t>
      </w:r>
      <w:r w:rsidR="00012B98">
        <w:rPr>
          <w:rFonts w:ascii="Times New Roman" w:eastAsia="Times New Roman" w:hAnsi="Times New Roman" w:cs="Times New Roman"/>
          <w:sz w:val="24"/>
          <w:szCs w:val="24"/>
          <w:lang w:eastAsia="pl-PL"/>
        </w:rPr>
        <w:t>Przepisy z zakresu m</w:t>
      </w:r>
      <w:r w:rsidR="001338E8">
        <w:rPr>
          <w:rFonts w:ascii="Times New Roman" w:eastAsia="Times New Roman" w:hAnsi="Times New Roman" w:cs="Times New Roman"/>
          <w:sz w:val="24"/>
          <w:szCs w:val="24"/>
          <w:lang w:eastAsia="pl-PL"/>
        </w:rPr>
        <w:t>iędzynarodowe</w:t>
      </w:r>
      <w:r w:rsidR="00012B98">
        <w:rPr>
          <w:rFonts w:ascii="Times New Roman" w:eastAsia="Times New Roman" w:hAnsi="Times New Roman" w:cs="Times New Roman"/>
          <w:sz w:val="24"/>
          <w:szCs w:val="24"/>
          <w:lang w:eastAsia="pl-PL"/>
        </w:rPr>
        <w:t>go postępowania</w:t>
      </w:r>
      <w:r w:rsidR="001338E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cywilne</w:t>
      </w:r>
      <w:r w:rsidR="00012B98">
        <w:rPr>
          <w:rFonts w:ascii="Times New Roman" w:eastAsia="Times New Roman" w:hAnsi="Times New Roman" w:cs="Times New Roman"/>
          <w:sz w:val="24"/>
          <w:szCs w:val="24"/>
          <w:lang w:eastAsia="pl-PL"/>
        </w:rPr>
        <w:t>go</w:t>
      </w:r>
      <w:r w:rsidR="001338E8">
        <w:rPr>
          <w:rFonts w:ascii="Times New Roman" w:eastAsia="Times New Roman" w:hAnsi="Times New Roman" w:cs="Times New Roman"/>
          <w:sz w:val="24"/>
          <w:szCs w:val="24"/>
          <w:lang w:eastAsia="pl-PL"/>
        </w:rPr>
        <w:t>) oraz ustaw</w:t>
      </w:r>
      <w:r w:rsidR="00BF308B">
        <w:rPr>
          <w:rFonts w:ascii="Times New Roman" w:eastAsia="Times New Roman" w:hAnsi="Times New Roman" w:cs="Times New Roman"/>
          <w:sz w:val="24"/>
          <w:szCs w:val="24"/>
          <w:lang w:eastAsia="pl-PL"/>
        </w:rPr>
        <w:t>y</w:t>
      </w:r>
      <w:r w:rsidR="001338E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dnia </w:t>
      </w:r>
      <w:r w:rsidR="00F7114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4 lutego 2011 r. </w:t>
      </w:r>
      <w:r w:rsidR="001338E8">
        <w:rPr>
          <w:rFonts w:ascii="Times New Roman" w:eastAsia="Times New Roman" w:hAnsi="Times New Roman" w:cs="Times New Roman"/>
          <w:sz w:val="24"/>
          <w:szCs w:val="24"/>
          <w:lang w:eastAsia="pl-PL"/>
        </w:rPr>
        <w:t>– Prawo prywatne międzynarodowe</w:t>
      </w:r>
      <w:r w:rsidR="009D34E0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2A5BAA" w:rsidRPr="002A5BAA" w:rsidRDefault="002A5BAA" w:rsidP="002A5BA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12FB0" w:rsidRPr="00112FB0" w:rsidRDefault="00112FB0" w:rsidP="00A4798F">
      <w:pPr>
        <w:pStyle w:val="Akapitzlist"/>
        <w:numPr>
          <w:ilvl w:val="0"/>
          <w:numId w:val="2"/>
        </w:numPr>
        <w:tabs>
          <w:tab w:val="left" w:pos="9180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112FB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Podstawowe</w:t>
      </w:r>
      <w:r w:rsidR="00A4798F" w:rsidRPr="00112FB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cele i zasady</w:t>
      </w:r>
    </w:p>
    <w:p w:rsidR="00DA65DC" w:rsidRDefault="00DA65DC" w:rsidP="00112FB0">
      <w:pPr>
        <w:tabs>
          <w:tab w:val="left" w:pos="918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Rozporządzenie ma przede wszystkim na celu: </w:t>
      </w:r>
    </w:p>
    <w:p w:rsidR="00A03D2E" w:rsidRDefault="00DA65DC" w:rsidP="00A03D2E">
      <w:pPr>
        <w:pStyle w:val="Akapitzlist"/>
        <w:numPr>
          <w:ilvl w:val="0"/>
          <w:numId w:val="7"/>
        </w:numPr>
        <w:tabs>
          <w:tab w:val="left" w:pos="918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03D2E">
        <w:rPr>
          <w:rFonts w:ascii="Times New Roman" w:eastAsia="Times New Roman" w:hAnsi="Times New Roman" w:cs="Times New Roman"/>
          <w:sz w:val="24"/>
          <w:szCs w:val="24"/>
          <w:lang w:eastAsia="pl-PL"/>
        </w:rPr>
        <w:t>zwiększenie pewności</w:t>
      </w:r>
      <w:r w:rsidR="0064799E" w:rsidRPr="00A03D2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praw</w:t>
      </w:r>
      <w:r w:rsidR="00966E88"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r w:rsidR="00526F58" w:rsidRPr="00A03D2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</w:t>
      </w:r>
      <w:r w:rsidR="0064799E" w:rsidRPr="00A03D2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przewidywalności rozstrzygnięć </w:t>
      </w:r>
      <w:r w:rsidR="00966E8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sądowych </w:t>
      </w:r>
      <w:r w:rsidR="0064799E" w:rsidRPr="00A03D2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</w:t>
      </w:r>
      <w:r w:rsidR="00526F58" w:rsidRPr="00A03D2E">
        <w:rPr>
          <w:rFonts w:ascii="Times New Roman" w:eastAsia="Times New Roman" w:hAnsi="Times New Roman" w:cs="Times New Roman"/>
          <w:sz w:val="24"/>
          <w:szCs w:val="24"/>
          <w:lang w:eastAsia="pl-PL"/>
        </w:rPr>
        <w:t>transgranicznych</w:t>
      </w:r>
      <w:r w:rsidR="0064799E" w:rsidRPr="00A03D2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526F58" w:rsidRPr="00A03D2E">
        <w:rPr>
          <w:rFonts w:ascii="Times New Roman" w:eastAsia="Times New Roman" w:hAnsi="Times New Roman" w:cs="Times New Roman"/>
          <w:sz w:val="24"/>
          <w:szCs w:val="24"/>
          <w:lang w:eastAsia="pl-PL"/>
        </w:rPr>
        <w:t>sprawach s</w:t>
      </w:r>
      <w:r w:rsidR="0064799E" w:rsidRPr="00A03D2E">
        <w:rPr>
          <w:rFonts w:ascii="Times New Roman" w:eastAsia="Times New Roman" w:hAnsi="Times New Roman" w:cs="Times New Roman"/>
          <w:sz w:val="24"/>
          <w:szCs w:val="24"/>
          <w:lang w:eastAsia="pl-PL"/>
        </w:rPr>
        <w:t>p</w:t>
      </w:r>
      <w:r w:rsidR="00526F58" w:rsidRPr="00A03D2E"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r w:rsidR="0064799E" w:rsidRPr="00A03D2E">
        <w:rPr>
          <w:rFonts w:ascii="Times New Roman" w:eastAsia="Times New Roman" w:hAnsi="Times New Roman" w:cs="Times New Roman"/>
          <w:sz w:val="24"/>
          <w:szCs w:val="24"/>
          <w:lang w:eastAsia="pl-PL"/>
        </w:rPr>
        <w:t>dkowych</w:t>
      </w:r>
      <w:r w:rsidR="00966E8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co jest szczególnie </w:t>
      </w:r>
      <w:r w:rsidR="000337FB">
        <w:rPr>
          <w:rFonts w:ascii="Times New Roman" w:eastAsia="Times New Roman" w:hAnsi="Times New Roman" w:cs="Times New Roman"/>
          <w:sz w:val="24"/>
          <w:szCs w:val="24"/>
          <w:lang w:eastAsia="pl-PL"/>
        </w:rPr>
        <w:t>istotne</w:t>
      </w:r>
      <w:r w:rsidR="00966E8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0337FB">
        <w:rPr>
          <w:rFonts w:ascii="Times New Roman" w:eastAsia="Times New Roman" w:hAnsi="Times New Roman" w:cs="Times New Roman"/>
          <w:sz w:val="24"/>
          <w:szCs w:val="24"/>
          <w:lang w:eastAsia="pl-PL"/>
        </w:rPr>
        <w:t>z perspektywy</w:t>
      </w:r>
      <w:r w:rsidR="00966E8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680DF6">
        <w:rPr>
          <w:rFonts w:ascii="Times New Roman" w:eastAsia="Times New Roman" w:hAnsi="Times New Roman" w:cs="Times New Roman"/>
          <w:sz w:val="24"/>
          <w:szCs w:val="24"/>
          <w:lang w:eastAsia="pl-PL"/>
        </w:rPr>
        <w:t>spadkodawców</w:t>
      </w:r>
      <w:r w:rsidR="00966E88">
        <w:rPr>
          <w:rFonts w:ascii="Times New Roman" w:eastAsia="Times New Roman" w:hAnsi="Times New Roman" w:cs="Times New Roman"/>
          <w:sz w:val="24"/>
          <w:szCs w:val="24"/>
          <w:lang w:eastAsia="pl-PL"/>
        </w:rPr>
        <w:t>, któr</w:t>
      </w:r>
      <w:r w:rsidR="00680DF6">
        <w:rPr>
          <w:rFonts w:ascii="Times New Roman" w:eastAsia="Times New Roman" w:hAnsi="Times New Roman" w:cs="Times New Roman"/>
          <w:sz w:val="24"/>
          <w:szCs w:val="24"/>
          <w:lang w:eastAsia="pl-PL"/>
        </w:rPr>
        <w:t>zy</w:t>
      </w:r>
      <w:r w:rsidR="00966E8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chcą </w:t>
      </w:r>
      <w:r w:rsidR="00680DF6">
        <w:rPr>
          <w:rFonts w:ascii="Times New Roman" w:eastAsia="Times New Roman" w:hAnsi="Times New Roman" w:cs="Times New Roman"/>
          <w:sz w:val="24"/>
          <w:szCs w:val="24"/>
          <w:lang w:eastAsia="pl-PL"/>
        </w:rPr>
        <w:t>„</w:t>
      </w:r>
      <w:r w:rsidR="000337FB">
        <w:rPr>
          <w:rFonts w:ascii="Times New Roman" w:eastAsia="Times New Roman" w:hAnsi="Times New Roman" w:cs="Times New Roman"/>
          <w:sz w:val="24"/>
          <w:szCs w:val="24"/>
          <w:lang w:eastAsia="pl-PL"/>
        </w:rPr>
        <w:t>zaplanować</w:t>
      </w:r>
      <w:r w:rsidR="00680DF6">
        <w:rPr>
          <w:rFonts w:ascii="Times New Roman" w:eastAsia="Times New Roman" w:hAnsi="Times New Roman" w:cs="Times New Roman"/>
          <w:sz w:val="24"/>
          <w:szCs w:val="24"/>
          <w:lang w:eastAsia="pl-PL"/>
        </w:rPr>
        <w:t>”</w:t>
      </w:r>
      <w:r w:rsidR="000337F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dziedziczenie po </w:t>
      </w:r>
      <w:r w:rsidR="00680DF6">
        <w:rPr>
          <w:rFonts w:ascii="Times New Roman" w:eastAsia="Times New Roman" w:hAnsi="Times New Roman" w:cs="Times New Roman"/>
          <w:sz w:val="24"/>
          <w:szCs w:val="24"/>
          <w:lang w:eastAsia="pl-PL"/>
        </w:rPr>
        <w:t>sobie</w:t>
      </w:r>
      <w:r w:rsidR="000337FB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:rsidR="000337FB" w:rsidRPr="00A03D2E" w:rsidRDefault="00CE7EB9" w:rsidP="00CE7EB9">
      <w:pPr>
        <w:pStyle w:val="Akapitzlist"/>
        <w:numPr>
          <w:ilvl w:val="0"/>
          <w:numId w:val="7"/>
        </w:numPr>
        <w:tabs>
          <w:tab w:val="left" w:pos="918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uproszczenie i ułatwienie załatwiania transgranicznych spraw spadkowych, w tym wykazywania </w:t>
      </w:r>
      <w:r w:rsidR="00680DF6">
        <w:rPr>
          <w:rFonts w:ascii="Times New Roman" w:eastAsia="Times New Roman" w:hAnsi="Times New Roman" w:cs="Times New Roman"/>
          <w:sz w:val="24"/>
          <w:szCs w:val="24"/>
          <w:lang w:eastAsia="pl-PL"/>
        </w:rPr>
        <w:t>praw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 spadku, </w:t>
      </w:r>
      <w:r w:rsidRPr="00CE7EB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co jest szczególnie istotne z perspektywy </w:t>
      </w:r>
      <w:r w:rsidR="00680DF6">
        <w:rPr>
          <w:rFonts w:ascii="Times New Roman" w:eastAsia="Times New Roman" w:hAnsi="Times New Roman" w:cs="Times New Roman"/>
          <w:sz w:val="24"/>
          <w:szCs w:val="24"/>
          <w:lang w:eastAsia="pl-PL"/>
        </w:rPr>
        <w:t>spadkobierców.</w:t>
      </w:r>
    </w:p>
    <w:p w:rsidR="003A4356" w:rsidRDefault="003A4356" w:rsidP="00112FB0">
      <w:pPr>
        <w:tabs>
          <w:tab w:val="left" w:pos="918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Realizacji tych celów ma służyć przede wszystkim:</w:t>
      </w:r>
    </w:p>
    <w:p w:rsidR="00666753" w:rsidRDefault="003A4356" w:rsidP="003A4356">
      <w:pPr>
        <w:pStyle w:val="Akapitzlist"/>
        <w:numPr>
          <w:ilvl w:val="0"/>
          <w:numId w:val="8"/>
        </w:numPr>
        <w:tabs>
          <w:tab w:val="left" w:pos="918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przyjęcie wspólnych dla wszystkich państw członkowskich</w:t>
      </w:r>
      <w:r w:rsidR="00FB2A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Unii Europejskiej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 w:rsidR="0002587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których </w:t>
      </w:r>
      <w:r w:rsidR="0044497C">
        <w:rPr>
          <w:rFonts w:ascii="Times New Roman" w:eastAsia="Times New Roman" w:hAnsi="Times New Roman" w:cs="Times New Roman"/>
          <w:sz w:val="24"/>
          <w:szCs w:val="24"/>
          <w:lang w:eastAsia="pl-PL"/>
        </w:rPr>
        <w:t>będzie obowiązywać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rozporządzenie, </w:t>
      </w:r>
      <w:r w:rsidR="00666753">
        <w:rPr>
          <w:rFonts w:ascii="Times New Roman" w:eastAsia="Times New Roman" w:hAnsi="Times New Roman" w:cs="Times New Roman"/>
          <w:sz w:val="24"/>
          <w:szCs w:val="24"/>
          <w:lang w:eastAsia="pl-PL"/>
        </w:rPr>
        <w:t>zasad dotyczących jurysdykcji, prawa właściwego oraz uznawania i stw</w:t>
      </w:r>
      <w:r w:rsidR="00494194">
        <w:rPr>
          <w:rFonts w:ascii="Times New Roman" w:eastAsia="Times New Roman" w:hAnsi="Times New Roman" w:cs="Times New Roman"/>
          <w:sz w:val="24"/>
          <w:szCs w:val="24"/>
          <w:lang w:eastAsia="pl-PL"/>
        </w:rPr>
        <w:t>ierdzania wykonalności orzeczeń. D</w:t>
      </w:r>
      <w:r w:rsidR="0002587E">
        <w:rPr>
          <w:rFonts w:ascii="Times New Roman" w:eastAsia="Times New Roman" w:hAnsi="Times New Roman" w:cs="Times New Roman"/>
          <w:sz w:val="24"/>
          <w:szCs w:val="24"/>
          <w:lang w:eastAsia="pl-PL"/>
        </w:rPr>
        <w:t>zięki temu istotnie ograniczy się</w:t>
      </w:r>
      <w:r w:rsidR="000D6E1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spory</w:t>
      </w:r>
      <w:r w:rsidR="0002587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wynikające z dotychczasowych różnic w prawie poszczególnych państw </w:t>
      </w:r>
      <w:r w:rsidR="007F2919">
        <w:rPr>
          <w:rFonts w:ascii="Times New Roman" w:eastAsia="Times New Roman" w:hAnsi="Times New Roman" w:cs="Times New Roman"/>
          <w:sz w:val="24"/>
          <w:szCs w:val="24"/>
          <w:lang w:eastAsia="pl-PL"/>
        </w:rPr>
        <w:t>członkowskich, dotyczące tego, w którym państwie powinna być rozstrzygana</w:t>
      </w:r>
      <w:r w:rsidR="008A6AA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dana sprawa spadkowa i</w:t>
      </w:r>
      <w:r w:rsidR="003807F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oparciu o jakie prawo</w:t>
      </w:r>
      <w:r w:rsidR="007F291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8A6AA0">
        <w:rPr>
          <w:rFonts w:ascii="Times New Roman" w:eastAsia="Times New Roman" w:hAnsi="Times New Roman" w:cs="Times New Roman"/>
          <w:sz w:val="24"/>
          <w:szCs w:val="24"/>
          <w:lang w:eastAsia="pl-PL"/>
        </w:rPr>
        <w:t>oraz</w:t>
      </w:r>
      <w:r w:rsidR="000D6E1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ułatwi posługiwanie się orzeczeniem w sprawie spadkowej wydan</w:t>
      </w:r>
      <w:r w:rsidR="000A1B35">
        <w:rPr>
          <w:rFonts w:ascii="Times New Roman" w:eastAsia="Times New Roman" w:hAnsi="Times New Roman" w:cs="Times New Roman"/>
          <w:sz w:val="24"/>
          <w:szCs w:val="24"/>
          <w:lang w:eastAsia="pl-PL"/>
        </w:rPr>
        <w:t>ym</w:t>
      </w:r>
      <w:r w:rsidR="000D6E1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jednym państwie członkowskim </w:t>
      </w:r>
      <w:r w:rsidR="000A1B3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Unii Europejskiej </w:t>
      </w:r>
      <w:r w:rsidR="000D6E1C">
        <w:rPr>
          <w:rFonts w:ascii="Times New Roman" w:eastAsia="Times New Roman" w:hAnsi="Times New Roman" w:cs="Times New Roman"/>
          <w:sz w:val="24"/>
          <w:szCs w:val="24"/>
          <w:lang w:eastAsia="pl-PL"/>
        </w:rPr>
        <w:t>w innych państwach członkowskich</w:t>
      </w:r>
      <w:r w:rsidR="00687A84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:rsidR="001437C8" w:rsidRDefault="007E70A5" w:rsidP="003A4356">
      <w:pPr>
        <w:pStyle w:val="Akapitzlist"/>
        <w:numPr>
          <w:ilvl w:val="0"/>
          <w:numId w:val="8"/>
        </w:numPr>
        <w:tabs>
          <w:tab w:val="left" w:pos="918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przyjęcie </w:t>
      </w:r>
      <w:r w:rsidR="00E61B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zasady: </w:t>
      </w:r>
      <w:r w:rsidR="00E61BD3" w:rsidRPr="00A20DF7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jeden spadek – jeden sąd – jedno prawo</w:t>
      </w:r>
      <w:r w:rsidR="00E61B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jako kierunkowego założenia </w:t>
      </w:r>
      <w:r w:rsidR="00687A84">
        <w:rPr>
          <w:rFonts w:ascii="Times New Roman" w:eastAsia="Times New Roman" w:hAnsi="Times New Roman" w:cs="Times New Roman"/>
          <w:sz w:val="24"/>
          <w:szCs w:val="24"/>
          <w:lang w:eastAsia="pl-PL"/>
        </w:rPr>
        <w:t>dla załatwiania transgranicznych spraw spadkowych</w:t>
      </w:r>
      <w:r w:rsidR="0094713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Chodzi o to, aby wszystkie kwestie dotyczące </w:t>
      </w:r>
      <w:r w:rsidR="00770BC1">
        <w:rPr>
          <w:rFonts w:ascii="Times New Roman" w:eastAsia="Times New Roman" w:hAnsi="Times New Roman" w:cs="Times New Roman"/>
          <w:sz w:val="24"/>
          <w:szCs w:val="24"/>
          <w:lang w:eastAsia="pl-PL"/>
        </w:rPr>
        <w:t>całego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spadku</w:t>
      </w:r>
      <w:r w:rsidR="005629E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 danej osobie</w:t>
      </w:r>
      <w:r w:rsidR="00770BC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tj. wszystkich jego składników </w:t>
      </w:r>
      <w:r w:rsidR="00C249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majątkowych, </w:t>
      </w:r>
      <w:r w:rsidR="00770BC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niezależnie od tego, w jakim państwie się </w:t>
      </w:r>
      <w:r w:rsidR="00C249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one </w:t>
      </w:r>
      <w:r w:rsidR="00770BC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znajdują, były rozstrzygane przez sądy </w:t>
      </w:r>
      <w:r w:rsidR="00DF375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tylko </w:t>
      </w:r>
      <w:r w:rsidR="005629E2">
        <w:rPr>
          <w:rFonts w:ascii="Times New Roman" w:eastAsia="Times New Roman" w:hAnsi="Times New Roman" w:cs="Times New Roman"/>
          <w:sz w:val="24"/>
          <w:szCs w:val="24"/>
          <w:lang w:eastAsia="pl-PL"/>
        </w:rPr>
        <w:t>jednego państwa</w:t>
      </w:r>
      <w:r w:rsidR="0049419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członkowskiego</w:t>
      </w:r>
      <w:r w:rsidR="005629E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 w:rsidR="00DF375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oparciu o przepisy tylko jednego </w:t>
      </w:r>
      <w:r w:rsidR="0078163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prawa </w:t>
      </w:r>
      <w:r w:rsidR="00D448F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– </w:t>
      </w:r>
      <w:r w:rsidR="0078163B">
        <w:rPr>
          <w:rFonts w:ascii="Times New Roman" w:eastAsia="Times New Roman" w:hAnsi="Times New Roman" w:cs="Times New Roman"/>
          <w:sz w:val="24"/>
          <w:szCs w:val="24"/>
          <w:lang w:eastAsia="pl-PL"/>
        </w:rPr>
        <w:t>najlepiej tego, które obowiązuje w państwie</w:t>
      </w:r>
      <w:r w:rsidR="00D448F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są</w:t>
      </w:r>
      <w:r w:rsidR="0078163B">
        <w:rPr>
          <w:rFonts w:ascii="Times New Roman" w:eastAsia="Times New Roman" w:hAnsi="Times New Roman" w:cs="Times New Roman"/>
          <w:sz w:val="24"/>
          <w:szCs w:val="24"/>
          <w:lang w:eastAsia="pl-PL"/>
        </w:rPr>
        <w:t>du</w:t>
      </w:r>
      <w:r w:rsidR="00C249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  <w:r w:rsidR="00494194">
        <w:rPr>
          <w:rFonts w:ascii="Times New Roman" w:eastAsia="Times New Roman" w:hAnsi="Times New Roman" w:cs="Times New Roman"/>
          <w:sz w:val="24"/>
          <w:szCs w:val="24"/>
          <w:lang w:eastAsia="pl-PL"/>
        </w:rPr>
        <w:t>W ten sposób</w:t>
      </w:r>
      <w:r w:rsidR="00617E9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uniknie się konieczności prowadzenia postępowań w kilku państwach</w:t>
      </w:r>
      <w:r w:rsidR="000A1B3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członkowskich Unii Europejskiej</w:t>
      </w:r>
      <w:r w:rsidR="001437C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 w:rsidR="00E2644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przy zastosowaniu przepisów prawnych różnych państw, </w:t>
      </w:r>
      <w:r w:rsidR="001437C8">
        <w:rPr>
          <w:rFonts w:ascii="Times New Roman" w:eastAsia="Times New Roman" w:hAnsi="Times New Roman" w:cs="Times New Roman"/>
          <w:sz w:val="24"/>
          <w:szCs w:val="24"/>
          <w:lang w:eastAsia="pl-PL"/>
        </w:rPr>
        <w:t>co pozwoli zaoszczędzić czas i obniży koszty.</w:t>
      </w:r>
    </w:p>
    <w:p w:rsidR="002F7AE7" w:rsidRPr="00A70F67" w:rsidRDefault="002F7AE7" w:rsidP="00742F28">
      <w:pPr>
        <w:pStyle w:val="Akapitzlist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584363" w:rsidRDefault="00342D56" w:rsidP="00742F28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</w:t>
      </w:r>
      <w:r w:rsidR="00584363" w:rsidRPr="00A70F6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odstawow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e</w:t>
      </w:r>
      <w:r w:rsidR="00584363" w:rsidRPr="00A70F6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poję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cia</w:t>
      </w:r>
    </w:p>
    <w:p w:rsidR="00013A38" w:rsidRPr="00013A38" w:rsidRDefault="00013A38" w:rsidP="00742F2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B96D1C" w:rsidRPr="00571E32" w:rsidRDefault="00B96D1C" w:rsidP="006674D3">
      <w:pPr>
        <w:pStyle w:val="Akapitzlist"/>
        <w:numPr>
          <w:ilvl w:val="0"/>
          <w:numId w:val="4"/>
        </w:numPr>
        <w:tabs>
          <w:tab w:val="left" w:pos="9072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96D1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Transgraniczna sprawa spadkowa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="00F367F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– </w:t>
      </w:r>
      <w:r w:rsidR="00571E32" w:rsidRPr="00E6768B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sprawa spadkowa</w:t>
      </w:r>
      <w:r w:rsidR="00571E3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</w:t>
      </w:r>
      <w:r w:rsidR="00F367F3" w:rsidRPr="00571E32">
        <w:rPr>
          <w:rFonts w:ascii="Times New Roman" w:eastAsia="Times New Roman" w:hAnsi="Times New Roman" w:cs="Times New Roman"/>
          <w:sz w:val="24"/>
          <w:szCs w:val="24"/>
          <w:lang w:eastAsia="pl-PL"/>
        </w:rPr>
        <w:t>np. s</w:t>
      </w:r>
      <w:r w:rsidR="00571E32">
        <w:rPr>
          <w:rFonts w:ascii="Times New Roman" w:eastAsia="Times New Roman" w:hAnsi="Times New Roman" w:cs="Times New Roman"/>
          <w:sz w:val="24"/>
          <w:szCs w:val="24"/>
          <w:lang w:eastAsia="pl-PL"/>
        </w:rPr>
        <w:t>p</w:t>
      </w:r>
      <w:r w:rsidR="00F367F3" w:rsidRPr="00571E3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rawa </w:t>
      </w:r>
      <w:r w:rsidR="00571E32">
        <w:rPr>
          <w:rFonts w:ascii="Times New Roman" w:eastAsia="Times New Roman" w:hAnsi="Times New Roman" w:cs="Times New Roman"/>
          <w:sz w:val="24"/>
          <w:szCs w:val="24"/>
          <w:lang w:eastAsia="pl-PL"/>
        </w:rPr>
        <w:t>o stwierdzenie nabycia spadku)</w:t>
      </w:r>
      <w:r w:rsidR="00FD42B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 w:rsidR="00FD42BA" w:rsidRPr="00E6768B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w której występuje jakiś element zagraniczny</w:t>
      </w:r>
      <w:r w:rsidR="006D7F4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tzn. </w:t>
      </w:r>
      <w:r w:rsidR="00B13ACA">
        <w:rPr>
          <w:rFonts w:ascii="Times New Roman" w:eastAsia="Times New Roman" w:hAnsi="Times New Roman" w:cs="Times New Roman"/>
          <w:sz w:val="24"/>
          <w:szCs w:val="24"/>
          <w:lang w:eastAsia="pl-PL"/>
        </w:rPr>
        <w:t>elementy istotne dla danej s</w:t>
      </w:r>
      <w:r w:rsidR="0029157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prawy spadkowej zlokalizowane są </w:t>
      </w:r>
      <w:r w:rsidR="00E2129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(albo mają związek) </w:t>
      </w:r>
      <w:r w:rsidR="0029157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więcej niż </w:t>
      </w:r>
      <w:r w:rsidR="00632B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jednym </w:t>
      </w:r>
      <w:r w:rsidR="0029157A">
        <w:rPr>
          <w:rFonts w:ascii="Times New Roman" w:eastAsia="Times New Roman" w:hAnsi="Times New Roman" w:cs="Times New Roman"/>
          <w:sz w:val="24"/>
          <w:szCs w:val="24"/>
          <w:lang w:eastAsia="pl-PL"/>
        </w:rPr>
        <w:t>państwie</w:t>
      </w:r>
      <w:r w:rsidR="00E61BD3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="0029157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np.:</w:t>
      </w:r>
      <w:r w:rsidR="00E2129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29157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spadkodawca miał ostatnie miejsce </w:t>
      </w:r>
      <w:r w:rsidR="00340AD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zwykłego pobytu w Polsce, ale w skład spadku po nim wchodzi m.in. </w:t>
      </w:r>
      <w:r w:rsidR="00E2129F">
        <w:rPr>
          <w:rFonts w:ascii="Times New Roman" w:eastAsia="Times New Roman" w:hAnsi="Times New Roman" w:cs="Times New Roman"/>
          <w:sz w:val="24"/>
          <w:szCs w:val="24"/>
          <w:lang w:eastAsia="pl-PL"/>
        </w:rPr>
        <w:t>własność</w:t>
      </w:r>
      <w:r w:rsidR="00340AD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nieruchomości położon</w:t>
      </w:r>
      <w:r w:rsidR="0049584C">
        <w:rPr>
          <w:rFonts w:ascii="Times New Roman" w:eastAsia="Times New Roman" w:hAnsi="Times New Roman" w:cs="Times New Roman"/>
          <w:sz w:val="24"/>
          <w:szCs w:val="24"/>
          <w:lang w:eastAsia="pl-PL"/>
        </w:rPr>
        <w:t>ej</w:t>
      </w:r>
      <w:r w:rsidR="00340AD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Hiszpanii</w:t>
      </w:r>
      <w:r w:rsidR="00E2129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; </w:t>
      </w:r>
      <w:r w:rsidR="00E56797">
        <w:rPr>
          <w:rFonts w:ascii="Times New Roman" w:eastAsia="Times New Roman" w:hAnsi="Times New Roman" w:cs="Times New Roman"/>
          <w:sz w:val="24"/>
          <w:szCs w:val="24"/>
          <w:lang w:eastAsia="pl-PL"/>
        </w:rPr>
        <w:t>spadkodawca – obywatel polski – miał osta</w:t>
      </w:r>
      <w:r w:rsidR="00702460">
        <w:rPr>
          <w:rFonts w:ascii="Times New Roman" w:eastAsia="Times New Roman" w:hAnsi="Times New Roman" w:cs="Times New Roman"/>
          <w:sz w:val="24"/>
          <w:szCs w:val="24"/>
          <w:lang w:eastAsia="pl-PL"/>
        </w:rPr>
        <w:t>t</w:t>
      </w:r>
      <w:r w:rsidR="00E56797">
        <w:rPr>
          <w:rFonts w:ascii="Times New Roman" w:eastAsia="Times New Roman" w:hAnsi="Times New Roman" w:cs="Times New Roman"/>
          <w:sz w:val="24"/>
          <w:szCs w:val="24"/>
          <w:lang w:eastAsia="pl-PL"/>
        </w:rPr>
        <w:t>nie miejsce zwykłego pobytu w Niemczech, ale wybrał jako prawo właściwe prawo polskie</w:t>
      </w:r>
      <w:r w:rsidR="0049584C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:rsidR="00C43732" w:rsidRDefault="00013A38" w:rsidP="006674D3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13A3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Miejsce zwykłego pobytu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296BB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– </w:t>
      </w:r>
      <w:r w:rsidRPr="00013A38">
        <w:rPr>
          <w:rFonts w:ascii="Times New Roman" w:hAnsi="Times New Roman" w:cs="Times New Roman"/>
          <w:sz w:val="24"/>
          <w:szCs w:val="24"/>
        </w:rPr>
        <w:t xml:space="preserve">miejsce, </w:t>
      </w:r>
      <w:r w:rsidRPr="00657018">
        <w:rPr>
          <w:rFonts w:ascii="Times New Roman" w:hAnsi="Times New Roman" w:cs="Times New Roman"/>
          <w:sz w:val="24"/>
          <w:szCs w:val="24"/>
          <w:u w:val="single"/>
        </w:rPr>
        <w:t>w którym dana osoba zazwyczaj</w:t>
      </w:r>
      <w:r w:rsidRPr="00013A38">
        <w:rPr>
          <w:rFonts w:ascii="Times New Roman" w:hAnsi="Times New Roman" w:cs="Times New Roman"/>
          <w:sz w:val="24"/>
          <w:szCs w:val="24"/>
        </w:rPr>
        <w:t xml:space="preserve"> </w:t>
      </w:r>
      <w:r w:rsidRPr="00657018">
        <w:rPr>
          <w:rFonts w:ascii="Times New Roman" w:hAnsi="Times New Roman" w:cs="Times New Roman"/>
          <w:sz w:val="24"/>
          <w:szCs w:val="24"/>
          <w:u w:val="single"/>
        </w:rPr>
        <w:t xml:space="preserve">przebywa i w którym znajduje się główne centrum egzystencji </w:t>
      </w:r>
      <w:r w:rsidR="00702460">
        <w:rPr>
          <w:rFonts w:ascii="Times New Roman" w:hAnsi="Times New Roman" w:cs="Times New Roman"/>
          <w:sz w:val="24"/>
          <w:szCs w:val="24"/>
          <w:u w:val="single"/>
        </w:rPr>
        <w:t>t</w:t>
      </w:r>
      <w:r w:rsidRPr="00657018">
        <w:rPr>
          <w:rFonts w:ascii="Times New Roman" w:hAnsi="Times New Roman" w:cs="Times New Roman"/>
          <w:sz w:val="24"/>
          <w:szCs w:val="24"/>
          <w:u w:val="single"/>
        </w:rPr>
        <w:t>ej osoby</w:t>
      </w:r>
      <w:r w:rsidR="00CF257B">
        <w:rPr>
          <w:rFonts w:ascii="Times New Roman" w:hAnsi="Times New Roman" w:cs="Times New Roman"/>
          <w:sz w:val="24"/>
          <w:szCs w:val="24"/>
        </w:rPr>
        <w:t>.</w:t>
      </w:r>
      <w:r w:rsidRPr="00013A38">
        <w:rPr>
          <w:rFonts w:ascii="Times New Roman" w:hAnsi="Times New Roman" w:cs="Times New Roman"/>
          <w:sz w:val="24"/>
          <w:szCs w:val="24"/>
        </w:rPr>
        <w:t xml:space="preserve"> </w:t>
      </w:r>
      <w:r w:rsidR="00CF257B">
        <w:rPr>
          <w:rFonts w:ascii="Times New Roman" w:hAnsi="Times New Roman" w:cs="Times New Roman"/>
          <w:sz w:val="24"/>
          <w:szCs w:val="24"/>
        </w:rPr>
        <w:t>O uznaniu danego miejsca za miejsce zwykłego pobytu</w:t>
      </w:r>
      <w:r w:rsidRPr="00013A38">
        <w:rPr>
          <w:rFonts w:ascii="Times New Roman" w:hAnsi="Times New Roman" w:cs="Times New Roman"/>
          <w:sz w:val="24"/>
          <w:szCs w:val="24"/>
        </w:rPr>
        <w:t xml:space="preserve"> przesądzają przede wszystkim okoliczności natury faktycznej</w:t>
      </w:r>
      <w:r w:rsidR="00CF257B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takie jak: </w:t>
      </w:r>
      <w:r w:rsidR="00750CA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czas </w:t>
      </w:r>
      <w:r w:rsidR="00E5625C">
        <w:rPr>
          <w:rFonts w:ascii="Times New Roman" w:eastAsia="Times New Roman" w:hAnsi="Times New Roman" w:cs="Times New Roman"/>
          <w:sz w:val="24"/>
          <w:szCs w:val="24"/>
          <w:lang w:eastAsia="pl-PL"/>
        </w:rPr>
        <w:t>trwania</w:t>
      </w:r>
      <w:r w:rsidRPr="00013A3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regularność </w:t>
      </w:r>
      <w:r w:rsidR="00E5625C">
        <w:rPr>
          <w:rFonts w:ascii="Times New Roman" w:eastAsia="Times New Roman" w:hAnsi="Times New Roman" w:cs="Times New Roman"/>
          <w:sz w:val="24"/>
          <w:szCs w:val="24"/>
          <w:lang w:eastAsia="pl-PL"/>
        </w:rPr>
        <w:t>obecności</w:t>
      </w:r>
      <w:r w:rsidR="0087388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danej osoby</w:t>
      </w:r>
      <w:r w:rsidRPr="00013A3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danym państwie, warunki i powody tej obecności</w:t>
      </w:r>
      <w:r w:rsidR="00750CA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 w:rsidR="00E5625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które </w:t>
      </w:r>
      <w:r w:rsidR="00750CA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wskazują </w:t>
      </w:r>
      <w:r w:rsidR="00750CA4" w:rsidRPr="00A051E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</w:t>
      </w:r>
      <w:r w:rsidR="00750CA4" w:rsidRPr="00A051E1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ścisły i stabilny związek </w:t>
      </w:r>
      <w:r w:rsidR="00750CA4" w:rsidRPr="00A051E1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lastRenderedPageBreak/>
        <w:t>z danym państwem</w:t>
      </w:r>
      <w:r w:rsidR="00A64377">
        <w:rPr>
          <w:rFonts w:ascii="Times New Roman" w:eastAsia="Times New Roman" w:hAnsi="Times New Roman" w:cs="Times New Roman"/>
          <w:sz w:val="24"/>
          <w:szCs w:val="24"/>
          <w:lang w:eastAsia="pl-PL"/>
        </w:rPr>
        <w:t>. Element woli (zamiar</w:t>
      </w:r>
      <w:r w:rsidR="00693F83">
        <w:rPr>
          <w:rFonts w:ascii="Times New Roman" w:eastAsia="Times New Roman" w:hAnsi="Times New Roman" w:cs="Times New Roman"/>
          <w:sz w:val="24"/>
          <w:szCs w:val="24"/>
          <w:lang w:eastAsia="pl-PL"/>
        </w:rPr>
        <w:t>y</w:t>
      </w:r>
      <w:r w:rsidR="00A64377">
        <w:rPr>
          <w:rFonts w:ascii="Times New Roman" w:eastAsia="Times New Roman" w:hAnsi="Times New Roman" w:cs="Times New Roman"/>
          <w:sz w:val="24"/>
          <w:szCs w:val="24"/>
          <w:lang w:eastAsia="pl-PL"/>
        </w:rPr>
        <w:t>, plany)</w:t>
      </w:r>
      <w:r w:rsidRPr="00013A3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E5625C">
        <w:rPr>
          <w:rFonts w:ascii="Times New Roman" w:eastAsia="Times New Roman" w:hAnsi="Times New Roman" w:cs="Times New Roman"/>
          <w:sz w:val="24"/>
          <w:szCs w:val="24"/>
          <w:lang w:eastAsia="pl-PL"/>
        </w:rPr>
        <w:t>nie ma istotnego znaczenia, co odróżnia miejsce zwykłego pobytu od miejsca zamieszkania</w:t>
      </w:r>
      <w:r w:rsidR="00CB690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rozumieniu prawa polskiego. </w:t>
      </w:r>
    </w:p>
    <w:p w:rsidR="00013A38" w:rsidRPr="00013A38" w:rsidRDefault="00C43732" w:rsidP="006674D3">
      <w:pPr>
        <w:pStyle w:val="Akapitzlist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43732">
        <w:rPr>
          <w:rFonts w:ascii="Times New Roman" w:eastAsia="Times New Roman" w:hAnsi="Times New Roman" w:cs="Times New Roman"/>
          <w:sz w:val="24"/>
          <w:szCs w:val="24"/>
          <w:lang w:eastAsia="pl-PL"/>
        </w:rPr>
        <w:t>W kontek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ście zjawiska migracji zarobkowej</w:t>
      </w:r>
      <w:r w:rsidR="006A328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powszechnego m.in. także w Polsce, istotne </w:t>
      </w:r>
      <w:r w:rsidR="00CD2437">
        <w:rPr>
          <w:rFonts w:ascii="Times New Roman" w:eastAsia="Times New Roman" w:hAnsi="Times New Roman" w:cs="Times New Roman"/>
          <w:sz w:val="24"/>
          <w:szCs w:val="24"/>
          <w:lang w:eastAsia="pl-PL"/>
        </w:rPr>
        <w:t>jest</w:t>
      </w:r>
      <w:r w:rsidR="00B55B31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="00CD243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że</w:t>
      </w:r>
      <w:r w:rsidR="00693F8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2B3067">
        <w:rPr>
          <w:rFonts w:ascii="Times New Roman" w:eastAsia="Times New Roman" w:hAnsi="Times New Roman" w:cs="Times New Roman"/>
          <w:sz w:val="24"/>
          <w:szCs w:val="24"/>
          <w:lang w:eastAsia="pl-PL"/>
        </w:rPr>
        <w:t>nawet długotrwały pobyt za granicą w celach zawodowych czy zarobkowych</w:t>
      </w:r>
      <w:r w:rsidR="00A85D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7A31CA">
        <w:rPr>
          <w:rFonts w:ascii="Times New Roman" w:eastAsia="Times New Roman" w:hAnsi="Times New Roman" w:cs="Times New Roman"/>
          <w:sz w:val="24"/>
          <w:szCs w:val="24"/>
          <w:lang w:eastAsia="pl-PL"/>
        </w:rPr>
        <w:t>n</w:t>
      </w:r>
      <w:r w:rsidR="00B07D04">
        <w:rPr>
          <w:rFonts w:ascii="Times New Roman" w:eastAsia="Times New Roman" w:hAnsi="Times New Roman" w:cs="Times New Roman"/>
          <w:sz w:val="24"/>
          <w:szCs w:val="24"/>
          <w:lang w:eastAsia="pl-PL"/>
        </w:rPr>
        <w:t>ie</w:t>
      </w:r>
      <w:r w:rsidR="007A31C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musi </w:t>
      </w:r>
      <w:r w:rsidR="00B55B3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jeszcze </w:t>
      </w:r>
      <w:r w:rsidR="007A31C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oznaczać, że dana osoba ma tam miejsce zwykłego pobytu, </w:t>
      </w:r>
      <w:r w:rsidR="00B07D04">
        <w:rPr>
          <w:rFonts w:ascii="Times New Roman" w:eastAsia="Times New Roman" w:hAnsi="Times New Roman" w:cs="Times New Roman"/>
          <w:sz w:val="24"/>
          <w:szCs w:val="24"/>
          <w:lang w:eastAsia="pl-PL"/>
        </w:rPr>
        <w:t>jeżeli</w:t>
      </w:r>
      <w:r w:rsidR="007A31C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zachował</w:t>
      </w:r>
      <w:r w:rsidR="00B07D04">
        <w:rPr>
          <w:rFonts w:ascii="Times New Roman" w:eastAsia="Times New Roman" w:hAnsi="Times New Roman" w:cs="Times New Roman"/>
          <w:sz w:val="24"/>
          <w:szCs w:val="24"/>
          <w:lang w:eastAsia="pl-PL"/>
        </w:rPr>
        <w:t>a ścisły</w:t>
      </w:r>
      <w:r w:rsidR="007A31C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stabilny związek </w:t>
      </w:r>
      <w:r w:rsidR="00B07D04">
        <w:rPr>
          <w:rFonts w:ascii="Times New Roman" w:eastAsia="Times New Roman" w:hAnsi="Times New Roman" w:cs="Times New Roman"/>
          <w:sz w:val="24"/>
          <w:szCs w:val="24"/>
          <w:lang w:eastAsia="pl-PL"/>
        </w:rPr>
        <w:t>z dotychczasowym państwem (</w:t>
      </w:r>
      <w:r w:rsidR="00BC4E5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np. </w:t>
      </w:r>
      <w:r w:rsidR="00FF56E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pozostawiła w nim </w:t>
      </w:r>
      <w:r w:rsidR="00833D9B">
        <w:rPr>
          <w:rFonts w:ascii="Times New Roman" w:eastAsia="Times New Roman" w:hAnsi="Times New Roman" w:cs="Times New Roman"/>
          <w:sz w:val="24"/>
          <w:szCs w:val="24"/>
          <w:lang w:eastAsia="pl-PL"/>
        </w:rPr>
        <w:t>dom i czę</w:t>
      </w:r>
      <w:r w:rsidR="00FF56E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ść rodziny, </w:t>
      </w:r>
      <w:r w:rsidR="00B6089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którą pozostaje w </w:t>
      </w:r>
      <w:r w:rsidR="00BC4E5A">
        <w:rPr>
          <w:rFonts w:ascii="Times New Roman" w:eastAsia="Times New Roman" w:hAnsi="Times New Roman" w:cs="Times New Roman"/>
          <w:sz w:val="24"/>
          <w:szCs w:val="24"/>
          <w:lang w:eastAsia="pl-PL"/>
        </w:rPr>
        <w:t>stały</w:t>
      </w:r>
      <w:r w:rsidR="00B60894">
        <w:rPr>
          <w:rFonts w:ascii="Times New Roman" w:eastAsia="Times New Roman" w:hAnsi="Times New Roman" w:cs="Times New Roman"/>
          <w:sz w:val="24"/>
          <w:szCs w:val="24"/>
          <w:lang w:eastAsia="pl-PL"/>
        </w:rPr>
        <w:t>m bliskim kontakcie</w:t>
      </w:r>
      <w:r w:rsidR="0075142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odwiedza </w:t>
      </w:r>
      <w:r w:rsidR="001115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ją </w:t>
      </w:r>
      <w:r w:rsidR="0075142B">
        <w:rPr>
          <w:rFonts w:ascii="Times New Roman" w:eastAsia="Times New Roman" w:hAnsi="Times New Roman" w:cs="Times New Roman"/>
          <w:sz w:val="24"/>
          <w:szCs w:val="24"/>
          <w:lang w:eastAsia="pl-PL"/>
        </w:rPr>
        <w:t>i utrzymuje</w:t>
      </w:r>
      <w:r w:rsidR="005E7E2C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  <w:r w:rsidR="00013A38" w:rsidRPr="00013A3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  <w:r w:rsidR="00013A3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0B436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takich sytuacjach można uznać, że </w:t>
      </w:r>
      <w:r w:rsidR="0025215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miejsce zwykłego pobytu danej osoby wciąż zlokalizowane jest w dotychczasowym państwie. Oczywiście ostateczna ocena w konkretnej sprawie </w:t>
      </w:r>
      <w:r w:rsidR="00FC730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zawsze </w:t>
      </w:r>
      <w:r w:rsidR="00252157">
        <w:rPr>
          <w:rFonts w:ascii="Times New Roman" w:eastAsia="Times New Roman" w:hAnsi="Times New Roman" w:cs="Times New Roman"/>
          <w:sz w:val="24"/>
          <w:szCs w:val="24"/>
          <w:lang w:eastAsia="pl-PL"/>
        </w:rPr>
        <w:t>należy do sądu.</w:t>
      </w:r>
      <w:r w:rsidR="00013A38" w:rsidRPr="00013A3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</w:p>
    <w:p w:rsidR="001636FF" w:rsidRPr="00A70F67" w:rsidRDefault="00402B58" w:rsidP="00742F28">
      <w:pPr>
        <w:pStyle w:val="Akapitzlist"/>
        <w:numPr>
          <w:ilvl w:val="0"/>
          <w:numId w:val="4"/>
        </w:numPr>
        <w:tabs>
          <w:tab w:val="left" w:pos="918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70F6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Jurysdykcja</w:t>
      </w:r>
      <w:r w:rsidR="00804CA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– </w:t>
      </w:r>
      <w:r w:rsidRPr="00A70F6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6C6ED9" w:rsidRPr="00D16A3A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kompetencja sądów danego państwa</w:t>
      </w:r>
      <w:r w:rsidR="006C6ED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 rozstrzygania określonych spraw</w:t>
      </w:r>
      <w:r w:rsidR="00540D2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(np. jurysdykcja </w:t>
      </w:r>
      <w:r w:rsidR="00CA53BB">
        <w:rPr>
          <w:rFonts w:ascii="Times New Roman" w:eastAsia="Times New Roman" w:hAnsi="Times New Roman" w:cs="Times New Roman"/>
          <w:sz w:val="24"/>
          <w:szCs w:val="24"/>
          <w:lang w:eastAsia="pl-PL"/>
        </w:rPr>
        <w:t>przysługuje sądom polskim albo sądom niemieckim)</w:t>
      </w:r>
      <w:r w:rsidR="006C6ED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  <w:r w:rsidR="00785C97">
        <w:rPr>
          <w:rFonts w:ascii="Times New Roman" w:eastAsia="Times New Roman" w:hAnsi="Times New Roman" w:cs="Times New Roman"/>
          <w:sz w:val="24"/>
          <w:szCs w:val="24"/>
          <w:lang w:eastAsia="pl-PL"/>
        </w:rPr>
        <w:t>O tym, sądom którego państwa przysługuje taka kompetencja, decyduje przyjęty w danym akcie prawnym łączn</w:t>
      </w:r>
      <w:r w:rsidR="006F06C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ik jurysdykcji, czyli kryterium, według którego ustala się </w:t>
      </w:r>
      <w:r w:rsidR="0007341E">
        <w:rPr>
          <w:rFonts w:ascii="Times New Roman" w:eastAsia="Times New Roman" w:hAnsi="Times New Roman" w:cs="Times New Roman"/>
          <w:sz w:val="24"/>
          <w:szCs w:val="24"/>
          <w:lang w:eastAsia="pl-PL"/>
        </w:rPr>
        <w:t>tę kompetencję</w:t>
      </w:r>
      <w:r w:rsidR="006F06C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  <w:r w:rsidR="0007341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Przykładowo, może to być </w:t>
      </w:r>
      <w:r w:rsidR="004658F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miejsce zamieszkania spadkodawcy, miejsce zwykłego pobytu </w:t>
      </w:r>
      <w:r w:rsidR="00B709E1">
        <w:rPr>
          <w:rFonts w:ascii="Times New Roman" w:eastAsia="Times New Roman" w:hAnsi="Times New Roman" w:cs="Times New Roman"/>
          <w:sz w:val="24"/>
          <w:szCs w:val="24"/>
          <w:lang w:eastAsia="pl-PL"/>
        </w:rPr>
        <w:t>sp</w:t>
      </w:r>
      <w:r w:rsidR="001A1E9A"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r w:rsidR="00B709E1">
        <w:rPr>
          <w:rFonts w:ascii="Times New Roman" w:eastAsia="Times New Roman" w:hAnsi="Times New Roman" w:cs="Times New Roman"/>
          <w:sz w:val="24"/>
          <w:szCs w:val="24"/>
          <w:lang w:eastAsia="pl-PL"/>
        </w:rPr>
        <w:t>dkodawcy</w:t>
      </w:r>
      <w:r w:rsidR="004658F3">
        <w:rPr>
          <w:rFonts w:ascii="Times New Roman" w:eastAsia="Times New Roman" w:hAnsi="Times New Roman" w:cs="Times New Roman"/>
          <w:sz w:val="24"/>
          <w:szCs w:val="24"/>
          <w:lang w:eastAsia="pl-PL"/>
        </w:rPr>
        <w:t>, oby</w:t>
      </w:r>
      <w:r w:rsidR="001A1E9A">
        <w:rPr>
          <w:rFonts w:ascii="Times New Roman" w:eastAsia="Times New Roman" w:hAnsi="Times New Roman" w:cs="Times New Roman"/>
          <w:sz w:val="24"/>
          <w:szCs w:val="24"/>
          <w:lang w:eastAsia="pl-PL"/>
        </w:rPr>
        <w:t>wa</w:t>
      </w:r>
      <w:r w:rsidR="004658F3">
        <w:rPr>
          <w:rFonts w:ascii="Times New Roman" w:eastAsia="Times New Roman" w:hAnsi="Times New Roman" w:cs="Times New Roman"/>
          <w:sz w:val="24"/>
          <w:szCs w:val="24"/>
          <w:lang w:eastAsia="pl-PL"/>
        </w:rPr>
        <w:t>tels</w:t>
      </w:r>
      <w:r w:rsidR="001A1E9A">
        <w:rPr>
          <w:rFonts w:ascii="Times New Roman" w:eastAsia="Times New Roman" w:hAnsi="Times New Roman" w:cs="Times New Roman"/>
          <w:sz w:val="24"/>
          <w:szCs w:val="24"/>
          <w:lang w:eastAsia="pl-PL"/>
        </w:rPr>
        <w:t>two spadkodawcy czy miejsce położenia majątku należącego do spadku.</w:t>
      </w:r>
      <w:r w:rsidR="001636FF" w:rsidRPr="00A70F6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E54020" w:rsidRDefault="00FD389E" w:rsidP="00742F28">
      <w:pPr>
        <w:pStyle w:val="Akapitzlist"/>
        <w:numPr>
          <w:ilvl w:val="0"/>
          <w:numId w:val="4"/>
        </w:numPr>
        <w:tabs>
          <w:tab w:val="left" w:pos="918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70F6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Umowa </w:t>
      </w:r>
      <w:proofErr w:type="spellStart"/>
      <w:r w:rsidRPr="00A70F6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prorogacyjna</w:t>
      </w:r>
      <w:proofErr w:type="spellEnd"/>
      <w:r w:rsidRPr="00A70F6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Pr="00A70F67">
        <w:rPr>
          <w:rFonts w:ascii="Times New Roman" w:eastAsia="Times New Roman" w:hAnsi="Times New Roman" w:cs="Times New Roman"/>
          <w:sz w:val="24"/>
          <w:szCs w:val="24"/>
          <w:lang w:eastAsia="pl-PL"/>
        </w:rPr>
        <w:t>–</w:t>
      </w:r>
      <w:r w:rsidR="001A1E9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9E3DA4" w:rsidRPr="00A657A7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umowa, w której zainteresowani sami ustalają, </w:t>
      </w:r>
      <w:r w:rsidR="00513420" w:rsidRPr="00A657A7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sądy którego państwa będą mieć jurysdykcję do załatwienia danej sprawy</w:t>
      </w:r>
      <w:r w:rsidR="000964B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O tym czy taka umowa jest dopuszczalna </w:t>
      </w:r>
      <w:r w:rsidR="0051342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danej sprawie </w:t>
      </w:r>
      <w:r w:rsidR="000964B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 </w:t>
      </w:r>
      <w:r w:rsidR="0051342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jakie warunki musi spełniać, rozstrzygają </w:t>
      </w:r>
      <w:r w:rsidRPr="00A70F6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E54020">
        <w:rPr>
          <w:rFonts w:ascii="Times New Roman" w:eastAsia="Times New Roman" w:hAnsi="Times New Roman" w:cs="Times New Roman"/>
          <w:sz w:val="24"/>
          <w:szCs w:val="24"/>
          <w:lang w:eastAsia="pl-PL"/>
        </w:rPr>
        <w:t>właściwe przepisy regulujące problematykę jurysdykcji dla określon</w:t>
      </w:r>
      <w:r w:rsidR="00C07691">
        <w:rPr>
          <w:rFonts w:ascii="Times New Roman" w:eastAsia="Times New Roman" w:hAnsi="Times New Roman" w:cs="Times New Roman"/>
          <w:sz w:val="24"/>
          <w:szCs w:val="24"/>
          <w:lang w:eastAsia="pl-PL"/>
        </w:rPr>
        <w:t>ego</w:t>
      </w:r>
      <w:r w:rsidR="00E5402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rodzaj</w:t>
      </w:r>
      <w:r w:rsidR="00C07691">
        <w:rPr>
          <w:rFonts w:ascii="Times New Roman" w:eastAsia="Times New Roman" w:hAnsi="Times New Roman" w:cs="Times New Roman"/>
          <w:sz w:val="24"/>
          <w:szCs w:val="24"/>
          <w:lang w:eastAsia="pl-PL"/>
        </w:rPr>
        <w:t>u</w:t>
      </w:r>
      <w:r w:rsidR="00E5402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spraw.</w:t>
      </w:r>
    </w:p>
    <w:p w:rsidR="003D4770" w:rsidRPr="00A70F67" w:rsidRDefault="00402B58" w:rsidP="00540D23">
      <w:pPr>
        <w:pStyle w:val="Akapitzlist"/>
        <w:numPr>
          <w:ilvl w:val="0"/>
          <w:numId w:val="4"/>
        </w:numPr>
        <w:tabs>
          <w:tab w:val="left" w:pos="918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70F6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Prawo właściwe </w:t>
      </w:r>
      <w:r w:rsidRPr="00A70F6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– </w:t>
      </w:r>
      <w:r w:rsidR="002D6EB4" w:rsidRPr="002D6EB4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prawo państwa</w:t>
      </w:r>
      <w:r w:rsidR="002D6EB4" w:rsidRPr="00111540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, które należy stosować przy rozstrzyganiu danej sprawy</w:t>
      </w:r>
      <w:r w:rsidR="002D6EB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(np. prawo polskie albo prawo francuskie)</w:t>
      </w:r>
      <w:r w:rsidR="00540D2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  <w:r w:rsidR="00540D23" w:rsidRPr="00540D2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 tym, </w:t>
      </w:r>
      <w:r w:rsidR="00540D23">
        <w:rPr>
          <w:rFonts w:ascii="Times New Roman" w:eastAsia="Times New Roman" w:hAnsi="Times New Roman" w:cs="Times New Roman"/>
          <w:sz w:val="24"/>
          <w:szCs w:val="24"/>
          <w:lang w:eastAsia="pl-PL"/>
        </w:rPr>
        <w:t>prawo którego państwa jest właściwe dla danej sprawy,</w:t>
      </w:r>
      <w:r w:rsidR="00540D23" w:rsidRPr="00540D2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decyduje przyjęty w danym akcie prawnym łącznik </w:t>
      </w:r>
      <w:r w:rsidR="00CA53BB">
        <w:rPr>
          <w:rFonts w:ascii="Times New Roman" w:eastAsia="Times New Roman" w:hAnsi="Times New Roman" w:cs="Times New Roman"/>
          <w:sz w:val="24"/>
          <w:szCs w:val="24"/>
          <w:lang w:eastAsia="pl-PL"/>
        </w:rPr>
        <w:t>prawa właściwego</w:t>
      </w:r>
      <w:r w:rsidR="00540D23" w:rsidRPr="00540D23">
        <w:rPr>
          <w:rFonts w:ascii="Times New Roman" w:eastAsia="Times New Roman" w:hAnsi="Times New Roman" w:cs="Times New Roman"/>
          <w:sz w:val="24"/>
          <w:szCs w:val="24"/>
          <w:lang w:eastAsia="pl-PL"/>
        </w:rPr>
        <w:t>, czyli kryterium, według którego ustala się t</w:t>
      </w:r>
      <w:r w:rsidR="00CA53BB">
        <w:rPr>
          <w:rFonts w:ascii="Times New Roman" w:eastAsia="Times New Roman" w:hAnsi="Times New Roman" w:cs="Times New Roman"/>
          <w:sz w:val="24"/>
          <w:szCs w:val="24"/>
          <w:lang w:eastAsia="pl-PL"/>
        </w:rPr>
        <w:t>o prawo</w:t>
      </w:r>
      <w:r w:rsidR="00540D23" w:rsidRPr="00540D23">
        <w:rPr>
          <w:rFonts w:ascii="Times New Roman" w:eastAsia="Times New Roman" w:hAnsi="Times New Roman" w:cs="Times New Roman"/>
          <w:sz w:val="24"/>
          <w:szCs w:val="24"/>
          <w:lang w:eastAsia="pl-PL"/>
        </w:rPr>
        <w:t>. Przykładowo,</w:t>
      </w:r>
      <w:r w:rsidR="00CA53B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tak jak w przypadku jurysdykcji,</w:t>
      </w:r>
      <w:r w:rsidR="00540D23" w:rsidRPr="00540D2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może to być miejsce zamieszkania spadkodawcy, miejsce zwykłego pobytu spadkodawcy, obywatelstwo spadkodawcy czy miejsce położenia majątku należącego do spadk</w:t>
      </w:r>
      <w:r w:rsidR="00632BD3">
        <w:rPr>
          <w:rFonts w:ascii="Times New Roman" w:eastAsia="Times New Roman" w:hAnsi="Times New Roman" w:cs="Times New Roman"/>
          <w:sz w:val="24"/>
          <w:szCs w:val="24"/>
          <w:lang w:eastAsia="pl-PL"/>
        </w:rPr>
        <w:t>u</w:t>
      </w:r>
      <w:r w:rsidR="00CA53BB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3D4770" w:rsidRPr="00A70F67" w:rsidRDefault="003022F8" w:rsidP="00742F28">
      <w:pPr>
        <w:pStyle w:val="Akapitzlist"/>
        <w:numPr>
          <w:ilvl w:val="0"/>
          <w:numId w:val="4"/>
        </w:numPr>
        <w:tabs>
          <w:tab w:val="left" w:pos="918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70F6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Wybór prawa </w:t>
      </w:r>
      <w:r w:rsidR="003D4770" w:rsidRPr="00A70F67">
        <w:rPr>
          <w:rFonts w:ascii="Times New Roman" w:eastAsia="Times New Roman" w:hAnsi="Times New Roman" w:cs="Times New Roman"/>
          <w:sz w:val="24"/>
          <w:szCs w:val="24"/>
          <w:lang w:eastAsia="pl-PL"/>
        </w:rPr>
        <w:t>–</w:t>
      </w:r>
      <w:r w:rsidR="008A4CD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3D4770" w:rsidRPr="00A657A7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oświadczenie osoby </w:t>
      </w:r>
      <w:r w:rsidR="0071717F" w:rsidRPr="00A657A7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zainteresowanej, która sama określa, </w:t>
      </w:r>
      <w:r w:rsidR="00CA4628" w:rsidRPr="00A657A7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praw</w:t>
      </w:r>
      <w:r w:rsidR="00F574E6" w:rsidRPr="00A657A7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o</w:t>
      </w:r>
      <w:r w:rsidR="00CA4628" w:rsidRPr="00A657A7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 którego państwa ma być stosowane do danej</w:t>
      </w:r>
      <w:r w:rsidR="00955A5F" w:rsidRPr="00A657A7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 sprawy</w:t>
      </w:r>
      <w:r w:rsidR="00F574E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Tak jak w przypadku umów </w:t>
      </w:r>
      <w:proofErr w:type="spellStart"/>
      <w:r w:rsidR="00F574E6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prorogacyjnych</w:t>
      </w:r>
      <w:proofErr w:type="spellEnd"/>
      <w:r w:rsidR="00F574E6">
        <w:rPr>
          <w:rFonts w:ascii="Times New Roman" w:eastAsia="Times New Roman" w:hAnsi="Times New Roman" w:cs="Times New Roman"/>
          <w:sz w:val="24"/>
          <w:szCs w:val="24"/>
          <w:lang w:eastAsia="pl-PL"/>
        </w:rPr>
        <w:t>, o tym</w:t>
      </w:r>
      <w:r w:rsidR="00FC730E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="00F574E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czy taki wybór jest dopuszczalny i jaki</w:t>
      </w:r>
      <w:r w:rsidR="00822E53">
        <w:rPr>
          <w:rFonts w:ascii="Times New Roman" w:eastAsia="Times New Roman" w:hAnsi="Times New Roman" w:cs="Times New Roman"/>
          <w:sz w:val="24"/>
          <w:szCs w:val="24"/>
          <w:lang w:eastAsia="pl-PL"/>
        </w:rPr>
        <w:t>e</w:t>
      </w:r>
      <w:r w:rsidR="00F574E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warunki musi spełniać, decydują wł</w:t>
      </w:r>
      <w:r w:rsidR="00822E53"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r w:rsidR="00F574E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ściwe </w:t>
      </w:r>
      <w:r w:rsidR="00822E53">
        <w:rPr>
          <w:rFonts w:ascii="Times New Roman" w:eastAsia="Times New Roman" w:hAnsi="Times New Roman" w:cs="Times New Roman"/>
          <w:sz w:val="24"/>
          <w:szCs w:val="24"/>
          <w:lang w:eastAsia="pl-PL"/>
        </w:rPr>
        <w:t>przepisy</w:t>
      </w:r>
      <w:r w:rsidR="00F574E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822E53">
        <w:rPr>
          <w:rFonts w:ascii="Times New Roman" w:eastAsia="Times New Roman" w:hAnsi="Times New Roman" w:cs="Times New Roman"/>
          <w:sz w:val="24"/>
          <w:szCs w:val="24"/>
          <w:lang w:eastAsia="pl-PL"/>
        </w:rPr>
        <w:t>regulujące</w:t>
      </w:r>
      <w:r w:rsidR="00F574E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problematykę </w:t>
      </w:r>
      <w:r w:rsidR="00822E53">
        <w:rPr>
          <w:rFonts w:ascii="Times New Roman" w:eastAsia="Times New Roman" w:hAnsi="Times New Roman" w:cs="Times New Roman"/>
          <w:sz w:val="24"/>
          <w:szCs w:val="24"/>
          <w:lang w:eastAsia="pl-PL"/>
        </w:rPr>
        <w:t>prawa</w:t>
      </w:r>
      <w:r w:rsidR="00F574E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822E53">
        <w:rPr>
          <w:rFonts w:ascii="Times New Roman" w:eastAsia="Times New Roman" w:hAnsi="Times New Roman" w:cs="Times New Roman"/>
          <w:sz w:val="24"/>
          <w:szCs w:val="24"/>
          <w:lang w:eastAsia="pl-PL"/>
        </w:rPr>
        <w:t>właściwego</w:t>
      </w:r>
      <w:r w:rsidR="00F574E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dla </w:t>
      </w:r>
      <w:r w:rsidR="00822E53">
        <w:rPr>
          <w:rFonts w:ascii="Times New Roman" w:eastAsia="Times New Roman" w:hAnsi="Times New Roman" w:cs="Times New Roman"/>
          <w:sz w:val="24"/>
          <w:szCs w:val="24"/>
          <w:lang w:eastAsia="pl-PL"/>
        </w:rPr>
        <w:t>określon</w:t>
      </w:r>
      <w:r w:rsidR="00B452C2">
        <w:rPr>
          <w:rFonts w:ascii="Times New Roman" w:eastAsia="Times New Roman" w:hAnsi="Times New Roman" w:cs="Times New Roman"/>
          <w:sz w:val="24"/>
          <w:szCs w:val="24"/>
          <w:lang w:eastAsia="pl-PL"/>
        </w:rPr>
        <w:t>ego</w:t>
      </w:r>
      <w:r w:rsidR="00F574E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822E53">
        <w:rPr>
          <w:rFonts w:ascii="Times New Roman" w:eastAsia="Times New Roman" w:hAnsi="Times New Roman" w:cs="Times New Roman"/>
          <w:sz w:val="24"/>
          <w:szCs w:val="24"/>
          <w:lang w:eastAsia="pl-PL"/>
        </w:rPr>
        <w:t>rodzaj</w:t>
      </w:r>
      <w:r w:rsidR="00B452C2">
        <w:rPr>
          <w:rFonts w:ascii="Times New Roman" w:eastAsia="Times New Roman" w:hAnsi="Times New Roman" w:cs="Times New Roman"/>
          <w:sz w:val="24"/>
          <w:szCs w:val="24"/>
          <w:lang w:eastAsia="pl-PL"/>
        </w:rPr>
        <w:t>u</w:t>
      </w:r>
      <w:r w:rsidR="00822E5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F574E6">
        <w:rPr>
          <w:rFonts w:ascii="Times New Roman" w:eastAsia="Times New Roman" w:hAnsi="Times New Roman" w:cs="Times New Roman"/>
          <w:sz w:val="24"/>
          <w:szCs w:val="24"/>
          <w:lang w:eastAsia="pl-PL"/>
        </w:rPr>
        <w:t>spraw.</w:t>
      </w:r>
    </w:p>
    <w:p w:rsidR="00D26D48" w:rsidRDefault="00B92DDB" w:rsidP="004C7F51">
      <w:pPr>
        <w:pStyle w:val="Akapitzlist"/>
        <w:numPr>
          <w:ilvl w:val="0"/>
          <w:numId w:val="4"/>
        </w:numPr>
        <w:tabs>
          <w:tab w:val="left" w:pos="142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70F6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Uzna</w:t>
      </w:r>
      <w:r w:rsidR="005F498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nie </w:t>
      </w:r>
      <w:r w:rsidRPr="00A70F6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i </w:t>
      </w:r>
      <w:r w:rsidR="00215E5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stwierdz</w:t>
      </w:r>
      <w:r w:rsidR="005F498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enie</w:t>
      </w:r>
      <w:r w:rsidR="00215E5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wykonalności orzecze</w:t>
      </w:r>
      <w:r w:rsidR="005F498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nia</w:t>
      </w:r>
      <w:r w:rsidR="0073355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– </w:t>
      </w:r>
      <w:r w:rsidR="009829B1" w:rsidRPr="004C7F51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rozciągnię</w:t>
      </w:r>
      <w:r w:rsidR="00500FD7" w:rsidRPr="004C7F51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cie skutków</w:t>
      </w:r>
      <w:r w:rsidR="00500FD7" w:rsidRPr="004C7F51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 xml:space="preserve"> </w:t>
      </w:r>
      <w:r w:rsidR="00500FD7" w:rsidRPr="004C7F51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orzeczenia wydanego w jednym państwie</w:t>
      </w:r>
      <w:r w:rsidR="00DF5737" w:rsidRPr="004C7F51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 na inne państwo</w:t>
      </w:r>
      <w:r w:rsidR="00DF5737">
        <w:rPr>
          <w:rFonts w:ascii="Times New Roman" w:eastAsia="Times New Roman" w:hAnsi="Times New Roman" w:cs="Times New Roman"/>
          <w:sz w:val="24"/>
          <w:szCs w:val="24"/>
          <w:lang w:eastAsia="pl-PL"/>
        </w:rPr>
        <w:t>. Zasadą jest, że</w:t>
      </w:r>
      <w:r w:rsidR="00500FD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DF573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orzeczenie wydane </w:t>
      </w:r>
      <w:r w:rsidR="00DC3D9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np. przez polski sąd rodzi skutki tylko w Polsce. </w:t>
      </w:r>
      <w:r w:rsidR="00C052A7">
        <w:rPr>
          <w:rFonts w:ascii="Times New Roman" w:eastAsia="Times New Roman" w:hAnsi="Times New Roman" w:cs="Times New Roman"/>
          <w:sz w:val="24"/>
          <w:szCs w:val="24"/>
          <w:lang w:eastAsia="pl-PL"/>
        </w:rPr>
        <w:t>Aby orzeczenie to było skuteczne także np. w Niemczech</w:t>
      </w:r>
      <w:r w:rsidR="003E6C0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konieczne </w:t>
      </w:r>
      <w:r w:rsidR="00C052A7">
        <w:rPr>
          <w:rFonts w:ascii="Times New Roman" w:eastAsia="Times New Roman" w:hAnsi="Times New Roman" w:cs="Times New Roman"/>
          <w:sz w:val="24"/>
          <w:szCs w:val="24"/>
          <w:lang w:eastAsia="pl-PL"/>
        </w:rPr>
        <w:t>j</w:t>
      </w:r>
      <w:r w:rsidR="003E6C08">
        <w:rPr>
          <w:rFonts w:ascii="Times New Roman" w:eastAsia="Times New Roman" w:hAnsi="Times New Roman" w:cs="Times New Roman"/>
          <w:sz w:val="24"/>
          <w:szCs w:val="24"/>
          <w:lang w:eastAsia="pl-PL"/>
        </w:rPr>
        <w:t>e</w:t>
      </w:r>
      <w:r w:rsidR="00C052A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st jego uznanie lub stwierdzenie wykonalności w </w:t>
      </w:r>
      <w:r w:rsidR="00500A20">
        <w:rPr>
          <w:rFonts w:ascii="Times New Roman" w:eastAsia="Times New Roman" w:hAnsi="Times New Roman" w:cs="Times New Roman"/>
          <w:sz w:val="24"/>
          <w:szCs w:val="24"/>
          <w:lang w:eastAsia="pl-PL"/>
        </w:rPr>
        <w:t>tym państwie. Wymaga to</w:t>
      </w:r>
      <w:r w:rsidR="003E6C0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spełnieni</w:t>
      </w:r>
      <w:r w:rsidR="00500A20"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r w:rsidR="003E6C0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przez orzeczenie pewnych warunków </w:t>
      </w:r>
      <w:r w:rsidR="00793FF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określonych we właściwych przepisach regulujących problematykę uznawania i stwierdzania wykonalności zagranicznych orzeczeń w </w:t>
      </w:r>
      <w:r w:rsidR="00A715D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określonej kategorii spraw. Może </w:t>
      </w:r>
      <w:r w:rsidR="00793FF3">
        <w:rPr>
          <w:rFonts w:ascii="Times New Roman" w:eastAsia="Times New Roman" w:hAnsi="Times New Roman" w:cs="Times New Roman"/>
          <w:sz w:val="24"/>
          <w:szCs w:val="24"/>
          <w:lang w:eastAsia="pl-PL"/>
        </w:rPr>
        <w:t>te</w:t>
      </w:r>
      <w:r w:rsidR="00A715D4">
        <w:rPr>
          <w:rFonts w:ascii="Times New Roman" w:eastAsia="Times New Roman" w:hAnsi="Times New Roman" w:cs="Times New Roman"/>
          <w:sz w:val="24"/>
          <w:szCs w:val="24"/>
          <w:lang w:eastAsia="pl-PL"/>
        </w:rPr>
        <w:t>ż</w:t>
      </w:r>
      <w:r w:rsidR="00793FF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wyma</w:t>
      </w:r>
      <w:r w:rsidR="00A715D4">
        <w:rPr>
          <w:rFonts w:ascii="Times New Roman" w:eastAsia="Times New Roman" w:hAnsi="Times New Roman" w:cs="Times New Roman"/>
          <w:sz w:val="24"/>
          <w:szCs w:val="24"/>
          <w:lang w:eastAsia="pl-PL"/>
        </w:rPr>
        <w:t>gać</w:t>
      </w:r>
      <w:r w:rsidR="00793FF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dopełnienia </w:t>
      </w:r>
      <w:r w:rsidR="002C5CDC">
        <w:rPr>
          <w:rFonts w:ascii="Times New Roman" w:eastAsia="Times New Roman" w:hAnsi="Times New Roman" w:cs="Times New Roman"/>
          <w:sz w:val="24"/>
          <w:szCs w:val="24"/>
          <w:lang w:eastAsia="pl-PL"/>
        </w:rPr>
        <w:t>za granicą</w:t>
      </w:r>
      <w:r w:rsidR="00793FF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FC730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4E1883">
        <w:rPr>
          <w:rFonts w:ascii="Times New Roman" w:eastAsia="Times New Roman" w:hAnsi="Times New Roman" w:cs="Times New Roman"/>
          <w:sz w:val="24"/>
          <w:szCs w:val="24"/>
          <w:lang w:eastAsia="pl-PL"/>
        </w:rPr>
        <w:t>dodatkowych procedur</w:t>
      </w:r>
      <w:r w:rsidR="00793FF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  <w:r w:rsidR="00E2485A">
        <w:rPr>
          <w:rFonts w:ascii="Times New Roman" w:eastAsia="Times New Roman" w:hAnsi="Times New Roman" w:cs="Times New Roman"/>
          <w:sz w:val="24"/>
          <w:szCs w:val="24"/>
          <w:lang w:eastAsia="pl-PL"/>
        </w:rPr>
        <w:t>Uznanie lub</w:t>
      </w:r>
      <w:r w:rsidR="0022282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stwierdzenie wykonalności </w:t>
      </w:r>
      <w:r w:rsidR="0076239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danym państwie </w:t>
      </w:r>
      <w:r w:rsidR="0024368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orzeczenia w sprawie spadkowej </w:t>
      </w:r>
      <w:r w:rsidR="0076239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pozwoli uprawnionemu np. </w:t>
      </w:r>
      <w:r w:rsidR="0024368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uzyskać dostęp do środków </w:t>
      </w:r>
      <w:r w:rsidR="00E2485A">
        <w:rPr>
          <w:rFonts w:ascii="Times New Roman" w:eastAsia="Times New Roman" w:hAnsi="Times New Roman" w:cs="Times New Roman"/>
          <w:sz w:val="24"/>
          <w:szCs w:val="24"/>
          <w:lang w:eastAsia="pl-PL"/>
        </w:rPr>
        <w:t>pieniężnych</w:t>
      </w:r>
      <w:r w:rsidR="0024368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B8144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zdeponowanych </w:t>
      </w:r>
      <w:r w:rsidR="00243682">
        <w:rPr>
          <w:rFonts w:ascii="Times New Roman" w:eastAsia="Times New Roman" w:hAnsi="Times New Roman" w:cs="Times New Roman"/>
          <w:sz w:val="24"/>
          <w:szCs w:val="24"/>
          <w:lang w:eastAsia="pl-PL"/>
        </w:rPr>
        <w:t>przez spadko</w:t>
      </w:r>
      <w:r w:rsidR="00B8144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dawcę w banku </w:t>
      </w:r>
      <w:r w:rsidR="00E2485A">
        <w:rPr>
          <w:rFonts w:ascii="Times New Roman" w:eastAsia="Times New Roman" w:hAnsi="Times New Roman" w:cs="Times New Roman"/>
          <w:sz w:val="24"/>
          <w:szCs w:val="24"/>
          <w:lang w:eastAsia="pl-PL"/>
        </w:rPr>
        <w:t>w ty</w:t>
      </w:r>
      <w:r w:rsidR="0024368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 państwie </w:t>
      </w:r>
      <w:r w:rsidR="00B8144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lub </w:t>
      </w:r>
      <w:r w:rsidR="00D26D48">
        <w:rPr>
          <w:rFonts w:ascii="Times New Roman" w:eastAsia="Times New Roman" w:hAnsi="Times New Roman" w:cs="Times New Roman"/>
          <w:sz w:val="24"/>
          <w:szCs w:val="24"/>
          <w:lang w:eastAsia="pl-PL"/>
        </w:rPr>
        <w:t>odzyskać inne pozostawione tam składniki majątku spadkowego.</w:t>
      </w:r>
    </w:p>
    <w:p w:rsidR="00450F4E" w:rsidRPr="00450F4E" w:rsidRDefault="00582D4C" w:rsidP="00742F28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70F6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Europejskie poświadczenie spadkowe –</w:t>
      </w:r>
      <w:r w:rsidR="0065701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C4278" w:rsidRPr="00FC4278">
        <w:rPr>
          <w:rFonts w:ascii="Times New Roman" w:hAnsi="Times New Roman" w:cs="Times New Roman"/>
          <w:sz w:val="24"/>
          <w:szCs w:val="24"/>
          <w:u w:val="single"/>
        </w:rPr>
        <w:t xml:space="preserve">nowy </w:t>
      </w:r>
      <w:r w:rsidR="00FC4278">
        <w:rPr>
          <w:rFonts w:ascii="Times New Roman" w:hAnsi="Times New Roman" w:cs="Times New Roman"/>
          <w:sz w:val="24"/>
          <w:szCs w:val="24"/>
          <w:u w:val="single"/>
        </w:rPr>
        <w:t xml:space="preserve">rodzaj </w:t>
      </w:r>
      <w:r w:rsidR="0097775C" w:rsidRPr="002B2A73">
        <w:rPr>
          <w:rFonts w:ascii="Times New Roman" w:hAnsi="Times New Roman" w:cs="Times New Roman"/>
          <w:sz w:val="24"/>
          <w:szCs w:val="24"/>
          <w:u w:val="single"/>
        </w:rPr>
        <w:t>dokument</w:t>
      </w:r>
      <w:r w:rsidR="00FC4278">
        <w:rPr>
          <w:rFonts w:ascii="Times New Roman" w:hAnsi="Times New Roman" w:cs="Times New Roman"/>
          <w:sz w:val="24"/>
          <w:szCs w:val="24"/>
          <w:u w:val="single"/>
        </w:rPr>
        <w:t>u</w:t>
      </w:r>
      <w:r w:rsidR="007B4369" w:rsidRPr="002B2A73">
        <w:rPr>
          <w:rFonts w:ascii="Times New Roman" w:hAnsi="Times New Roman" w:cs="Times New Roman"/>
          <w:sz w:val="24"/>
          <w:szCs w:val="24"/>
          <w:u w:val="single"/>
        </w:rPr>
        <w:t xml:space="preserve"> potwierdzając</w:t>
      </w:r>
      <w:r w:rsidR="00FC4278">
        <w:rPr>
          <w:rFonts w:ascii="Times New Roman" w:hAnsi="Times New Roman" w:cs="Times New Roman"/>
          <w:sz w:val="24"/>
          <w:szCs w:val="24"/>
          <w:u w:val="single"/>
        </w:rPr>
        <w:t>ego</w:t>
      </w:r>
      <w:r w:rsidR="007B4369" w:rsidRPr="002B2A73">
        <w:rPr>
          <w:rFonts w:ascii="Times New Roman" w:hAnsi="Times New Roman" w:cs="Times New Roman"/>
          <w:sz w:val="24"/>
          <w:szCs w:val="24"/>
          <w:u w:val="single"/>
        </w:rPr>
        <w:t>, że osoba w nim wymieniona posiada określone w tym dokumencie prawa do spadku</w:t>
      </w:r>
      <w:r w:rsidR="007B4369">
        <w:rPr>
          <w:rFonts w:ascii="Times New Roman" w:hAnsi="Times New Roman" w:cs="Times New Roman"/>
          <w:sz w:val="24"/>
          <w:szCs w:val="24"/>
        </w:rPr>
        <w:t xml:space="preserve">. </w:t>
      </w:r>
      <w:r w:rsidR="00FC4278">
        <w:rPr>
          <w:rFonts w:ascii="Times New Roman" w:hAnsi="Times New Roman" w:cs="Times New Roman"/>
          <w:sz w:val="24"/>
          <w:szCs w:val="24"/>
        </w:rPr>
        <w:t xml:space="preserve">Podobną rolę pełni obecnie w Polsce sądowe postanowienie o stwierdzeniu nabycia spadku oraz notarialny akt poświadczenia dziedziczenia. </w:t>
      </w:r>
    </w:p>
    <w:p w:rsidR="0097775C" w:rsidRPr="00A70F67" w:rsidRDefault="00450F4E" w:rsidP="00450F4E">
      <w:pPr>
        <w:pStyle w:val="Akapitzlist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</w:rPr>
        <w:t>Wydawane</w:t>
      </w:r>
      <w:r w:rsidR="005A256F">
        <w:rPr>
          <w:rFonts w:ascii="Times New Roman" w:hAnsi="Times New Roman" w:cs="Times New Roman"/>
          <w:sz w:val="24"/>
          <w:szCs w:val="24"/>
        </w:rPr>
        <w:t xml:space="preserve"> w jednolitej co do zasady procedurze i według identycznego wzoru we wszystkich </w:t>
      </w:r>
      <w:r w:rsidR="002B2A73">
        <w:rPr>
          <w:rFonts w:ascii="Times New Roman" w:hAnsi="Times New Roman" w:cs="Times New Roman"/>
          <w:sz w:val="24"/>
          <w:szCs w:val="24"/>
        </w:rPr>
        <w:t>państwach</w:t>
      </w:r>
      <w:r w:rsidR="005A256F">
        <w:rPr>
          <w:rFonts w:ascii="Times New Roman" w:hAnsi="Times New Roman" w:cs="Times New Roman"/>
          <w:sz w:val="24"/>
          <w:szCs w:val="24"/>
        </w:rPr>
        <w:t xml:space="preserve"> </w:t>
      </w:r>
      <w:r w:rsidR="002B2A73">
        <w:rPr>
          <w:rFonts w:ascii="Times New Roman" w:hAnsi="Times New Roman" w:cs="Times New Roman"/>
          <w:sz w:val="24"/>
          <w:szCs w:val="24"/>
        </w:rPr>
        <w:t>członkowskich</w:t>
      </w:r>
      <w:r w:rsidR="002C5CDC">
        <w:rPr>
          <w:rFonts w:ascii="Times New Roman" w:hAnsi="Times New Roman" w:cs="Times New Roman"/>
          <w:sz w:val="24"/>
          <w:szCs w:val="24"/>
        </w:rPr>
        <w:t xml:space="preserve"> Unii Europejskiej</w:t>
      </w:r>
      <w:r w:rsidR="002B2A73">
        <w:rPr>
          <w:rFonts w:ascii="Times New Roman" w:hAnsi="Times New Roman" w:cs="Times New Roman"/>
          <w:sz w:val="24"/>
          <w:szCs w:val="24"/>
        </w:rPr>
        <w:t>, w który</w:t>
      </w:r>
      <w:r w:rsidR="004C7F51">
        <w:rPr>
          <w:rFonts w:ascii="Times New Roman" w:hAnsi="Times New Roman" w:cs="Times New Roman"/>
          <w:sz w:val="24"/>
          <w:szCs w:val="24"/>
        </w:rPr>
        <w:t>ch</w:t>
      </w:r>
      <w:r w:rsidR="002B2A73">
        <w:rPr>
          <w:rFonts w:ascii="Times New Roman" w:hAnsi="Times New Roman" w:cs="Times New Roman"/>
          <w:sz w:val="24"/>
          <w:szCs w:val="24"/>
        </w:rPr>
        <w:t xml:space="preserve"> będzie obowiązywać rozporządzenie, </w:t>
      </w:r>
      <w:r w:rsidR="0097775C" w:rsidRPr="00A70F67">
        <w:rPr>
          <w:rFonts w:ascii="Times New Roman" w:hAnsi="Times New Roman" w:cs="Times New Roman"/>
          <w:sz w:val="24"/>
          <w:szCs w:val="24"/>
        </w:rPr>
        <w:t xml:space="preserve">ułatwi </w:t>
      </w:r>
      <w:r w:rsidR="002B2A73">
        <w:rPr>
          <w:rFonts w:ascii="Times New Roman" w:hAnsi="Times New Roman" w:cs="Times New Roman"/>
          <w:sz w:val="24"/>
          <w:szCs w:val="24"/>
        </w:rPr>
        <w:t xml:space="preserve">zainteresowanym </w:t>
      </w:r>
      <w:r w:rsidR="0097775C" w:rsidRPr="00A70F67">
        <w:rPr>
          <w:rFonts w:ascii="Times New Roman" w:hAnsi="Times New Roman" w:cs="Times New Roman"/>
          <w:sz w:val="24"/>
          <w:szCs w:val="24"/>
        </w:rPr>
        <w:t>wykazywanie praw do spadku w innych państwach członkowskich</w:t>
      </w:r>
      <w:r w:rsidR="002B2A73">
        <w:rPr>
          <w:rFonts w:ascii="Times New Roman" w:hAnsi="Times New Roman" w:cs="Times New Roman"/>
          <w:sz w:val="24"/>
          <w:szCs w:val="24"/>
        </w:rPr>
        <w:t xml:space="preserve">. </w:t>
      </w:r>
      <w:r w:rsidR="004C7F51">
        <w:rPr>
          <w:rFonts w:ascii="Times New Roman" w:hAnsi="Times New Roman" w:cs="Times New Roman"/>
          <w:sz w:val="24"/>
          <w:szCs w:val="24"/>
        </w:rPr>
        <w:t>Dla swej skuteczności poza granicami państwa, w któ</w:t>
      </w:r>
      <w:r>
        <w:rPr>
          <w:rFonts w:ascii="Times New Roman" w:hAnsi="Times New Roman" w:cs="Times New Roman"/>
          <w:sz w:val="24"/>
          <w:szCs w:val="24"/>
        </w:rPr>
        <w:t>rym zostanie wydane</w:t>
      </w:r>
      <w:r w:rsidR="004C7F51">
        <w:rPr>
          <w:rFonts w:ascii="Times New Roman" w:hAnsi="Times New Roman" w:cs="Times New Roman"/>
          <w:sz w:val="24"/>
          <w:szCs w:val="24"/>
        </w:rPr>
        <w:t>, n</w:t>
      </w:r>
      <w:r w:rsidR="002B2A73">
        <w:rPr>
          <w:rFonts w:ascii="Times New Roman" w:hAnsi="Times New Roman" w:cs="Times New Roman"/>
          <w:sz w:val="24"/>
          <w:szCs w:val="24"/>
        </w:rPr>
        <w:t>ie będzie bowiem wymagał</w:t>
      </w:r>
      <w:r>
        <w:rPr>
          <w:rFonts w:ascii="Times New Roman" w:hAnsi="Times New Roman" w:cs="Times New Roman"/>
          <w:sz w:val="24"/>
          <w:szCs w:val="24"/>
        </w:rPr>
        <w:t>o</w:t>
      </w:r>
      <w:r w:rsidR="002B2A73">
        <w:rPr>
          <w:rFonts w:ascii="Times New Roman" w:hAnsi="Times New Roman" w:cs="Times New Roman"/>
          <w:sz w:val="24"/>
          <w:szCs w:val="24"/>
        </w:rPr>
        <w:t xml:space="preserve"> </w:t>
      </w:r>
      <w:r w:rsidR="004C7F51">
        <w:rPr>
          <w:rFonts w:ascii="Times New Roman" w:hAnsi="Times New Roman" w:cs="Times New Roman"/>
          <w:sz w:val="24"/>
          <w:szCs w:val="24"/>
        </w:rPr>
        <w:t>uznania</w:t>
      </w:r>
      <w:r w:rsidR="002B2A73">
        <w:rPr>
          <w:rFonts w:ascii="Times New Roman" w:hAnsi="Times New Roman" w:cs="Times New Roman"/>
          <w:sz w:val="24"/>
          <w:szCs w:val="24"/>
        </w:rPr>
        <w:t xml:space="preserve"> lub stwierdzenia </w:t>
      </w:r>
      <w:r w:rsidR="004C7F51">
        <w:rPr>
          <w:rFonts w:ascii="Times New Roman" w:hAnsi="Times New Roman" w:cs="Times New Roman"/>
          <w:sz w:val="24"/>
          <w:szCs w:val="24"/>
        </w:rPr>
        <w:t>wykonalności.</w:t>
      </w:r>
    </w:p>
    <w:p w:rsidR="002F7AE7" w:rsidRPr="00A70F67" w:rsidRDefault="002F7AE7" w:rsidP="00742F28">
      <w:pPr>
        <w:pStyle w:val="Akapitzlist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64EF8" w:rsidRDefault="00CE4DBE" w:rsidP="00742F28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Co się zmieni w odniesieniu do jurysdykcji</w:t>
      </w:r>
    </w:p>
    <w:p w:rsidR="00742F28" w:rsidRPr="00A70F67" w:rsidRDefault="00742F28" w:rsidP="00742F28">
      <w:pPr>
        <w:pStyle w:val="Akapitzlist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E35F01" w:rsidRPr="006A4957" w:rsidRDefault="0097775C" w:rsidP="006A4957">
      <w:pPr>
        <w:pStyle w:val="Akapitzlist"/>
        <w:numPr>
          <w:ilvl w:val="0"/>
          <w:numId w:val="9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A495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Rozporządzenie wprowadza </w:t>
      </w:r>
      <w:r w:rsidR="00443B16" w:rsidRPr="006A495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jako zasadnicze kryterium jurysdykcji w sprawach </w:t>
      </w:r>
      <w:r w:rsidR="00E35F01" w:rsidRPr="006A495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spadkowych </w:t>
      </w:r>
      <w:r w:rsidR="00443B16" w:rsidRPr="006A4957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ostatnie miejsce zwykłego pobytu spadkodawcy</w:t>
      </w:r>
      <w:r w:rsidR="00443B16" w:rsidRPr="006A4957">
        <w:rPr>
          <w:rFonts w:ascii="Times New Roman" w:eastAsia="Times New Roman" w:hAnsi="Times New Roman" w:cs="Times New Roman"/>
          <w:sz w:val="24"/>
          <w:szCs w:val="24"/>
          <w:lang w:eastAsia="pl-PL"/>
        </w:rPr>
        <w:t>. Oznacza</w:t>
      </w:r>
      <w:r w:rsidR="00E35F01" w:rsidRPr="006A495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to, że co do zasady jurysdykcję</w:t>
      </w:r>
      <w:r w:rsidR="00443B16" w:rsidRPr="006A495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danej sprawie spadkowej posiadać będą sądy państwa</w:t>
      </w:r>
      <w:r w:rsidR="00DD2FBB" w:rsidRPr="006A495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członkowskiego Unii Europejskiej</w:t>
      </w:r>
      <w:r w:rsidR="00443B16" w:rsidRPr="006A4957">
        <w:rPr>
          <w:rFonts w:ascii="Times New Roman" w:eastAsia="Times New Roman" w:hAnsi="Times New Roman" w:cs="Times New Roman"/>
          <w:sz w:val="24"/>
          <w:szCs w:val="24"/>
          <w:lang w:eastAsia="pl-PL"/>
        </w:rPr>
        <w:t>, w którym spadkodawca miał w chwili śmierci</w:t>
      </w:r>
      <w:r w:rsidR="0085738D" w:rsidRPr="006A495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85738D" w:rsidRPr="006A4957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miejsce zwykłego pobytu, niezależnie od obywatelstwa spadkodawcy czy miejsca położenia majątku spadkowego, w tym nieruch</w:t>
      </w:r>
      <w:r w:rsidR="0082250B" w:rsidRPr="006A4957">
        <w:rPr>
          <w:rFonts w:ascii="Times New Roman" w:eastAsia="Times New Roman" w:hAnsi="Times New Roman" w:cs="Times New Roman"/>
          <w:sz w:val="24"/>
          <w:szCs w:val="24"/>
          <w:lang w:eastAsia="pl-PL"/>
        </w:rPr>
        <w:t>omoś</w:t>
      </w:r>
      <w:r w:rsidR="0085738D" w:rsidRPr="006A4957">
        <w:rPr>
          <w:rFonts w:ascii="Times New Roman" w:eastAsia="Times New Roman" w:hAnsi="Times New Roman" w:cs="Times New Roman"/>
          <w:sz w:val="24"/>
          <w:szCs w:val="24"/>
          <w:lang w:eastAsia="pl-PL"/>
        </w:rPr>
        <w:t>ci.</w:t>
      </w:r>
    </w:p>
    <w:p w:rsidR="001520C6" w:rsidRDefault="00E35F01" w:rsidP="006A4957">
      <w:pPr>
        <w:spacing w:after="0" w:line="36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70F6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Jest to </w:t>
      </w:r>
      <w:r w:rsidRPr="00952649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istotna różnica w stosunku do </w:t>
      </w:r>
      <w:r w:rsidR="00952649" w:rsidRPr="00952649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dotychczasowego </w:t>
      </w:r>
      <w:r w:rsidRPr="00952649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stanu </w:t>
      </w:r>
      <w:r w:rsidR="00952649" w:rsidRPr="00952649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prawnego </w:t>
      </w:r>
      <w:r w:rsidRPr="00952649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w Polsce</w:t>
      </w:r>
      <w:r w:rsidR="0095264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  <w:r w:rsidR="00896675">
        <w:rPr>
          <w:rFonts w:ascii="Times New Roman" w:eastAsia="Times New Roman" w:hAnsi="Times New Roman" w:cs="Times New Roman"/>
          <w:sz w:val="24"/>
          <w:szCs w:val="24"/>
          <w:lang w:eastAsia="pl-PL"/>
        </w:rPr>
        <w:t>Obecnie</w:t>
      </w:r>
      <w:r w:rsidR="001D6AA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sądy polskie m</w:t>
      </w:r>
      <w:r w:rsidR="00896675">
        <w:rPr>
          <w:rFonts w:ascii="Times New Roman" w:eastAsia="Times New Roman" w:hAnsi="Times New Roman" w:cs="Times New Roman"/>
          <w:sz w:val="24"/>
          <w:szCs w:val="24"/>
          <w:lang w:eastAsia="pl-PL"/>
        </w:rPr>
        <w:t>ają</w:t>
      </w:r>
      <w:r w:rsidR="001D6AA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jurysdykcję w sprawach spadkowych</w:t>
      </w:r>
      <w:r w:rsidR="001A049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jeżeli spełnione </w:t>
      </w:r>
      <w:r w:rsidR="0089667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jest </w:t>
      </w:r>
      <w:r w:rsidR="001A049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jedno z następujących kryteriów: </w:t>
      </w:r>
      <w:r w:rsidR="00124E8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spadkodawca w chwili śmierci był obywatelem polskim lub miał w Polsce miejsce zamieszkania bądź zwykłego pobytu lub </w:t>
      </w:r>
      <w:r w:rsidR="00F64D54">
        <w:rPr>
          <w:rFonts w:ascii="Times New Roman" w:eastAsia="Times New Roman" w:hAnsi="Times New Roman" w:cs="Times New Roman"/>
          <w:sz w:val="24"/>
          <w:szCs w:val="24"/>
          <w:lang w:eastAsia="pl-PL"/>
        </w:rPr>
        <w:t>w Polsce znajdował się majątek spadkowy bądź jego znaczna część. P</w:t>
      </w:r>
      <w:r w:rsidRPr="00A70F67">
        <w:rPr>
          <w:rFonts w:ascii="Times New Roman" w:eastAsia="Times New Roman" w:hAnsi="Times New Roman" w:cs="Times New Roman"/>
          <w:sz w:val="24"/>
          <w:szCs w:val="24"/>
          <w:lang w:eastAsia="pl-PL"/>
        </w:rPr>
        <w:t>onad</w:t>
      </w:r>
      <w:r w:rsidR="00F64D5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to </w:t>
      </w:r>
      <w:r w:rsidR="00896675">
        <w:rPr>
          <w:rFonts w:ascii="Times New Roman" w:eastAsia="Times New Roman" w:hAnsi="Times New Roman" w:cs="Times New Roman"/>
          <w:sz w:val="24"/>
          <w:szCs w:val="24"/>
          <w:lang w:eastAsia="pl-PL"/>
        </w:rPr>
        <w:t>sądy polskie m</w:t>
      </w:r>
      <w:r w:rsidR="00D846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ają obecnie wyłączną jurysdykcję </w:t>
      </w:r>
      <w:r w:rsidR="0004540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sprawie spadkowej, która dotyczy </w:t>
      </w:r>
      <w:r w:rsidRPr="00A70F67">
        <w:rPr>
          <w:rFonts w:ascii="Times New Roman" w:eastAsia="Times New Roman" w:hAnsi="Times New Roman" w:cs="Times New Roman"/>
          <w:sz w:val="24"/>
          <w:szCs w:val="24"/>
          <w:lang w:eastAsia="pl-PL"/>
        </w:rPr>
        <w:t>nieruchomości położonej w Polsce.</w:t>
      </w:r>
    </w:p>
    <w:p w:rsidR="00F8057D" w:rsidRDefault="001520C6" w:rsidP="006A4957">
      <w:pPr>
        <w:spacing w:after="0" w:line="36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24D0C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Zmiany te </w:t>
      </w:r>
      <w:r w:rsidR="004B744A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mają</w:t>
      </w:r>
      <w:r w:rsidR="00AE3CDC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 znaczenie</w:t>
      </w:r>
      <w:r w:rsidRPr="00F24D0C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 przede wszystkich</w:t>
      </w:r>
      <w:r w:rsidR="00E35F01" w:rsidRPr="00F24D0C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 </w:t>
      </w:r>
      <w:r w:rsidR="00EE2F20" w:rsidRPr="00F24D0C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dla tych obywateli polskich (i ich rodzin), którzy wyjechali z Polski</w:t>
      </w:r>
      <w:r w:rsidR="007D4E61" w:rsidRPr="00F24D0C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 i zmienili swoje miejsce zwykłego pobytu</w:t>
      </w:r>
      <w:r w:rsidR="00EB4DC0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 lub maja zamiar to uczynić</w:t>
      </w:r>
      <w:r w:rsidR="007D4E6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  <w:r w:rsidR="00F24D0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tych </w:t>
      </w:r>
      <w:r w:rsidR="00502658">
        <w:rPr>
          <w:rFonts w:ascii="Times New Roman" w:eastAsia="Times New Roman" w:hAnsi="Times New Roman" w:cs="Times New Roman"/>
          <w:sz w:val="24"/>
          <w:szCs w:val="24"/>
          <w:lang w:eastAsia="pl-PL"/>
        </w:rPr>
        <w:t>bowiem przypadkach</w:t>
      </w:r>
      <w:r w:rsidR="0032556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jurysdykcja w dotyczących ich sprawach spadkowych przysługiwać będzie </w:t>
      </w:r>
      <w:r w:rsidR="00376BA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– co do zasady – </w:t>
      </w:r>
      <w:r w:rsidR="0032556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sądom polskim, tylko sądom innego państwa, a zatem </w:t>
      </w:r>
      <w:r w:rsidR="00376BAC">
        <w:rPr>
          <w:rFonts w:ascii="Times New Roman" w:eastAsia="Times New Roman" w:hAnsi="Times New Roman" w:cs="Times New Roman"/>
          <w:sz w:val="24"/>
          <w:szCs w:val="24"/>
          <w:lang w:eastAsia="pl-PL"/>
        </w:rPr>
        <w:t>kwestie spadkowe trzeba będzie załatwiać za granicą.</w:t>
      </w:r>
    </w:p>
    <w:p w:rsidR="00166AB6" w:rsidRPr="006A4957" w:rsidRDefault="00F17F93" w:rsidP="006A4957">
      <w:pPr>
        <w:pStyle w:val="Akapitzlist"/>
        <w:numPr>
          <w:ilvl w:val="0"/>
          <w:numId w:val="9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A495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Rozporządzenie </w:t>
      </w:r>
      <w:r w:rsidR="00566873" w:rsidRPr="006A495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przewiduje </w:t>
      </w:r>
      <w:r w:rsidR="00C92F09" w:rsidRPr="006A4957">
        <w:rPr>
          <w:rFonts w:ascii="Times New Roman" w:eastAsia="Times New Roman" w:hAnsi="Times New Roman" w:cs="Times New Roman"/>
          <w:sz w:val="24"/>
          <w:szCs w:val="24"/>
          <w:lang w:eastAsia="pl-PL"/>
        </w:rPr>
        <w:t>także pewne odstępstwa od opisanej wyżej</w:t>
      </w:r>
      <w:r w:rsidR="00DD352B" w:rsidRPr="006A495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zasady jury</w:t>
      </w:r>
      <w:r w:rsidR="00D87F5B" w:rsidRPr="006A4957">
        <w:rPr>
          <w:rFonts w:ascii="Times New Roman" w:eastAsia="Times New Roman" w:hAnsi="Times New Roman" w:cs="Times New Roman"/>
          <w:sz w:val="24"/>
          <w:szCs w:val="24"/>
          <w:lang w:eastAsia="pl-PL"/>
        </w:rPr>
        <w:t>sdykcji</w:t>
      </w:r>
      <w:r w:rsidR="00037022" w:rsidRPr="006A495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a nadto </w:t>
      </w:r>
      <w:r w:rsidR="00E056F9" w:rsidRPr="006A4957">
        <w:rPr>
          <w:rFonts w:ascii="Times New Roman" w:eastAsia="Times New Roman" w:hAnsi="Times New Roman" w:cs="Times New Roman"/>
          <w:sz w:val="24"/>
          <w:szCs w:val="24"/>
          <w:lang w:eastAsia="pl-PL"/>
        </w:rPr>
        <w:t>pewne kryteria uzupełniające</w:t>
      </w:r>
      <w:r w:rsidR="00D87F5B" w:rsidRPr="006A495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dotyczące </w:t>
      </w:r>
      <w:r w:rsidR="00DD352B" w:rsidRPr="006A495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jej </w:t>
      </w:r>
      <w:r w:rsidR="002C7596" w:rsidRPr="006A4957">
        <w:rPr>
          <w:rFonts w:ascii="Times New Roman" w:eastAsia="Times New Roman" w:hAnsi="Times New Roman" w:cs="Times New Roman"/>
          <w:sz w:val="24"/>
          <w:szCs w:val="24"/>
          <w:lang w:eastAsia="pl-PL"/>
        </w:rPr>
        <w:t>ustalania</w:t>
      </w:r>
      <w:r w:rsidR="00E056F9" w:rsidRPr="006A495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 w:rsidR="00037022" w:rsidRPr="006A4957">
        <w:rPr>
          <w:rFonts w:ascii="Times New Roman" w:eastAsia="Times New Roman" w:hAnsi="Times New Roman" w:cs="Times New Roman"/>
          <w:sz w:val="24"/>
          <w:szCs w:val="24"/>
          <w:lang w:eastAsia="pl-PL"/>
        </w:rPr>
        <w:t>które znajdą</w:t>
      </w:r>
      <w:r w:rsidR="00E056F9" w:rsidRPr="006A495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zastosowanie w sytuacji, </w:t>
      </w:r>
      <w:r w:rsidR="00037022" w:rsidRPr="006A495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gdy </w:t>
      </w:r>
      <w:r w:rsidR="00E056F9" w:rsidRPr="006A495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miejsce zwykłego pobytu spadkodawcy w chwili śmierci </w:t>
      </w:r>
      <w:r w:rsidR="00D87F5B" w:rsidRPr="006A4957">
        <w:rPr>
          <w:rFonts w:ascii="Times New Roman" w:eastAsia="Times New Roman" w:hAnsi="Times New Roman" w:cs="Times New Roman"/>
          <w:sz w:val="24"/>
          <w:szCs w:val="24"/>
          <w:lang w:eastAsia="pl-PL"/>
        </w:rPr>
        <w:t>nie znajdował</w:t>
      </w:r>
      <w:r w:rsidR="00DD352B" w:rsidRPr="006A4957">
        <w:rPr>
          <w:rFonts w:ascii="Times New Roman" w:eastAsia="Times New Roman" w:hAnsi="Times New Roman" w:cs="Times New Roman"/>
          <w:sz w:val="24"/>
          <w:szCs w:val="24"/>
          <w:lang w:eastAsia="pl-PL"/>
        </w:rPr>
        <w:t>o</w:t>
      </w:r>
      <w:r w:rsidR="00D87F5B" w:rsidRPr="006A495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się w żadnym państw</w:t>
      </w:r>
      <w:r w:rsidR="00DD352B" w:rsidRPr="006A4957">
        <w:rPr>
          <w:rFonts w:ascii="Times New Roman" w:eastAsia="Times New Roman" w:hAnsi="Times New Roman" w:cs="Times New Roman"/>
          <w:sz w:val="24"/>
          <w:szCs w:val="24"/>
          <w:lang w:eastAsia="pl-PL"/>
        </w:rPr>
        <w:t>ie członkowskim Unii Europejskiej</w:t>
      </w:r>
      <w:r w:rsidR="00E056F9" w:rsidRPr="006A495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166AB6" w:rsidRPr="006A4957">
        <w:rPr>
          <w:rFonts w:ascii="Times New Roman" w:eastAsia="Times New Roman" w:hAnsi="Times New Roman" w:cs="Times New Roman"/>
          <w:sz w:val="24"/>
          <w:szCs w:val="24"/>
          <w:lang w:eastAsia="pl-PL"/>
        </w:rPr>
        <w:t>związanym rozporządzeniem.</w:t>
      </w:r>
    </w:p>
    <w:p w:rsidR="00C520F4" w:rsidRPr="006A4957" w:rsidRDefault="008C0485" w:rsidP="006A4957">
      <w:pPr>
        <w:pStyle w:val="Akapitzlist"/>
        <w:numPr>
          <w:ilvl w:val="0"/>
          <w:numId w:val="9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A495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Najważniejsze odstępstwo od jurysdykcji opartej na kryterium miejsca zwykłego pobytu spadkodawcy w chwili śmierci </w:t>
      </w:r>
      <w:r w:rsidR="0019254F" w:rsidRPr="006A495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polega na </w:t>
      </w:r>
      <w:r w:rsidR="0019254F" w:rsidRPr="006A4957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możliwości zawarcia przez spadkobierców umowy </w:t>
      </w:r>
      <w:proofErr w:type="spellStart"/>
      <w:r w:rsidR="0019254F" w:rsidRPr="006A4957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prorogacyjnej</w:t>
      </w:r>
      <w:proofErr w:type="spellEnd"/>
      <w:r w:rsidR="00313B4C" w:rsidRPr="006A4957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,</w:t>
      </w:r>
      <w:r w:rsidR="00313B4C" w:rsidRPr="006A495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która</w:t>
      </w:r>
      <w:r w:rsidR="00145CB9" w:rsidRPr="006A495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313B4C" w:rsidRPr="006A495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odmiennie określi jurysdykcję w danej sprawie spadkowej </w:t>
      </w:r>
      <w:r w:rsidR="00145CB9" w:rsidRPr="006A4957">
        <w:rPr>
          <w:rFonts w:ascii="Times New Roman" w:eastAsia="Times New Roman" w:hAnsi="Times New Roman" w:cs="Times New Roman"/>
          <w:sz w:val="24"/>
          <w:szCs w:val="24"/>
          <w:lang w:eastAsia="pl-PL"/>
        </w:rPr>
        <w:t>(jest to kolejna istotna zmiana w stosunku do obecnego stanu prawnego w Polsce: polskie przepisy przewidują</w:t>
      </w:r>
      <w:r w:rsidR="00313B4C" w:rsidRPr="006A495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dziś</w:t>
      </w:r>
      <w:r w:rsidR="00145CB9" w:rsidRPr="006A495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tak</w:t>
      </w:r>
      <w:r w:rsidR="00004FDA">
        <w:rPr>
          <w:rFonts w:ascii="Times New Roman" w:eastAsia="Times New Roman" w:hAnsi="Times New Roman" w:cs="Times New Roman"/>
          <w:sz w:val="24"/>
          <w:szCs w:val="24"/>
          <w:lang w:eastAsia="pl-PL"/>
        </w:rPr>
        <w:t>ą możliwość tylko w odniesieniu do niektórych rodzajów spraw spadkowych, takich jak dział spadku)</w:t>
      </w:r>
      <w:r w:rsidR="00145CB9" w:rsidRPr="006A495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  <w:r w:rsidR="001472E4" w:rsidRPr="009C5C5A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U</w:t>
      </w:r>
      <w:r w:rsidR="00313B4C" w:rsidRPr="009C5C5A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mow</w:t>
      </w:r>
      <w:r w:rsidR="001472E4" w:rsidRPr="009C5C5A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a taka jest jednak dopuszczalna</w:t>
      </w:r>
      <w:r w:rsidR="00313B4C" w:rsidRPr="009C5C5A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 tylko wtedy</w:t>
      </w:r>
      <w:r w:rsidR="00F17F93" w:rsidRPr="009C5C5A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, </w:t>
      </w:r>
      <w:r w:rsidR="00F17F93" w:rsidRPr="006A4957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gdy spadkodawca dokonał wyboru prawa</w:t>
      </w:r>
      <w:r w:rsidR="001472E4" w:rsidRPr="006A495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może </w:t>
      </w:r>
      <w:r w:rsidR="004242D9" w:rsidRPr="006A4957">
        <w:rPr>
          <w:rFonts w:ascii="Times New Roman" w:eastAsia="Times New Roman" w:hAnsi="Times New Roman" w:cs="Times New Roman"/>
          <w:sz w:val="24"/>
          <w:szCs w:val="24"/>
          <w:lang w:eastAsia="pl-PL"/>
        </w:rPr>
        <w:t>przyznawać jurysdykcję sądom tylko tego państwa, którego prawo wybrał spadkodawc</w:t>
      </w:r>
      <w:r w:rsidR="00203EAF" w:rsidRPr="006A495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 jako prawo właściwe. </w:t>
      </w:r>
      <w:r w:rsidR="0053206B" w:rsidRPr="006A4957">
        <w:rPr>
          <w:rFonts w:ascii="Times New Roman" w:eastAsia="Times New Roman" w:hAnsi="Times New Roman" w:cs="Times New Roman"/>
          <w:sz w:val="24"/>
          <w:szCs w:val="24"/>
          <w:lang w:eastAsia="pl-PL"/>
        </w:rPr>
        <w:t>Z</w:t>
      </w:r>
      <w:r w:rsidR="00F62980" w:rsidRPr="006A4957">
        <w:rPr>
          <w:rFonts w:ascii="Times New Roman" w:eastAsia="Times New Roman" w:hAnsi="Times New Roman" w:cs="Times New Roman"/>
          <w:sz w:val="24"/>
          <w:szCs w:val="24"/>
          <w:lang w:eastAsia="pl-PL"/>
        </w:rPr>
        <w:t>e</w:t>
      </w:r>
      <w:r w:rsidR="0053206B" w:rsidRPr="006A495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F62980" w:rsidRPr="006A4957">
        <w:rPr>
          <w:rFonts w:ascii="Times New Roman" w:eastAsia="Times New Roman" w:hAnsi="Times New Roman" w:cs="Times New Roman"/>
          <w:sz w:val="24"/>
          <w:szCs w:val="24"/>
          <w:lang w:eastAsia="pl-PL"/>
        </w:rPr>
        <w:t>względu</w:t>
      </w:r>
      <w:r w:rsidR="0053206B" w:rsidRPr="006A495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 to, że spadkodawca może wybrać</w:t>
      </w:r>
      <w:r w:rsidR="003022F8" w:rsidRPr="006A495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53206B" w:rsidRPr="006A495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jako </w:t>
      </w:r>
      <w:r w:rsidR="00F62980" w:rsidRPr="006A4957">
        <w:rPr>
          <w:rFonts w:ascii="Times New Roman" w:eastAsia="Times New Roman" w:hAnsi="Times New Roman" w:cs="Times New Roman"/>
          <w:sz w:val="24"/>
          <w:szCs w:val="24"/>
          <w:lang w:eastAsia="pl-PL"/>
        </w:rPr>
        <w:t>prawo właściwe</w:t>
      </w:r>
      <w:r w:rsidR="00247793" w:rsidRPr="006A495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tylko </w:t>
      </w:r>
      <w:r w:rsidR="0053206B" w:rsidRPr="006A4957">
        <w:rPr>
          <w:rFonts w:ascii="Times New Roman" w:eastAsia="Times New Roman" w:hAnsi="Times New Roman" w:cs="Times New Roman"/>
          <w:sz w:val="24"/>
          <w:szCs w:val="24"/>
          <w:lang w:eastAsia="pl-PL"/>
        </w:rPr>
        <w:t>prawo ojczyste, tj. prawo państwa</w:t>
      </w:r>
      <w:r w:rsidR="00247793" w:rsidRPr="006A4957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="0053206B" w:rsidRPr="006A495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którego jest obywatelem (o czym niżej), </w:t>
      </w:r>
      <w:r w:rsidR="00247793" w:rsidRPr="006A495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praktyce oznacza to, że zawarcie umowy </w:t>
      </w:r>
      <w:proofErr w:type="spellStart"/>
      <w:r w:rsidR="00F62980" w:rsidRPr="006A4957">
        <w:rPr>
          <w:rFonts w:ascii="Times New Roman" w:eastAsia="Times New Roman" w:hAnsi="Times New Roman" w:cs="Times New Roman"/>
          <w:sz w:val="24"/>
          <w:szCs w:val="24"/>
          <w:lang w:eastAsia="pl-PL"/>
        </w:rPr>
        <w:t>prorogacyjnej</w:t>
      </w:r>
      <w:proofErr w:type="spellEnd"/>
      <w:r w:rsidR="00F62980" w:rsidRPr="006A495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E41DE1" w:rsidRPr="006A495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będzie prowadziło do </w:t>
      </w:r>
      <w:r w:rsidR="00C520F4" w:rsidRPr="006A4957">
        <w:rPr>
          <w:rFonts w:ascii="Times New Roman" w:eastAsia="Times New Roman" w:hAnsi="Times New Roman" w:cs="Times New Roman"/>
          <w:sz w:val="24"/>
          <w:szCs w:val="24"/>
          <w:lang w:eastAsia="pl-PL"/>
        </w:rPr>
        <w:t>jurysdykcji sądów państwa obywatelstwa spadkodawcy.</w:t>
      </w:r>
    </w:p>
    <w:p w:rsidR="00B636B2" w:rsidRDefault="00EC754E" w:rsidP="006A4957">
      <w:pPr>
        <w:spacing w:after="0" w:line="36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0588A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lastRenderedPageBreak/>
        <w:t xml:space="preserve">To rozwiązanie </w:t>
      </w:r>
      <w:r w:rsidR="004928B8" w:rsidRPr="0090588A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może być przydatne dla tych obywateli polskich (i ich rodzin), którzy wyjechali z Polski i zmienili swoje miejsce zwykłego pobytu.</w:t>
      </w:r>
      <w:r w:rsidR="004928B8" w:rsidRPr="004928B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4928B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przypadku dokonania przez nich wyboru prawa polskiego jako prawa właściwego </w:t>
      </w:r>
      <w:r w:rsidR="00642D2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dla spadku </w:t>
      </w:r>
      <w:r w:rsidR="004928B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oraz </w:t>
      </w:r>
      <w:r w:rsidR="0090588A">
        <w:rPr>
          <w:rFonts w:ascii="Times New Roman" w:eastAsia="Times New Roman" w:hAnsi="Times New Roman" w:cs="Times New Roman"/>
          <w:sz w:val="24"/>
          <w:szCs w:val="24"/>
          <w:lang w:eastAsia="pl-PL"/>
        </w:rPr>
        <w:t>zawarcia</w:t>
      </w:r>
      <w:r w:rsidR="004928B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przez </w:t>
      </w:r>
      <w:r w:rsidR="00B636B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ich </w:t>
      </w:r>
      <w:r w:rsidR="0090588A">
        <w:rPr>
          <w:rFonts w:ascii="Times New Roman" w:eastAsia="Times New Roman" w:hAnsi="Times New Roman" w:cs="Times New Roman"/>
          <w:sz w:val="24"/>
          <w:szCs w:val="24"/>
          <w:lang w:eastAsia="pl-PL"/>
        </w:rPr>
        <w:t>spadkobierców</w:t>
      </w:r>
      <w:r w:rsidR="004928B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90588A">
        <w:rPr>
          <w:rFonts w:ascii="Times New Roman" w:eastAsia="Times New Roman" w:hAnsi="Times New Roman" w:cs="Times New Roman"/>
          <w:sz w:val="24"/>
          <w:szCs w:val="24"/>
          <w:lang w:eastAsia="pl-PL"/>
        </w:rPr>
        <w:t>umowy</w:t>
      </w:r>
      <w:r w:rsidR="004928B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="004928B8">
        <w:rPr>
          <w:rFonts w:ascii="Times New Roman" w:eastAsia="Times New Roman" w:hAnsi="Times New Roman" w:cs="Times New Roman"/>
          <w:sz w:val="24"/>
          <w:szCs w:val="24"/>
          <w:lang w:eastAsia="pl-PL"/>
        </w:rPr>
        <w:t>prorogacyjnej</w:t>
      </w:r>
      <w:proofErr w:type="spellEnd"/>
      <w:r w:rsidR="00B636B2">
        <w:rPr>
          <w:rFonts w:ascii="Times New Roman" w:eastAsia="Times New Roman" w:hAnsi="Times New Roman" w:cs="Times New Roman"/>
          <w:sz w:val="24"/>
          <w:szCs w:val="24"/>
          <w:lang w:eastAsia="pl-PL"/>
        </w:rPr>
        <w:t>, przyznającej jurysdykcję są</w:t>
      </w:r>
      <w:r w:rsidR="0090588A">
        <w:rPr>
          <w:rFonts w:ascii="Times New Roman" w:eastAsia="Times New Roman" w:hAnsi="Times New Roman" w:cs="Times New Roman"/>
          <w:sz w:val="24"/>
          <w:szCs w:val="24"/>
          <w:lang w:eastAsia="pl-PL"/>
        </w:rPr>
        <w:t>dom po</w:t>
      </w:r>
      <w:r w:rsidR="00B636B2">
        <w:rPr>
          <w:rFonts w:ascii="Times New Roman" w:eastAsia="Times New Roman" w:hAnsi="Times New Roman" w:cs="Times New Roman"/>
          <w:sz w:val="24"/>
          <w:szCs w:val="24"/>
          <w:lang w:eastAsia="pl-PL"/>
        </w:rPr>
        <w:t>ls</w:t>
      </w:r>
      <w:r w:rsidR="0090588A">
        <w:rPr>
          <w:rFonts w:ascii="Times New Roman" w:eastAsia="Times New Roman" w:hAnsi="Times New Roman" w:cs="Times New Roman"/>
          <w:sz w:val="24"/>
          <w:szCs w:val="24"/>
          <w:lang w:eastAsia="pl-PL"/>
        </w:rPr>
        <w:t>kim,</w:t>
      </w:r>
      <w:r w:rsidR="00B636B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sprawa spadkowa mogłaby być załatwiana w Polsce, a nie za granicą.</w:t>
      </w:r>
    </w:p>
    <w:p w:rsidR="00275F47" w:rsidRPr="00642D2F" w:rsidRDefault="001D079F" w:rsidP="00642D2F">
      <w:pPr>
        <w:pStyle w:val="Akapitzlist"/>
        <w:numPr>
          <w:ilvl w:val="0"/>
          <w:numId w:val="1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 sytuacji, w</w:t>
      </w:r>
      <w:r w:rsidR="003426F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której spadkodawca w chwili śmierci nie miał miejsca zwykłego </w:t>
      </w:r>
      <w:r w:rsidR="003426F5">
        <w:rPr>
          <w:rFonts w:ascii="Times New Roman" w:eastAsia="Times New Roman" w:hAnsi="Times New Roman" w:cs="Times New Roman"/>
          <w:sz w:val="24"/>
          <w:szCs w:val="24"/>
          <w:lang w:eastAsia="pl-PL"/>
        </w:rPr>
        <w:t>pobytu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żadnym państwie członkowskim</w:t>
      </w:r>
      <w:r w:rsidR="003426F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Unii Europej</w:t>
      </w:r>
      <w:r w:rsidR="009571BA">
        <w:rPr>
          <w:rFonts w:ascii="Times New Roman" w:eastAsia="Times New Roman" w:hAnsi="Times New Roman" w:cs="Times New Roman"/>
          <w:sz w:val="24"/>
          <w:szCs w:val="24"/>
          <w:lang w:eastAsia="pl-PL"/>
        </w:rPr>
        <w:t>s</w:t>
      </w:r>
      <w:r w:rsidR="003426F5">
        <w:rPr>
          <w:rFonts w:ascii="Times New Roman" w:eastAsia="Times New Roman" w:hAnsi="Times New Roman" w:cs="Times New Roman"/>
          <w:sz w:val="24"/>
          <w:szCs w:val="24"/>
          <w:lang w:eastAsia="pl-PL"/>
        </w:rPr>
        <w:t>ki</w:t>
      </w:r>
      <w:r w:rsidR="009571BA">
        <w:rPr>
          <w:rFonts w:ascii="Times New Roman" w:eastAsia="Times New Roman" w:hAnsi="Times New Roman" w:cs="Times New Roman"/>
          <w:sz w:val="24"/>
          <w:szCs w:val="24"/>
          <w:lang w:eastAsia="pl-PL"/>
        </w:rPr>
        <w:t>ej</w:t>
      </w:r>
      <w:r w:rsidR="003426F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związanym rozporządzeniem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 w:rsidR="003426F5">
        <w:rPr>
          <w:rFonts w:ascii="Times New Roman" w:eastAsia="Times New Roman" w:hAnsi="Times New Roman" w:cs="Times New Roman"/>
          <w:sz w:val="24"/>
          <w:szCs w:val="24"/>
          <w:lang w:eastAsia="pl-PL"/>
        </w:rPr>
        <w:t>zastosowanie mogą znaleźć uzupełniające kryteri</w:t>
      </w:r>
      <w:r w:rsidR="00AB399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 </w:t>
      </w:r>
      <w:r w:rsidR="003426F5">
        <w:rPr>
          <w:rFonts w:ascii="Times New Roman" w:eastAsia="Times New Roman" w:hAnsi="Times New Roman" w:cs="Times New Roman"/>
          <w:sz w:val="24"/>
          <w:szCs w:val="24"/>
          <w:lang w:eastAsia="pl-PL"/>
        </w:rPr>
        <w:t>ustalania jurysdy</w:t>
      </w:r>
      <w:r w:rsidR="00AB399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kcji. Najważniejszym z nich jest </w:t>
      </w:r>
      <w:r w:rsidR="00AB399D" w:rsidRPr="00AB399D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miejsce położenia majątku spadkowego</w:t>
      </w:r>
      <w:r w:rsidR="00AB399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  <w:r w:rsidR="008220D0">
        <w:rPr>
          <w:rFonts w:ascii="Times New Roman" w:eastAsia="Times New Roman" w:hAnsi="Times New Roman" w:cs="Times New Roman"/>
          <w:sz w:val="24"/>
          <w:szCs w:val="24"/>
          <w:lang w:eastAsia="pl-PL"/>
        </w:rPr>
        <w:t>Ustalenie</w:t>
      </w:r>
      <w:r w:rsidR="002B4BA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jurysdykcji na podstawie tego </w:t>
      </w:r>
      <w:r w:rsidR="0052211E">
        <w:rPr>
          <w:rFonts w:ascii="Times New Roman" w:eastAsia="Times New Roman" w:hAnsi="Times New Roman" w:cs="Times New Roman"/>
          <w:sz w:val="24"/>
          <w:szCs w:val="24"/>
          <w:lang w:eastAsia="pl-PL"/>
        </w:rPr>
        <w:t>kryterium</w:t>
      </w:r>
      <w:r w:rsidR="002B4BA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możliwe jest</w:t>
      </w:r>
      <w:r w:rsidR="006C42B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jednak </w:t>
      </w:r>
      <w:r w:rsidR="002B4BA1">
        <w:rPr>
          <w:rFonts w:ascii="Times New Roman" w:eastAsia="Times New Roman" w:hAnsi="Times New Roman" w:cs="Times New Roman"/>
          <w:sz w:val="24"/>
          <w:szCs w:val="24"/>
          <w:lang w:eastAsia="pl-PL"/>
        </w:rPr>
        <w:t>tylko wtedy</w:t>
      </w:r>
      <w:r w:rsidR="006C42B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 w:rsidR="002B4BA1">
        <w:rPr>
          <w:rFonts w:ascii="Times New Roman" w:eastAsia="Times New Roman" w:hAnsi="Times New Roman" w:cs="Times New Roman"/>
          <w:sz w:val="24"/>
          <w:szCs w:val="24"/>
          <w:lang w:eastAsia="pl-PL"/>
        </w:rPr>
        <w:t>g</w:t>
      </w:r>
      <w:r w:rsidR="008220D0">
        <w:rPr>
          <w:rFonts w:ascii="Times New Roman" w:eastAsia="Times New Roman" w:hAnsi="Times New Roman" w:cs="Times New Roman"/>
          <w:sz w:val="24"/>
          <w:szCs w:val="24"/>
          <w:lang w:eastAsia="pl-PL"/>
        </w:rPr>
        <w:t>d</w:t>
      </w:r>
      <w:r w:rsidR="006C42B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y spadkodawca był w chwili śmierci obywatelem </w:t>
      </w:r>
      <w:r w:rsidR="00967CD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danego </w:t>
      </w:r>
      <w:r w:rsidR="006C42B5">
        <w:rPr>
          <w:rFonts w:ascii="Times New Roman" w:eastAsia="Times New Roman" w:hAnsi="Times New Roman" w:cs="Times New Roman"/>
          <w:sz w:val="24"/>
          <w:szCs w:val="24"/>
          <w:lang w:eastAsia="pl-PL"/>
        </w:rPr>
        <w:t>państwa członkowskiego U</w:t>
      </w:r>
      <w:r w:rsidR="00967CD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nii Europejskiej albo przynajmniej miał wcześniej w tym państwie, nie dawniej jednak niż 5 lat przed </w:t>
      </w:r>
      <w:r w:rsidR="002B4BA1">
        <w:rPr>
          <w:rFonts w:ascii="Times New Roman" w:eastAsia="Times New Roman" w:hAnsi="Times New Roman" w:cs="Times New Roman"/>
          <w:sz w:val="24"/>
          <w:szCs w:val="24"/>
          <w:lang w:eastAsia="pl-PL"/>
        </w:rPr>
        <w:t>wniesieniem</w:t>
      </w:r>
      <w:r w:rsidR="0052211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2B4BA1">
        <w:rPr>
          <w:rFonts w:ascii="Times New Roman" w:eastAsia="Times New Roman" w:hAnsi="Times New Roman" w:cs="Times New Roman"/>
          <w:sz w:val="24"/>
          <w:szCs w:val="24"/>
          <w:lang w:eastAsia="pl-PL"/>
        </w:rPr>
        <w:t>przez</w:t>
      </w:r>
      <w:r w:rsidR="0052211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spadkobierców </w:t>
      </w:r>
      <w:r w:rsidR="002B4BA1">
        <w:rPr>
          <w:rFonts w:ascii="Times New Roman" w:eastAsia="Times New Roman" w:hAnsi="Times New Roman" w:cs="Times New Roman"/>
          <w:sz w:val="24"/>
          <w:szCs w:val="24"/>
          <w:lang w:eastAsia="pl-PL"/>
        </w:rPr>
        <w:t>sprawy</w:t>
      </w:r>
      <w:r w:rsidR="0052211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2B4BA1">
        <w:rPr>
          <w:rFonts w:ascii="Times New Roman" w:eastAsia="Times New Roman" w:hAnsi="Times New Roman" w:cs="Times New Roman"/>
          <w:sz w:val="24"/>
          <w:szCs w:val="24"/>
          <w:lang w:eastAsia="pl-PL"/>
        </w:rPr>
        <w:t>spadkowej</w:t>
      </w:r>
      <w:r w:rsidR="0052211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 sądu</w:t>
      </w:r>
      <w:r w:rsidR="00967CDC">
        <w:rPr>
          <w:rFonts w:ascii="Times New Roman" w:eastAsia="Times New Roman" w:hAnsi="Times New Roman" w:cs="Times New Roman"/>
          <w:sz w:val="24"/>
          <w:szCs w:val="24"/>
          <w:lang w:eastAsia="pl-PL"/>
        </w:rPr>
        <w:t>, miejsce zwykłego pobytu</w:t>
      </w:r>
      <w:r w:rsidR="002B4BA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  <w:r w:rsidR="00AC79B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praktyce oznacza to np., że </w:t>
      </w:r>
      <w:r w:rsidR="00DA35A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podstawie omawianego kryterium </w:t>
      </w:r>
      <w:r w:rsidR="00AC79B3">
        <w:rPr>
          <w:rFonts w:ascii="Times New Roman" w:eastAsia="Times New Roman" w:hAnsi="Times New Roman" w:cs="Times New Roman"/>
          <w:sz w:val="24"/>
          <w:szCs w:val="24"/>
          <w:lang w:eastAsia="pl-PL"/>
        </w:rPr>
        <w:t>sądy polskie będą miały jurysdykcję w sprawie spadkowej obywatela polskiego</w:t>
      </w:r>
      <w:r w:rsidR="00DA35A2">
        <w:rPr>
          <w:rFonts w:ascii="Times New Roman" w:eastAsia="Times New Roman" w:hAnsi="Times New Roman" w:cs="Times New Roman"/>
          <w:sz w:val="24"/>
          <w:szCs w:val="24"/>
          <w:lang w:eastAsia="pl-PL"/>
        </w:rPr>
        <w:t>, który w chwili śmierci mia</w:t>
      </w:r>
      <w:r w:rsidR="00FA771B">
        <w:rPr>
          <w:rFonts w:ascii="Times New Roman" w:eastAsia="Times New Roman" w:hAnsi="Times New Roman" w:cs="Times New Roman"/>
          <w:sz w:val="24"/>
          <w:szCs w:val="24"/>
          <w:lang w:eastAsia="pl-PL"/>
        </w:rPr>
        <w:t>ł</w:t>
      </w:r>
      <w:r w:rsidR="00DA35A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miejsce zwykłego pobytu w Kanadzie lub </w:t>
      </w:r>
      <w:r w:rsidR="00FA771B">
        <w:rPr>
          <w:rFonts w:ascii="Times New Roman" w:eastAsia="Times New Roman" w:hAnsi="Times New Roman" w:cs="Times New Roman"/>
          <w:sz w:val="24"/>
          <w:szCs w:val="24"/>
          <w:lang w:eastAsia="pl-PL"/>
        </w:rPr>
        <w:t>Wielkiej</w:t>
      </w:r>
      <w:r w:rsidR="00DA35A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Brytanii, jeżeli w Polsce </w:t>
      </w:r>
      <w:r w:rsidR="00FA771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znajdują się jakieś składniki majątku spadkowego. </w:t>
      </w:r>
    </w:p>
    <w:p w:rsidR="002F7AE7" w:rsidRPr="00A70F67" w:rsidRDefault="002F7AE7" w:rsidP="00742F28">
      <w:pPr>
        <w:pStyle w:val="Akapitzlist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032E73" w:rsidRPr="00A70F67" w:rsidRDefault="00FA771B" w:rsidP="00904EAC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Co się zmieni w odniesieniu do</w:t>
      </w:r>
      <w:r w:rsidR="00904EAC" w:rsidRPr="00904EA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="00904EA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prawa</w:t>
      </w:r>
      <w:r w:rsidR="00584363" w:rsidRPr="00A70F6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właściwe</w:t>
      </w:r>
      <w:r w:rsidR="00904EA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go</w:t>
      </w:r>
      <w:r w:rsidR="00C07FA7" w:rsidRPr="00A70F6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</w:p>
    <w:p w:rsidR="00C92A01" w:rsidRPr="000532A1" w:rsidRDefault="00EF1633" w:rsidP="006674D3">
      <w:pPr>
        <w:pStyle w:val="Akapitzlist"/>
        <w:numPr>
          <w:ilvl w:val="0"/>
          <w:numId w:val="1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32A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Tak jak w przypadku jurysdykcji, również w odniesieniu do prawa właściwego </w:t>
      </w:r>
      <w:r w:rsidR="00746DF9" w:rsidRPr="000532A1">
        <w:rPr>
          <w:rFonts w:ascii="Times New Roman" w:eastAsia="Times New Roman" w:hAnsi="Times New Roman" w:cs="Times New Roman"/>
          <w:sz w:val="24"/>
          <w:szCs w:val="24"/>
          <w:lang w:eastAsia="pl-PL"/>
        </w:rPr>
        <w:t>dla spraw spadkow</w:t>
      </w:r>
      <w:r w:rsidR="0066589D" w:rsidRPr="000532A1">
        <w:rPr>
          <w:rFonts w:ascii="Times New Roman" w:eastAsia="Times New Roman" w:hAnsi="Times New Roman" w:cs="Times New Roman"/>
          <w:sz w:val="24"/>
          <w:szCs w:val="24"/>
          <w:lang w:eastAsia="pl-PL"/>
        </w:rPr>
        <w:t>ych</w:t>
      </w:r>
      <w:r w:rsidR="00746DF9" w:rsidRPr="000532A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532A1">
        <w:rPr>
          <w:rFonts w:ascii="Times New Roman" w:eastAsia="Times New Roman" w:hAnsi="Times New Roman" w:cs="Times New Roman"/>
          <w:sz w:val="24"/>
          <w:szCs w:val="24"/>
          <w:lang w:eastAsia="pl-PL"/>
        </w:rPr>
        <w:t>r</w:t>
      </w:r>
      <w:r w:rsidR="00032E73" w:rsidRPr="000532A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ozporządzenie wprowadza </w:t>
      </w:r>
      <w:r w:rsidRPr="000532A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jako </w:t>
      </w:r>
      <w:r w:rsidR="00032E73" w:rsidRPr="000532A1">
        <w:rPr>
          <w:rFonts w:ascii="Times New Roman" w:eastAsia="Times New Roman" w:hAnsi="Times New Roman" w:cs="Times New Roman"/>
          <w:sz w:val="24"/>
          <w:szCs w:val="24"/>
          <w:lang w:eastAsia="pl-PL"/>
        </w:rPr>
        <w:t>zasad</w:t>
      </w:r>
      <w:r w:rsidR="00746DF9" w:rsidRPr="000532A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nicze kryterium jego </w:t>
      </w:r>
      <w:r w:rsidR="00B5576E" w:rsidRPr="000532A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ustalania </w:t>
      </w:r>
      <w:r w:rsidR="00032E73" w:rsidRPr="000532A1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ostatnie miejsce zwykłego pobytu</w:t>
      </w:r>
      <w:r w:rsidR="00746DF9" w:rsidRPr="000532A1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 spadkodawcy</w:t>
      </w:r>
      <w:r w:rsidR="00746DF9" w:rsidRPr="000532A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  <w:r w:rsidR="00B5576E" w:rsidRPr="000532A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Oznacza to, że co do zasady prawem właściwym dla danej sprawy spadkowej </w:t>
      </w:r>
      <w:r w:rsidR="006B0C0E" w:rsidRPr="000532A1">
        <w:rPr>
          <w:rFonts w:ascii="Times New Roman" w:eastAsia="Times New Roman" w:hAnsi="Times New Roman" w:cs="Times New Roman"/>
          <w:sz w:val="24"/>
          <w:szCs w:val="24"/>
          <w:lang w:eastAsia="pl-PL"/>
        </w:rPr>
        <w:t>będzie prawo państwa</w:t>
      </w:r>
      <w:r w:rsidR="00B5576E" w:rsidRPr="000532A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w którym spadkodawca miał w chwili śmierci miejsce zwykłego pobytu, niezależnie od obywatelstwa spadkodawcy </w:t>
      </w:r>
      <w:r w:rsidR="00032E73" w:rsidRPr="000532A1">
        <w:rPr>
          <w:rFonts w:ascii="Times New Roman" w:eastAsia="Times New Roman" w:hAnsi="Times New Roman" w:cs="Times New Roman"/>
          <w:sz w:val="24"/>
          <w:szCs w:val="24"/>
          <w:lang w:eastAsia="pl-PL"/>
        </w:rPr>
        <w:t>czy miejsc</w:t>
      </w:r>
      <w:r w:rsidR="006A0208" w:rsidRPr="000532A1"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r w:rsidR="00032E73" w:rsidRPr="000532A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położenia majątku</w:t>
      </w:r>
      <w:r w:rsidR="006A0208" w:rsidRPr="000532A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spadkowego</w:t>
      </w:r>
      <w:r w:rsidR="00554581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2C410D" w:rsidRDefault="007725FD" w:rsidP="006674D3">
      <w:pPr>
        <w:spacing w:after="0" w:line="36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C410D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Jest to istotna </w:t>
      </w:r>
      <w:r w:rsidR="001729E4" w:rsidRPr="002C410D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różnica w stosunku do dotychczasowego stanu prawnego w Polsce</w:t>
      </w:r>
      <w:r w:rsidR="001729E4" w:rsidRPr="001729E4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Pr="00A70F6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C12A65">
        <w:rPr>
          <w:rFonts w:ascii="Times New Roman" w:eastAsia="Times New Roman" w:hAnsi="Times New Roman" w:cs="Times New Roman"/>
          <w:sz w:val="24"/>
          <w:szCs w:val="24"/>
          <w:lang w:eastAsia="pl-PL"/>
        </w:rPr>
        <w:t>Zgodnie z obecnym uregulowaniem prawa polskiego, o ile</w:t>
      </w:r>
      <w:r w:rsidRPr="00A70F6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spadkodawca nie dokonał wyboru prawa</w:t>
      </w:r>
      <w:r w:rsidR="002C410D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Pr="00A70F6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2C410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prawem właściwym dla jego sprawy spadkowej jest </w:t>
      </w:r>
      <w:r w:rsidR="001C0E22">
        <w:rPr>
          <w:rFonts w:ascii="Times New Roman" w:eastAsia="Times New Roman" w:hAnsi="Times New Roman" w:cs="Times New Roman"/>
          <w:sz w:val="24"/>
          <w:szCs w:val="24"/>
          <w:lang w:eastAsia="pl-PL"/>
        </w:rPr>
        <w:t>prawo</w:t>
      </w:r>
      <w:r w:rsidR="002C410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ojczyste spadkodawcy z chwili śmierci, czyli </w:t>
      </w:r>
      <w:r w:rsidR="001C0E22">
        <w:rPr>
          <w:rFonts w:ascii="Times New Roman" w:eastAsia="Times New Roman" w:hAnsi="Times New Roman" w:cs="Times New Roman"/>
          <w:sz w:val="24"/>
          <w:szCs w:val="24"/>
          <w:lang w:eastAsia="pl-PL"/>
        </w:rPr>
        <w:t>prawo</w:t>
      </w:r>
      <w:r w:rsidR="002C410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państwa jego </w:t>
      </w:r>
      <w:r w:rsidR="001C0E22">
        <w:rPr>
          <w:rFonts w:ascii="Times New Roman" w:eastAsia="Times New Roman" w:hAnsi="Times New Roman" w:cs="Times New Roman"/>
          <w:sz w:val="24"/>
          <w:szCs w:val="24"/>
          <w:lang w:eastAsia="pl-PL"/>
        </w:rPr>
        <w:t>obywatelstwa</w:t>
      </w:r>
      <w:r w:rsidR="002C410D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A708F5" w:rsidRDefault="001C0E22" w:rsidP="006674D3">
      <w:pPr>
        <w:pStyle w:val="Akapitzlist"/>
        <w:numPr>
          <w:ilvl w:val="0"/>
          <w:numId w:val="1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32A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Rozporządzenie przewiduje także </w:t>
      </w:r>
      <w:r w:rsidRPr="00905D94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ograniczoną </w:t>
      </w:r>
      <w:r w:rsidR="007E6DED" w:rsidRPr="00905D94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możliwość wyboru prawa przez spadkodawcę</w:t>
      </w:r>
      <w:r w:rsidR="007E6DED" w:rsidRPr="000532A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Spadkodawca może wybrać jako prawo właściwe </w:t>
      </w:r>
      <w:r w:rsidR="002D49D1" w:rsidRPr="000532A1">
        <w:rPr>
          <w:rFonts w:ascii="Times New Roman" w:eastAsia="Times New Roman" w:hAnsi="Times New Roman" w:cs="Times New Roman"/>
          <w:sz w:val="24"/>
          <w:szCs w:val="24"/>
          <w:lang w:eastAsia="pl-PL"/>
        </w:rPr>
        <w:t>dl</w:t>
      </w:r>
      <w:r w:rsidR="000532A1"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r w:rsidR="002D49D1" w:rsidRPr="000532A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jego </w:t>
      </w:r>
      <w:r w:rsidR="000532A1" w:rsidRPr="000532A1">
        <w:rPr>
          <w:rFonts w:ascii="Times New Roman" w:eastAsia="Times New Roman" w:hAnsi="Times New Roman" w:cs="Times New Roman"/>
          <w:sz w:val="24"/>
          <w:szCs w:val="24"/>
          <w:lang w:eastAsia="pl-PL"/>
        </w:rPr>
        <w:t>sprawy</w:t>
      </w:r>
      <w:r w:rsidR="002D49D1" w:rsidRPr="000532A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sp</w:t>
      </w:r>
      <w:r w:rsidR="000532A1"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r w:rsidR="002D49D1" w:rsidRPr="000532A1">
        <w:rPr>
          <w:rFonts w:ascii="Times New Roman" w:eastAsia="Times New Roman" w:hAnsi="Times New Roman" w:cs="Times New Roman"/>
          <w:sz w:val="24"/>
          <w:szCs w:val="24"/>
          <w:lang w:eastAsia="pl-PL"/>
        </w:rPr>
        <w:t>dkowej</w:t>
      </w:r>
      <w:r w:rsidR="000532A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DC2AC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tylko </w:t>
      </w:r>
      <w:r w:rsidR="000532A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prawo </w:t>
      </w:r>
      <w:r w:rsidR="00AD1115" w:rsidRPr="000532A1">
        <w:rPr>
          <w:rFonts w:ascii="Times New Roman" w:eastAsia="Times New Roman" w:hAnsi="Times New Roman" w:cs="Times New Roman"/>
          <w:sz w:val="24"/>
          <w:szCs w:val="24"/>
          <w:lang w:eastAsia="pl-PL"/>
        </w:rPr>
        <w:t>państwa, którego jest obywatelem</w:t>
      </w:r>
      <w:r w:rsidR="0006353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FE7CD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chwili wyboru lub w </w:t>
      </w:r>
      <w:r w:rsidR="00FE7CDC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chwili śmierci</w:t>
      </w:r>
      <w:r w:rsidR="00FE7CDC" w:rsidRPr="00FE7CD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FE7CDC" w:rsidRPr="000532A1">
        <w:rPr>
          <w:rFonts w:ascii="Times New Roman" w:eastAsia="Times New Roman" w:hAnsi="Times New Roman" w:cs="Times New Roman"/>
          <w:sz w:val="24"/>
          <w:szCs w:val="24"/>
          <w:lang w:eastAsia="pl-PL"/>
        </w:rPr>
        <w:t>(</w:t>
      </w:r>
      <w:r w:rsidR="0006353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to także zmiana w stosunku do obecnej regulacji prawa polskiego: </w:t>
      </w:r>
      <w:r w:rsidR="004760D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polskie przepisy przewidują obecnie możliwość wyboru </w:t>
      </w:r>
      <w:r w:rsidR="00FE7CDC" w:rsidRPr="000532A1">
        <w:rPr>
          <w:rFonts w:ascii="Times New Roman" w:eastAsia="Times New Roman" w:hAnsi="Times New Roman" w:cs="Times New Roman"/>
          <w:sz w:val="24"/>
          <w:szCs w:val="24"/>
          <w:lang w:eastAsia="pl-PL"/>
        </w:rPr>
        <w:t>p</w:t>
      </w:r>
      <w:r w:rsidR="004760DA">
        <w:rPr>
          <w:rFonts w:ascii="Times New Roman" w:eastAsia="Times New Roman" w:hAnsi="Times New Roman" w:cs="Times New Roman"/>
          <w:sz w:val="24"/>
          <w:szCs w:val="24"/>
          <w:lang w:eastAsia="pl-PL"/>
        </w:rPr>
        <w:t>rawa</w:t>
      </w:r>
      <w:r w:rsidR="00FE7CDC" w:rsidRPr="000532A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ojczyste</w:t>
      </w:r>
      <w:r w:rsidR="004760DA">
        <w:rPr>
          <w:rFonts w:ascii="Times New Roman" w:eastAsia="Times New Roman" w:hAnsi="Times New Roman" w:cs="Times New Roman"/>
          <w:sz w:val="24"/>
          <w:szCs w:val="24"/>
          <w:lang w:eastAsia="pl-PL"/>
        </w:rPr>
        <w:t>go spadkodawcy, prawa</w:t>
      </w:r>
      <w:r w:rsidR="00FE7CDC" w:rsidRPr="000532A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4760D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jego </w:t>
      </w:r>
      <w:r w:rsidR="00FE7CDC" w:rsidRPr="000532A1">
        <w:rPr>
          <w:rFonts w:ascii="Times New Roman" w:eastAsia="Times New Roman" w:hAnsi="Times New Roman" w:cs="Times New Roman"/>
          <w:sz w:val="24"/>
          <w:szCs w:val="24"/>
          <w:lang w:eastAsia="pl-PL"/>
        </w:rPr>
        <w:t>miejsca zamieszkania</w:t>
      </w:r>
      <w:r w:rsidR="004760D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lub</w:t>
      </w:r>
      <w:r w:rsidR="00FE7CDC" w:rsidRPr="000532A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zwykłego pobytu w chwili śmierci)</w:t>
      </w:r>
      <w:r w:rsidR="00AD1115" w:rsidRPr="000532A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  <w:r w:rsidR="00AD499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Wyboru prawa dokonuje się przez złożenie </w:t>
      </w:r>
      <w:r w:rsidR="004A622D">
        <w:rPr>
          <w:rFonts w:ascii="Times New Roman" w:eastAsia="Times New Roman" w:hAnsi="Times New Roman" w:cs="Times New Roman"/>
          <w:sz w:val="24"/>
          <w:szCs w:val="24"/>
          <w:lang w:eastAsia="pl-PL"/>
        </w:rPr>
        <w:t>stosownego oświadczenia. Może to być część testamentu albo samodzielne oświadczenie</w:t>
      </w:r>
      <w:r w:rsidR="0013702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formie wymaganej dla testamentu. </w:t>
      </w:r>
      <w:r w:rsidR="00B77351">
        <w:rPr>
          <w:rFonts w:ascii="Times New Roman" w:eastAsia="Times New Roman" w:hAnsi="Times New Roman" w:cs="Times New Roman"/>
          <w:sz w:val="24"/>
          <w:szCs w:val="24"/>
          <w:lang w:eastAsia="pl-PL"/>
        </w:rPr>
        <w:t>Z oświadczenia p</w:t>
      </w:r>
      <w:r w:rsidR="0013702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owinno wyraźnie wynikać, że spadkodawca </w:t>
      </w:r>
      <w:r w:rsidR="00A708F5">
        <w:rPr>
          <w:rFonts w:ascii="Times New Roman" w:eastAsia="Times New Roman" w:hAnsi="Times New Roman" w:cs="Times New Roman"/>
          <w:sz w:val="24"/>
          <w:szCs w:val="24"/>
          <w:lang w:eastAsia="pl-PL"/>
        </w:rPr>
        <w:t>wybiera określone prawo jako prawo właściwe dla spadku po nim.</w:t>
      </w:r>
    </w:p>
    <w:p w:rsidR="00742F28" w:rsidRDefault="00742F28" w:rsidP="00742F28">
      <w:pPr>
        <w:spacing w:after="0" w:line="360" w:lineRule="auto"/>
        <w:ind w:right="225"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42F28" w:rsidRPr="00E829FD" w:rsidRDefault="00D1182E" w:rsidP="004613BD">
      <w:pPr>
        <w:pStyle w:val="Akapitzlist"/>
        <w:numPr>
          <w:ilvl w:val="0"/>
          <w:numId w:val="2"/>
        </w:numPr>
        <w:spacing w:after="0" w:line="240" w:lineRule="auto"/>
        <w:ind w:right="2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Co się zmieni w zakresie</w:t>
      </w:r>
      <w:r w:rsidR="004613B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="00B47D9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uz</w:t>
      </w:r>
      <w:r w:rsidR="00B47D96" w:rsidRPr="0065701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na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wa</w:t>
      </w:r>
      <w:r w:rsidR="00B47D9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nia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i stwierdza</w:t>
      </w:r>
      <w:r w:rsidR="004613B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nia wykonalności</w:t>
      </w:r>
    </w:p>
    <w:p w:rsidR="00E829FD" w:rsidRPr="00657018" w:rsidRDefault="00E829FD" w:rsidP="00E829FD">
      <w:pPr>
        <w:pStyle w:val="Akapitzlist"/>
        <w:spacing w:after="0" w:line="240" w:lineRule="auto"/>
        <w:ind w:right="225"/>
        <w:jc w:val="both"/>
        <w:rPr>
          <w:rFonts w:ascii="Times New Roman" w:hAnsi="Times New Roman" w:cs="Times New Roman"/>
          <w:sz w:val="24"/>
          <w:szCs w:val="24"/>
        </w:rPr>
      </w:pPr>
    </w:p>
    <w:p w:rsidR="00FC4DB7" w:rsidRPr="002705BD" w:rsidRDefault="00013A38" w:rsidP="002705BD">
      <w:pPr>
        <w:pStyle w:val="Akapitzlist"/>
        <w:numPr>
          <w:ilvl w:val="0"/>
          <w:numId w:val="11"/>
        </w:numPr>
        <w:tabs>
          <w:tab w:val="left" w:pos="918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05BD">
        <w:rPr>
          <w:rFonts w:ascii="Times New Roman" w:hAnsi="Times New Roman" w:cs="Times New Roman"/>
          <w:sz w:val="24"/>
          <w:szCs w:val="24"/>
        </w:rPr>
        <w:t xml:space="preserve">Rozporządzenie </w:t>
      </w:r>
      <w:r w:rsidR="007E661C" w:rsidRPr="002705BD">
        <w:rPr>
          <w:rFonts w:ascii="Times New Roman" w:hAnsi="Times New Roman" w:cs="Times New Roman"/>
          <w:sz w:val="24"/>
          <w:szCs w:val="24"/>
        </w:rPr>
        <w:t>jest pierwszym aktem prawnym, który ustala wspólne dla wszystkich państw członkowskich Unii Europejskiej, w który</w:t>
      </w:r>
      <w:r w:rsidR="00CB1A52" w:rsidRPr="002705BD">
        <w:rPr>
          <w:rFonts w:ascii="Times New Roman" w:hAnsi="Times New Roman" w:cs="Times New Roman"/>
          <w:sz w:val="24"/>
          <w:szCs w:val="24"/>
        </w:rPr>
        <w:t>ch będzie obowiązywać rozporządzenie</w:t>
      </w:r>
      <w:r w:rsidR="003A02D0" w:rsidRPr="002705BD">
        <w:rPr>
          <w:rFonts w:ascii="Times New Roman" w:hAnsi="Times New Roman" w:cs="Times New Roman"/>
          <w:sz w:val="24"/>
          <w:szCs w:val="24"/>
        </w:rPr>
        <w:t>,</w:t>
      </w:r>
      <w:r w:rsidR="00CB1A52" w:rsidRPr="002705BD">
        <w:rPr>
          <w:rFonts w:ascii="Times New Roman" w:hAnsi="Times New Roman" w:cs="Times New Roman"/>
          <w:sz w:val="24"/>
          <w:szCs w:val="24"/>
        </w:rPr>
        <w:t xml:space="preserve"> zasady uznawania i stwierdzania wykonalności</w:t>
      </w:r>
      <w:r w:rsidR="00BA53E0" w:rsidRPr="002705BD">
        <w:rPr>
          <w:rFonts w:ascii="Times New Roman" w:hAnsi="Times New Roman" w:cs="Times New Roman"/>
          <w:sz w:val="24"/>
          <w:szCs w:val="24"/>
        </w:rPr>
        <w:t xml:space="preserve"> orzeczeń w sprawach spadkowych</w:t>
      </w:r>
      <w:r w:rsidR="00691E0F">
        <w:rPr>
          <w:rFonts w:ascii="Times New Roman" w:hAnsi="Times New Roman" w:cs="Times New Roman"/>
          <w:sz w:val="24"/>
          <w:szCs w:val="24"/>
        </w:rPr>
        <w:t>. D</w:t>
      </w:r>
      <w:r w:rsidR="00DB2F2A" w:rsidRPr="002705BD">
        <w:rPr>
          <w:rFonts w:ascii="Times New Roman" w:hAnsi="Times New Roman" w:cs="Times New Roman"/>
          <w:sz w:val="24"/>
          <w:szCs w:val="24"/>
        </w:rPr>
        <w:t>o tej pory każde z tych państw decydowało samodzielnie w swoim prawie</w:t>
      </w:r>
      <w:r w:rsidR="005608FF">
        <w:rPr>
          <w:rFonts w:ascii="Times New Roman" w:hAnsi="Times New Roman" w:cs="Times New Roman"/>
          <w:sz w:val="24"/>
          <w:szCs w:val="24"/>
        </w:rPr>
        <w:t>,</w:t>
      </w:r>
      <w:r w:rsidR="00DB2F2A" w:rsidRPr="002705BD">
        <w:rPr>
          <w:rFonts w:ascii="Times New Roman" w:hAnsi="Times New Roman" w:cs="Times New Roman"/>
          <w:sz w:val="24"/>
          <w:szCs w:val="24"/>
        </w:rPr>
        <w:t xml:space="preserve"> czy i na jakich warunkach uznawać </w:t>
      </w:r>
      <w:r w:rsidR="003A02D0" w:rsidRPr="002705BD">
        <w:rPr>
          <w:rFonts w:ascii="Times New Roman" w:hAnsi="Times New Roman" w:cs="Times New Roman"/>
          <w:sz w:val="24"/>
          <w:szCs w:val="24"/>
        </w:rPr>
        <w:t xml:space="preserve">i stwierdzać wykonalność orzeczeń w sprawach spadkowych pochodzących z innych </w:t>
      </w:r>
      <w:r w:rsidR="009D17B7" w:rsidRPr="002705BD">
        <w:rPr>
          <w:rFonts w:ascii="Times New Roman" w:hAnsi="Times New Roman" w:cs="Times New Roman"/>
          <w:sz w:val="24"/>
          <w:szCs w:val="24"/>
        </w:rPr>
        <w:t>państw</w:t>
      </w:r>
      <w:r w:rsidR="003A02D0" w:rsidRPr="002705BD">
        <w:rPr>
          <w:rFonts w:ascii="Times New Roman" w:hAnsi="Times New Roman" w:cs="Times New Roman"/>
          <w:sz w:val="24"/>
          <w:szCs w:val="24"/>
        </w:rPr>
        <w:t xml:space="preserve"> </w:t>
      </w:r>
      <w:r w:rsidR="009D17B7" w:rsidRPr="002705BD">
        <w:rPr>
          <w:rFonts w:ascii="Times New Roman" w:hAnsi="Times New Roman" w:cs="Times New Roman"/>
          <w:sz w:val="24"/>
          <w:szCs w:val="24"/>
        </w:rPr>
        <w:t xml:space="preserve">członkowskich Unii Europejskiej. </w:t>
      </w:r>
      <w:r w:rsidR="00BA53E0" w:rsidRPr="002705BD">
        <w:rPr>
          <w:rFonts w:ascii="Times New Roman" w:hAnsi="Times New Roman" w:cs="Times New Roman"/>
          <w:sz w:val="24"/>
          <w:szCs w:val="24"/>
        </w:rPr>
        <w:t xml:space="preserve">Nowa regulacja ułatwi więc </w:t>
      </w:r>
      <w:r w:rsidR="003E34DB" w:rsidRPr="002705BD">
        <w:rPr>
          <w:rFonts w:ascii="Times New Roman" w:hAnsi="Times New Roman" w:cs="Times New Roman"/>
          <w:sz w:val="24"/>
          <w:szCs w:val="24"/>
        </w:rPr>
        <w:t xml:space="preserve">rozciągnięcie </w:t>
      </w:r>
      <w:r w:rsidR="00FC4DB7" w:rsidRPr="002705BD">
        <w:rPr>
          <w:rFonts w:ascii="Times New Roman" w:hAnsi="Times New Roman" w:cs="Times New Roman"/>
          <w:sz w:val="24"/>
          <w:szCs w:val="24"/>
        </w:rPr>
        <w:t xml:space="preserve">skuteczności polskich orzeczeń w sprawach spadkowych </w:t>
      </w:r>
      <w:r w:rsidR="003E34DB" w:rsidRPr="002705BD">
        <w:rPr>
          <w:rFonts w:ascii="Times New Roman" w:hAnsi="Times New Roman" w:cs="Times New Roman"/>
          <w:sz w:val="24"/>
          <w:szCs w:val="24"/>
        </w:rPr>
        <w:t>na</w:t>
      </w:r>
      <w:r w:rsidR="00FC4DB7" w:rsidRPr="002705BD">
        <w:rPr>
          <w:rFonts w:ascii="Times New Roman" w:hAnsi="Times New Roman" w:cs="Times New Roman"/>
          <w:sz w:val="24"/>
          <w:szCs w:val="24"/>
        </w:rPr>
        <w:t xml:space="preserve"> pozostał</w:t>
      </w:r>
      <w:r w:rsidR="003E34DB" w:rsidRPr="002705BD">
        <w:rPr>
          <w:rFonts w:ascii="Times New Roman" w:hAnsi="Times New Roman" w:cs="Times New Roman"/>
          <w:sz w:val="24"/>
          <w:szCs w:val="24"/>
        </w:rPr>
        <w:t>e</w:t>
      </w:r>
      <w:r w:rsidR="00FC4DB7" w:rsidRPr="002705BD">
        <w:rPr>
          <w:rFonts w:ascii="Times New Roman" w:hAnsi="Times New Roman" w:cs="Times New Roman"/>
          <w:sz w:val="24"/>
          <w:szCs w:val="24"/>
        </w:rPr>
        <w:t xml:space="preserve"> państwa członkowski</w:t>
      </w:r>
      <w:r w:rsidR="00F83256">
        <w:rPr>
          <w:rFonts w:ascii="Times New Roman" w:hAnsi="Times New Roman" w:cs="Times New Roman"/>
          <w:sz w:val="24"/>
          <w:szCs w:val="24"/>
        </w:rPr>
        <w:t>e</w:t>
      </w:r>
      <w:r w:rsidR="00FC4DB7" w:rsidRPr="002705BD">
        <w:rPr>
          <w:rFonts w:ascii="Times New Roman" w:hAnsi="Times New Roman" w:cs="Times New Roman"/>
          <w:sz w:val="24"/>
          <w:szCs w:val="24"/>
        </w:rPr>
        <w:t xml:space="preserve"> U</w:t>
      </w:r>
      <w:r w:rsidR="00F83256">
        <w:rPr>
          <w:rFonts w:ascii="Times New Roman" w:hAnsi="Times New Roman" w:cs="Times New Roman"/>
          <w:sz w:val="24"/>
          <w:szCs w:val="24"/>
        </w:rPr>
        <w:t xml:space="preserve">nii </w:t>
      </w:r>
      <w:r w:rsidR="00FC4DB7" w:rsidRPr="002705BD">
        <w:rPr>
          <w:rFonts w:ascii="Times New Roman" w:hAnsi="Times New Roman" w:cs="Times New Roman"/>
          <w:sz w:val="24"/>
          <w:szCs w:val="24"/>
        </w:rPr>
        <w:t>E</w:t>
      </w:r>
      <w:r w:rsidR="00F83256">
        <w:rPr>
          <w:rFonts w:ascii="Times New Roman" w:hAnsi="Times New Roman" w:cs="Times New Roman"/>
          <w:sz w:val="24"/>
          <w:szCs w:val="24"/>
        </w:rPr>
        <w:t>uropejskiej</w:t>
      </w:r>
      <w:r w:rsidR="00FC4DB7" w:rsidRPr="002705BD">
        <w:rPr>
          <w:rFonts w:ascii="Times New Roman" w:hAnsi="Times New Roman" w:cs="Times New Roman"/>
          <w:sz w:val="24"/>
          <w:szCs w:val="24"/>
        </w:rPr>
        <w:t xml:space="preserve"> związan</w:t>
      </w:r>
      <w:r w:rsidR="0008371F">
        <w:rPr>
          <w:rFonts w:ascii="Times New Roman" w:hAnsi="Times New Roman" w:cs="Times New Roman"/>
          <w:sz w:val="24"/>
          <w:szCs w:val="24"/>
        </w:rPr>
        <w:t>e</w:t>
      </w:r>
      <w:r w:rsidR="00FC4DB7" w:rsidRPr="002705BD">
        <w:rPr>
          <w:rFonts w:ascii="Times New Roman" w:hAnsi="Times New Roman" w:cs="Times New Roman"/>
          <w:sz w:val="24"/>
          <w:szCs w:val="24"/>
        </w:rPr>
        <w:t xml:space="preserve"> rozporządzeniem</w:t>
      </w:r>
      <w:r w:rsidR="003E34DB" w:rsidRPr="002705BD">
        <w:rPr>
          <w:rFonts w:ascii="Times New Roman" w:hAnsi="Times New Roman" w:cs="Times New Roman"/>
          <w:sz w:val="24"/>
          <w:szCs w:val="24"/>
        </w:rPr>
        <w:t>, dzięki czemu nie będzie potrzeby prowadzeni</w:t>
      </w:r>
      <w:r w:rsidR="00C429B9" w:rsidRPr="002705BD">
        <w:rPr>
          <w:rFonts w:ascii="Times New Roman" w:hAnsi="Times New Roman" w:cs="Times New Roman"/>
          <w:sz w:val="24"/>
          <w:szCs w:val="24"/>
        </w:rPr>
        <w:t>a</w:t>
      </w:r>
      <w:r w:rsidR="003E34DB" w:rsidRPr="002705BD">
        <w:rPr>
          <w:rFonts w:ascii="Times New Roman" w:hAnsi="Times New Roman" w:cs="Times New Roman"/>
          <w:sz w:val="24"/>
          <w:szCs w:val="24"/>
        </w:rPr>
        <w:t xml:space="preserve"> </w:t>
      </w:r>
      <w:r w:rsidR="00C429B9" w:rsidRPr="002705BD">
        <w:rPr>
          <w:rFonts w:ascii="Times New Roman" w:hAnsi="Times New Roman" w:cs="Times New Roman"/>
          <w:sz w:val="24"/>
          <w:szCs w:val="24"/>
        </w:rPr>
        <w:t>odrębnych</w:t>
      </w:r>
      <w:r w:rsidR="003E34DB" w:rsidRPr="002705BD">
        <w:rPr>
          <w:rFonts w:ascii="Times New Roman" w:hAnsi="Times New Roman" w:cs="Times New Roman"/>
          <w:sz w:val="24"/>
          <w:szCs w:val="24"/>
        </w:rPr>
        <w:t xml:space="preserve"> postępowań </w:t>
      </w:r>
      <w:r w:rsidR="00AA4BF8">
        <w:rPr>
          <w:rFonts w:ascii="Times New Roman" w:hAnsi="Times New Roman" w:cs="Times New Roman"/>
          <w:sz w:val="24"/>
          <w:szCs w:val="24"/>
        </w:rPr>
        <w:t>w tej samej sprawie spadkowej</w:t>
      </w:r>
      <w:r w:rsidR="003E34DB" w:rsidRPr="002705BD">
        <w:rPr>
          <w:rFonts w:ascii="Times New Roman" w:hAnsi="Times New Roman" w:cs="Times New Roman"/>
          <w:sz w:val="24"/>
          <w:szCs w:val="24"/>
        </w:rPr>
        <w:t xml:space="preserve"> w tych państwach.</w:t>
      </w:r>
    </w:p>
    <w:p w:rsidR="0021601C" w:rsidRPr="002705BD" w:rsidRDefault="008078F4" w:rsidP="002705BD">
      <w:pPr>
        <w:pStyle w:val="Akapitzlist"/>
        <w:numPr>
          <w:ilvl w:val="0"/>
          <w:numId w:val="11"/>
        </w:numPr>
        <w:tabs>
          <w:tab w:val="left" w:pos="918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05BD">
        <w:rPr>
          <w:rFonts w:ascii="Times New Roman" w:hAnsi="Times New Roman" w:cs="Times New Roman"/>
          <w:sz w:val="24"/>
          <w:szCs w:val="24"/>
          <w:u w:val="single"/>
        </w:rPr>
        <w:t>Warunki</w:t>
      </w:r>
      <w:r w:rsidR="001C2C7A" w:rsidRPr="002705BD">
        <w:rPr>
          <w:rFonts w:ascii="Times New Roman" w:hAnsi="Times New Roman" w:cs="Times New Roman"/>
          <w:sz w:val="24"/>
          <w:szCs w:val="24"/>
          <w:u w:val="single"/>
        </w:rPr>
        <w:t>, jakie musi spełnić orzecze</w:t>
      </w:r>
      <w:r w:rsidR="00FD379C" w:rsidRPr="002705BD">
        <w:rPr>
          <w:rFonts w:ascii="Times New Roman" w:hAnsi="Times New Roman" w:cs="Times New Roman"/>
          <w:sz w:val="24"/>
          <w:szCs w:val="24"/>
          <w:u w:val="single"/>
        </w:rPr>
        <w:t>nie w sprawie spadkowej</w:t>
      </w:r>
      <w:r w:rsidR="001C2C7A" w:rsidRPr="002705BD">
        <w:rPr>
          <w:rFonts w:ascii="Times New Roman" w:hAnsi="Times New Roman" w:cs="Times New Roman"/>
          <w:sz w:val="24"/>
          <w:szCs w:val="24"/>
          <w:u w:val="single"/>
        </w:rPr>
        <w:t>, aby możliwe było jego uznanie lub stwierdzenie wykonalności w innym państwie członkowskim</w:t>
      </w:r>
      <w:r w:rsidR="00FD379C" w:rsidRPr="002705BD">
        <w:rPr>
          <w:rFonts w:ascii="Times New Roman" w:hAnsi="Times New Roman" w:cs="Times New Roman"/>
          <w:sz w:val="24"/>
          <w:szCs w:val="24"/>
          <w:u w:val="single"/>
        </w:rPr>
        <w:t>, są jednakowe dla wszystkich państw członkowskich związanych rozporządzeniem</w:t>
      </w:r>
      <w:r w:rsidR="00057A16" w:rsidRPr="002705BD">
        <w:rPr>
          <w:rFonts w:ascii="Times New Roman" w:hAnsi="Times New Roman" w:cs="Times New Roman"/>
          <w:sz w:val="24"/>
          <w:szCs w:val="24"/>
          <w:u w:val="single"/>
        </w:rPr>
        <w:t>. Ich liczba jest ograniczona</w:t>
      </w:r>
      <w:r w:rsidR="009F520F" w:rsidRPr="002705BD">
        <w:rPr>
          <w:rFonts w:ascii="Times New Roman" w:hAnsi="Times New Roman" w:cs="Times New Roman"/>
          <w:sz w:val="24"/>
          <w:szCs w:val="24"/>
        </w:rPr>
        <w:t xml:space="preserve">. </w:t>
      </w:r>
      <w:r w:rsidR="005608FF">
        <w:rPr>
          <w:rFonts w:ascii="Times New Roman" w:hAnsi="Times New Roman" w:cs="Times New Roman"/>
          <w:sz w:val="24"/>
          <w:szCs w:val="24"/>
        </w:rPr>
        <w:t xml:space="preserve">Chodzi przede wszystkim o </w:t>
      </w:r>
      <w:r w:rsidR="009F520F" w:rsidRPr="002705BD">
        <w:rPr>
          <w:rFonts w:ascii="Times New Roman" w:hAnsi="Times New Roman" w:cs="Times New Roman"/>
          <w:sz w:val="24"/>
          <w:szCs w:val="24"/>
        </w:rPr>
        <w:t>brak oczywistej sprzeczności uznania lub stwierdzenia wykonalności orzeczenia z podstawowymi zasad</w:t>
      </w:r>
      <w:r w:rsidR="008211D0" w:rsidRPr="002705BD">
        <w:rPr>
          <w:rFonts w:ascii="Times New Roman" w:hAnsi="Times New Roman" w:cs="Times New Roman"/>
          <w:sz w:val="24"/>
          <w:szCs w:val="24"/>
        </w:rPr>
        <w:t>ami porządku prawnego państwa, w którym orzeczeni</w:t>
      </w:r>
      <w:r w:rsidR="00506809">
        <w:rPr>
          <w:rFonts w:ascii="Times New Roman" w:hAnsi="Times New Roman" w:cs="Times New Roman"/>
          <w:sz w:val="24"/>
          <w:szCs w:val="24"/>
        </w:rPr>
        <w:t>e</w:t>
      </w:r>
      <w:r w:rsidR="008211D0" w:rsidRPr="002705BD">
        <w:rPr>
          <w:rFonts w:ascii="Times New Roman" w:hAnsi="Times New Roman" w:cs="Times New Roman"/>
          <w:sz w:val="24"/>
          <w:szCs w:val="24"/>
        </w:rPr>
        <w:t xml:space="preserve"> ma być uznane lub </w:t>
      </w:r>
      <w:r w:rsidR="00C46C82">
        <w:rPr>
          <w:rFonts w:ascii="Times New Roman" w:hAnsi="Times New Roman" w:cs="Times New Roman"/>
          <w:sz w:val="24"/>
          <w:szCs w:val="24"/>
        </w:rPr>
        <w:t xml:space="preserve">w którym </w:t>
      </w:r>
      <w:r w:rsidR="008211D0" w:rsidRPr="002705BD">
        <w:rPr>
          <w:rFonts w:ascii="Times New Roman" w:hAnsi="Times New Roman" w:cs="Times New Roman"/>
          <w:sz w:val="24"/>
          <w:szCs w:val="24"/>
        </w:rPr>
        <w:t>ma być stwierdzona jego</w:t>
      </w:r>
      <w:r w:rsidR="00D10277" w:rsidRPr="002705BD">
        <w:rPr>
          <w:rFonts w:ascii="Times New Roman" w:hAnsi="Times New Roman" w:cs="Times New Roman"/>
          <w:sz w:val="24"/>
          <w:szCs w:val="24"/>
        </w:rPr>
        <w:t xml:space="preserve"> wykonalność</w:t>
      </w:r>
      <w:r w:rsidR="005608FF">
        <w:rPr>
          <w:rFonts w:ascii="Times New Roman" w:hAnsi="Times New Roman" w:cs="Times New Roman"/>
          <w:sz w:val="24"/>
          <w:szCs w:val="24"/>
        </w:rPr>
        <w:t>. Inny warunek to np.</w:t>
      </w:r>
      <w:r w:rsidR="00C45460" w:rsidRPr="002705BD">
        <w:rPr>
          <w:rFonts w:ascii="Times New Roman" w:hAnsi="Times New Roman" w:cs="Times New Roman"/>
          <w:sz w:val="24"/>
          <w:szCs w:val="24"/>
        </w:rPr>
        <w:t xml:space="preserve"> </w:t>
      </w:r>
      <w:r w:rsidR="00506621" w:rsidRPr="002705BD">
        <w:rPr>
          <w:rFonts w:ascii="Times New Roman" w:hAnsi="Times New Roman" w:cs="Times New Roman"/>
          <w:sz w:val="24"/>
          <w:szCs w:val="24"/>
        </w:rPr>
        <w:t>respektowanie pewnych uprawnień procesowych wszystkich zainteresowanych w postępowaniu</w:t>
      </w:r>
      <w:r w:rsidR="003441F9" w:rsidRPr="002705BD">
        <w:rPr>
          <w:rFonts w:ascii="Times New Roman" w:hAnsi="Times New Roman" w:cs="Times New Roman"/>
          <w:sz w:val="24"/>
          <w:szCs w:val="24"/>
        </w:rPr>
        <w:t>,</w:t>
      </w:r>
      <w:r w:rsidR="00C16184" w:rsidRPr="002705BD">
        <w:rPr>
          <w:rFonts w:ascii="Times New Roman" w:hAnsi="Times New Roman" w:cs="Times New Roman"/>
          <w:sz w:val="24"/>
          <w:szCs w:val="24"/>
        </w:rPr>
        <w:t xml:space="preserve"> w którym </w:t>
      </w:r>
      <w:r w:rsidR="003441F9" w:rsidRPr="002705BD">
        <w:rPr>
          <w:rFonts w:ascii="Times New Roman" w:hAnsi="Times New Roman" w:cs="Times New Roman"/>
          <w:sz w:val="24"/>
          <w:szCs w:val="24"/>
        </w:rPr>
        <w:t>wydano</w:t>
      </w:r>
      <w:r w:rsidR="00C16184" w:rsidRPr="002705BD">
        <w:rPr>
          <w:rFonts w:ascii="Times New Roman" w:hAnsi="Times New Roman" w:cs="Times New Roman"/>
          <w:sz w:val="24"/>
          <w:szCs w:val="24"/>
        </w:rPr>
        <w:t xml:space="preserve"> </w:t>
      </w:r>
      <w:r w:rsidR="003441F9" w:rsidRPr="002705BD">
        <w:rPr>
          <w:rFonts w:ascii="Times New Roman" w:hAnsi="Times New Roman" w:cs="Times New Roman"/>
          <w:sz w:val="24"/>
          <w:szCs w:val="24"/>
        </w:rPr>
        <w:t>orzeczenie</w:t>
      </w:r>
      <w:r w:rsidR="006C36D2" w:rsidRPr="002705BD">
        <w:rPr>
          <w:rFonts w:ascii="Times New Roman" w:hAnsi="Times New Roman" w:cs="Times New Roman"/>
          <w:sz w:val="24"/>
          <w:szCs w:val="24"/>
        </w:rPr>
        <w:t>,</w:t>
      </w:r>
      <w:r w:rsidR="00C16184" w:rsidRPr="002705BD">
        <w:rPr>
          <w:rFonts w:ascii="Times New Roman" w:hAnsi="Times New Roman" w:cs="Times New Roman"/>
          <w:sz w:val="24"/>
          <w:szCs w:val="24"/>
        </w:rPr>
        <w:t xml:space="preserve"> </w:t>
      </w:r>
      <w:r w:rsidR="00320C6C" w:rsidRPr="002705BD">
        <w:rPr>
          <w:rFonts w:ascii="Times New Roman" w:hAnsi="Times New Roman" w:cs="Times New Roman"/>
          <w:sz w:val="24"/>
          <w:szCs w:val="24"/>
        </w:rPr>
        <w:t xml:space="preserve">które </w:t>
      </w:r>
      <w:r w:rsidR="00506621" w:rsidRPr="002705BD">
        <w:rPr>
          <w:rFonts w:ascii="Times New Roman" w:hAnsi="Times New Roman" w:cs="Times New Roman"/>
          <w:sz w:val="24"/>
          <w:szCs w:val="24"/>
        </w:rPr>
        <w:t xml:space="preserve">ma być uznane lub </w:t>
      </w:r>
      <w:r w:rsidR="00320C6C" w:rsidRPr="002705BD">
        <w:rPr>
          <w:rFonts w:ascii="Times New Roman" w:hAnsi="Times New Roman" w:cs="Times New Roman"/>
          <w:sz w:val="24"/>
          <w:szCs w:val="24"/>
        </w:rPr>
        <w:t xml:space="preserve">którego </w:t>
      </w:r>
      <w:r w:rsidR="0021601C" w:rsidRPr="002705BD">
        <w:rPr>
          <w:rFonts w:ascii="Times New Roman" w:hAnsi="Times New Roman" w:cs="Times New Roman"/>
          <w:sz w:val="24"/>
          <w:szCs w:val="24"/>
        </w:rPr>
        <w:t>wykonalność</w:t>
      </w:r>
      <w:r w:rsidR="00320C6C" w:rsidRPr="002705BD">
        <w:rPr>
          <w:rFonts w:ascii="Times New Roman" w:hAnsi="Times New Roman" w:cs="Times New Roman"/>
          <w:sz w:val="24"/>
          <w:szCs w:val="24"/>
        </w:rPr>
        <w:t xml:space="preserve"> ma być stwierdzona (chodzi o </w:t>
      </w:r>
      <w:r w:rsidR="0021601C" w:rsidRPr="002705BD">
        <w:rPr>
          <w:rFonts w:ascii="Times New Roman" w:hAnsi="Times New Roman" w:cs="Times New Roman"/>
          <w:sz w:val="24"/>
          <w:szCs w:val="24"/>
        </w:rPr>
        <w:t xml:space="preserve">prawidłowe </w:t>
      </w:r>
      <w:r w:rsidR="00320C6C" w:rsidRPr="002705BD">
        <w:rPr>
          <w:rFonts w:ascii="Times New Roman" w:hAnsi="Times New Roman" w:cs="Times New Roman"/>
          <w:sz w:val="24"/>
          <w:szCs w:val="24"/>
        </w:rPr>
        <w:t>doręczenie p</w:t>
      </w:r>
      <w:r w:rsidR="0021601C" w:rsidRPr="002705BD">
        <w:rPr>
          <w:rFonts w:ascii="Times New Roman" w:hAnsi="Times New Roman" w:cs="Times New Roman"/>
          <w:sz w:val="24"/>
          <w:szCs w:val="24"/>
        </w:rPr>
        <w:t>o</w:t>
      </w:r>
      <w:r w:rsidR="00320C6C" w:rsidRPr="002705BD">
        <w:rPr>
          <w:rFonts w:ascii="Times New Roman" w:hAnsi="Times New Roman" w:cs="Times New Roman"/>
          <w:sz w:val="24"/>
          <w:szCs w:val="24"/>
        </w:rPr>
        <w:t>z</w:t>
      </w:r>
      <w:r w:rsidR="0021601C" w:rsidRPr="002705BD">
        <w:rPr>
          <w:rFonts w:ascii="Times New Roman" w:hAnsi="Times New Roman" w:cs="Times New Roman"/>
          <w:sz w:val="24"/>
          <w:szCs w:val="24"/>
        </w:rPr>
        <w:t>wu lub innego pis</w:t>
      </w:r>
      <w:r w:rsidR="00320C6C" w:rsidRPr="002705BD">
        <w:rPr>
          <w:rFonts w:ascii="Times New Roman" w:hAnsi="Times New Roman" w:cs="Times New Roman"/>
          <w:sz w:val="24"/>
          <w:szCs w:val="24"/>
        </w:rPr>
        <w:t>m</w:t>
      </w:r>
      <w:r w:rsidR="0021601C" w:rsidRPr="002705BD">
        <w:rPr>
          <w:rFonts w:ascii="Times New Roman" w:hAnsi="Times New Roman" w:cs="Times New Roman"/>
          <w:sz w:val="24"/>
          <w:szCs w:val="24"/>
        </w:rPr>
        <w:t>a</w:t>
      </w:r>
      <w:r w:rsidR="00320C6C" w:rsidRPr="002705BD">
        <w:rPr>
          <w:rFonts w:ascii="Times New Roman" w:hAnsi="Times New Roman" w:cs="Times New Roman"/>
          <w:sz w:val="24"/>
          <w:szCs w:val="24"/>
        </w:rPr>
        <w:t xml:space="preserve"> wszczynającego </w:t>
      </w:r>
      <w:r w:rsidR="0021601C" w:rsidRPr="002705BD">
        <w:rPr>
          <w:rFonts w:ascii="Times New Roman" w:hAnsi="Times New Roman" w:cs="Times New Roman"/>
          <w:sz w:val="24"/>
          <w:szCs w:val="24"/>
        </w:rPr>
        <w:t>postępowanie).</w:t>
      </w:r>
    </w:p>
    <w:p w:rsidR="00C74DE0" w:rsidRDefault="00057903" w:rsidP="002705BD">
      <w:pPr>
        <w:pStyle w:val="Akapitzlist"/>
        <w:numPr>
          <w:ilvl w:val="0"/>
          <w:numId w:val="11"/>
        </w:numPr>
        <w:tabs>
          <w:tab w:val="left" w:pos="918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05BD">
        <w:rPr>
          <w:rFonts w:ascii="Times New Roman" w:hAnsi="Times New Roman" w:cs="Times New Roman"/>
          <w:sz w:val="24"/>
          <w:szCs w:val="24"/>
        </w:rPr>
        <w:lastRenderedPageBreak/>
        <w:t xml:space="preserve">Rozporządzenie przewiduje, że </w:t>
      </w:r>
      <w:r w:rsidRPr="002705BD">
        <w:rPr>
          <w:rFonts w:ascii="Times New Roman" w:hAnsi="Times New Roman" w:cs="Times New Roman"/>
          <w:sz w:val="24"/>
          <w:szCs w:val="24"/>
          <w:u w:val="single"/>
        </w:rPr>
        <w:t>uznanie orzeczenia następuje automatycznie</w:t>
      </w:r>
      <w:r w:rsidR="00B16D9F" w:rsidRPr="002705BD">
        <w:rPr>
          <w:rFonts w:ascii="Times New Roman" w:hAnsi="Times New Roman" w:cs="Times New Roman"/>
          <w:sz w:val="24"/>
          <w:szCs w:val="24"/>
        </w:rPr>
        <w:t>. Oznacza to, że</w:t>
      </w:r>
      <w:r w:rsidR="000D2526">
        <w:rPr>
          <w:rFonts w:ascii="Times New Roman" w:hAnsi="Times New Roman" w:cs="Times New Roman"/>
          <w:sz w:val="24"/>
          <w:szCs w:val="24"/>
        </w:rPr>
        <w:t xml:space="preserve"> orzeczenie rodz</w:t>
      </w:r>
      <w:r w:rsidR="008D662A">
        <w:rPr>
          <w:rFonts w:ascii="Times New Roman" w:hAnsi="Times New Roman" w:cs="Times New Roman"/>
          <w:sz w:val="24"/>
          <w:szCs w:val="24"/>
        </w:rPr>
        <w:t>i</w:t>
      </w:r>
      <w:r w:rsidR="000D2526">
        <w:rPr>
          <w:rFonts w:ascii="Times New Roman" w:hAnsi="Times New Roman" w:cs="Times New Roman"/>
          <w:sz w:val="24"/>
          <w:szCs w:val="24"/>
        </w:rPr>
        <w:t xml:space="preserve"> skutk</w:t>
      </w:r>
      <w:r w:rsidR="008D662A">
        <w:rPr>
          <w:rFonts w:ascii="Times New Roman" w:hAnsi="Times New Roman" w:cs="Times New Roman"/>
          <w:sz w:val="24"/>
          <w:szCs w:val="24"/>
        </w:rPr>
        <w:t>i w innym państwie członkowskim UE związanym rozporządzeniem</w:t>
      </w:r>
      <w:r w:rsidR="005E2C49">
        <w:rPr>
          <w:rFonts w:ascii="Times New Roman" w:hAnsi="Times New Roman" w:cs="Times New Roman"/>
          <w:sz w:val="24"/>
          <w:szCs w:val="24"/>
        </w:rPr>
        <w:t xml:space="preserve"> (może np. służyć zainteresowanemu do </w:t>
      </w:r>
      <w:r w:rsidR="00BD75ED">
        <w:rPr>
          <w:rFonts w:ascii="Times New Roman" w:hAnsi="Times New Roman" w:cs="Times New Roman"/>
          <w:sz w:val="24"/>
          <w:szCs w:val="24"/>
        </w:rPr>
        <w:t>wykazania</w:t>
      </w:r>
      <w:r w:rsidR="005E2C49">
        <w:rPr>
          <w:rFonts w:ascii="Times New Roman" w:hAnsi="Times New Roman" w:cs="Times New Roman"/>
          <w:sz w:val="24"/>
          <w:szCs w:val="24"/>
        </w:rPr>
        <w:t xml:space="preserve"> jego </w:t>
      </w:r>
      <w:r w:rsidR="00BD75ED">
        <w:rPr>
          <w:rFonts w:ascii="Times New Roman" w:hAnsi="Times New Roman" w:cs="Times New Roman"/>
          <w:sz w:val="24"/>
          <w:szCs w:val="24"/>
        </w:rPr>
        <w:t>praw</w:t>
      </w:r>
      <w:r w:rsidR="005E2C49">
        <w:rPr>
          <w:rFonts w:ascii="Times New Roman" w:hAnsi="Times New Roman" w:cs="Times New Roman"/>
          <w:sz w:val="24"/>
          <w:szCs w:val="24"/>
        </w:rPr>
        <w:t xml:space="preserve"> do spadku wobec organu </w:t>
      </w:r>
      <w:r w:rsidR="00BD75ED">
        <w:rPr>
          <w:rFonts w:ascii="Times New Roman" w:hAnsi="Times New Roman" w:cs="Times New Roman"/>
          <w:sz w:val="24"/>
          <w:szCs w:val="24"/>
        </w:rPr>
        <w:t>czy innej instytucji w danym</w:t>
      </w:r>
      <w:r w:rsidR="005E2C49">
        <w:rPr>
          <w:rFonts w:ascii="Times New Roman" w:hAnsi="Times New Roman" w:cs="Times New Roman"/>
          <w:sz w:val="24"/>
          <w:szCs w:val="24"/>
        </w:rPr>
        <w:t xml:space="preserve"> państw</w:t>
      </w:r>
      <w:r w:rsidR="00BD75ED">
        <w:rPr>
          <w:rFonts w:ascii="Times New Roman" w:hAnsi="Times New Roman" w:cs="Times New Roman"/>
          <w:sz w:val="24"/>
          <w:szCs w:val="24"/>
        </w:rPr>
        <w:t xml:space="preserve">ie) </w:t>
      </w:r>
      <w:r w:rsidRPr="001A04CA">
        <w:rPr>
          <w:rFonts w:ascii="Times New Roman" w:hAnsi="Times New Roman" w:cs="Times New Roman"/>
          <w:sz w:val="24"/>
          <w:szCs w:val="24"/>
          <w:u w:val="single"/>
        </w:rPr>
        <w:t xml:space="preserve">bez potrzeby </w:t>
      </w:r>
      <w:r w:rsidR="00E95991" w:rsidRPr="001A04CA">
        <w:rPr>
          <w:rFonts w:ascii="Times New Roman" w:hAnsi="Times New Roman" w:cs="Times New Roman"/>
          <w:sz w:val="24"/>
          <w:szCs w:val="24"/>
          <w:u w:val="single"/>
        </w:rPr>
        <w:t>przeprowadzania</w:t>
      </w:r>
      <w:r w:rsidRPr="001A04CA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E95991" w:rsidRPr="001A04CA">
        <w:rPr>
          <w:rFonts w:ascii="Times New Roman" w:hAnsi="Times New Roman" w:cs="Times New Roman"/>
          <w:sz w:val="24"/>
          <w:szCs w:val="24"/>
          <w:u w:val="single"/>
        </w:rPr>
        <w:t xml:space="preserve">jakiegokolwiek </w:t>
      </w:r>
      <w:r w:rsidR="00A77FB8" w:rsidRPr="001A04CA">
        <w:rPr>
          <w:rFonts w:ascii="Times New Roman" w:hAnsi="Times New Roman" w:cs="Times New Roman"/>
          <w:sz w:val="24"/>
          <w:szCs w:val="24"/>
          <w:u w:val="single"/>
        </w:rPr>
        <w:t xml:space="preserve">dodatkowego </w:t>
      </w:r>
      <w:r w:rsidR="00E95991" w:rsidRPr="001A04CA">
        <w:rPr>
          <w:rFonts w:ascii="Times New Roman" w:hAnsi="Times New Roman" w:cs="Times New Roman"/>
          <w:sz w:val="24"/>
          <w:szCs w:val="24"/>
          <w:u w:val="single"/>
        </w:rPr>
        <w:t>postępowania</w:t>
      </w:r>
      <w:r w:rsidR="00B16D9F" w:rsidRPr="001A04CA">
        <w:rPr>
          <w:rFonts w:ascii="Times New Roman" w:hAnsi="Times New Roman" w:cs="Times New Roman"/>
          <w:sz w:val="24"/>
          <w:szCs w:val="24"/>
          <w:u w:val="single"/>
        </w:rPr>
        <w:t xml:space="preserve"> w tym państwi</w:t>
      </w:r>
      <w:r w:rsidR="00A77FB8" w:rsidRPr="001A04CA">
        <w:rPr>
          <w:rFonts w:ascii="Times New Roman" w:hAnsi="Times New Roman" w:cs="Times New Roman"/>
          <w:sz w:val="24"/>
          <w:szCs w:val="24"/>
          <w:u w:val="single"/>
        </w:rPr>
        <w:t>e</w:t>
      </w:r>
      <w:r w:rsidR="00F87A07" w:rsidRPr="002705BD">
        <w:rPr>
          <w:rFonts w:ascii="Times New Roman" w:hAnsi="Times New Roman" w:cs="Times New Roman"/>
          <w:sz w:val="24"/>
          <w:szCs w:val="24"/>
        </w:rPr>
        <w:t xml:space="preserve">. Zainteresowany może jednak </w:t>
      </w:r>
      <w:r w:rsidR="008D662A" w:rsidRPr="002705BD">
        <w:rPr>
          <w:rFonts w:ascii="Times New Roman" w:hAnsi="Times New Roman" w:cs="Times New Roman"/>
          <w:sz w:val="24"/>
          <w:szCs w:val="24"/>
        </w:rPr>
        <w:t>w</w:t>
      </w:r>
      <w:r w:rsidR="008D662A">
        <w:rPr>
          <w:rFonts w:ascii="Times New Roman" w:hAnsi="Times New Roman" w:cs="Times New Roman"/>
          <w:sz w:val="24"/>
          <w:szCs w:val="24"/>
        </w:rPr>
        <w:t xml:space="preserve">ystąpić </w:t>
      </w:r>
      <w:r w:rsidR="001A04CA">
        <w:rPr>
          <w:rFonts w:ascii="Times New Roman" w:hAnsi="Times New Roman" w:cs="Times New Roman"/>
          <w:sz w:val="24"/>
          <w:szCs w:val="24"/>
        </w:rPr>
        <w:t>w tym państwie z</w:t>
      </w:r>
      <w:r w:rsidR="00F87A07" w:rsidRPr="002705BD">
        <w:rPr>
          <w:rFonts w:ascii="Times New Roman" w:hAnsi="Times New Roman" w:cs="Times New Roman"/>
          <w:sz w:val="24"/>
          <w:szCs w:val="24"/>
        </w:rPr>
        <w:t xml:space="preserve"> wnioskiem </w:t>
      </w:r>
      <w:r w:rsidR="001A04CA">
        <w:rPr>
          <w:rFonts w:ascii="Times New Roman" w:hAnsi="Times New Roman" w:cs="Times New Roman"/>
          <w:sz w:val="24"/>
          <w:szCs w:val="24"/>
        </w:rPr>
        <w:t xml:space="preserve">o formalne uznanie tego orzeczenia. </w:t>
      </w:r>
    </w:p>
    <w:p w:rsidR="00013A38" w:rsidRDefault="00CB429E" w:rsidP="002705BD">
      <w:pPr>
        <w:pStyle w:val="Akapitzlist"/>
        <w:numPr>
          <w:ilvl w:val="0"/>
          <w:numId w:val="11"/>
        </w:numPr>
        <w:tabs>
          <w:tab w:val="left" w:pos="918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Natomiast </w:t>
      </w:r>
      <w:r w:rsidRPr="00116479">
        <w:rPr>
          <w:rFonts w:ascii="Times New Roman" w:hAnsi="Times New Roman" w:cs="Times New Roman"/>
          <w:sz w:val="24"/>
          <w:szCs w:val="24"/>
          <w:u w:val="single"/>
        </w:rPr>
        <w:t>stwierdzenie wykonalności orzeczenia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679B4">
        <w:rPr>
          <w:rFonts w:ascii="Times New Roman" w:hAnsi="Times New Roman" w:cs="Times New Roman"/>
          <w:sz w:val="24"/>
          <w:szCs w:val="24"/>
        </w:rPr>
        <w:t>(które jest potrzebne, gdy orzeczenie ma być przymuso</w:t>
      </w:r>
      <w:r w:rsidR="00245F4C">
        <w:rPr>
          <w:rFonts w:ascii="Times New Roman" w:hAnsi="Times New Roman" w:cs="Times New Roman"/>
          <w:sz w:val="24"/>
          <w:szCs w:val="24"/>
        </w:rPr>
        <w:t xml:space="preserve">wo wykonywane w innym państwie </w:t>
      </w:r>
      <w:r w:rsidR="001679B4">
        <w:rPr>
          <w:rFonts w:ascii="Times New Roman" w:hAnsi="Times New Roman" w:cs="Times New Roman"/>
          <w:sz w:val="24"/>
          <w:szCs w:val="24"/>
        </w:rPr>
        <w:t>c</w:t>
      </w:r>
      <w:r w:rsidR="00245F4C">
        <w:rPr>
          <w:rFonts w:ascii="Times New Roman" w:hAnsi="Times New Roman" w:cs="Times New Roman"/>
          <w:sz w:val="24"/>
          <w:szCs w:val="24"/>
        </w:rPr>
        <w:t>z</w:t>
      </w:r>
      <w:r w:rsidR="001679B4">
        <w:rPr>
          <w:rFonts w:ascii="Times New Roman" w:hAnsi="Times New Roman" w:cs="Times New Roman"/>
          <w:sz w:val="24"/>
          <w:szCs w:val="24"/>
        </w:rPr>
        <w:t>łonkow</w:t>
      </w:r>
      <w:r w:rsidR="00245F4C">
        <w:rPr>
          <w:rFonts w:ascii="Times New Roman" w:hAnsi="Times New Roman" w:cs="Times New Roman"/>
          <w:sz w:val="24"/>
          <w:szCs w:val="24"/>
        </w:rPr>
        <w:t>skim, np. służyć zainteresowanemu do odebrania przedmiotów należących do spadku</w:t>
      </w:r>
      <w:r w:rsidR="0046176E">
        <w:rPr>
          <w:rFonts w:ascii="Times New Roman" w:hAnsi="Times New Roman" w:cs="Times New Roman"/>
          <w:sz w:val="24"/>
          <w:szCs w:val="24"/>
        </w:rPr>
        <w:t xml:space="preserve"> znajdujących</w:t>
      </w:r>
      <w:r w:rsidR="00D17206">
        <w:rPr>
          <w:rFonts w:ascii="Times New Roman" w:hAnsi="Times New Roman" w:cs="Times New Roman"/>
          <w:sz w:val="24"/>
          <w:szCs w:val="24"/>
        </w:rPr>
        <w:t xml:space="preserve"> się </w:t>
      </w:r>
      <w:r w:rsidR="009947EA">
        <w:rPr>
          <w:rFonts w:ascii="Times New Roman" w:hAnsi="Times New Roman" w:cs="Times New Roman"/>
          <w:sz w:val="24"/>
          <w:szCs w:val="24"/>
        </w:rPr>
        <w:t xml:space="preserve">wbrew orzeczeniu we władaniu innego spadkobiercy) </w:t>
      </w:r>
      <w:r w:rsidR="009947EA" w:rsidRPr="00116479">
        <w:rPr>
          <w:rFonts w:ascii="Times New Roman" w:hAnsi="Times New Roman" w:cs="Times New Roman"/>
          <w:sz w:val="24"/>
          <w:szCs w:val="24"/>
          <w:u w:val="single"/>
        </w:rPr>
        <w:t xml:space="preserve">wymaga </w:t>
      </w:r>
      <w:r w:rsidR="00EF7C60" w:rsidRPr="00116479">
        <w:rPr>
          <w:rFonts w:ascii="Times New Roman" w:hAnsi="Times New Roman" w:cs="Times New Roman"/>
          <w:sz w:val="24"/>
          <w:szCs w:val="24"/>
          <w:u w:val="single"/>
        </w:rPr>
        <w:t xml:space="preserve">przeprowadzenia w państwie członkowskim, w którym orzeczenie ma być wykonywane, </w:t>
      </w:r>
      <w:r w:rsidR="00AF4305" w:rsidRPr="00116479">
        <w:rPr>
          <w:rFonts w:ascii="Times New Roman" w:hAnsi="Times New Roman" w:cs="Times New Roman"/>
          <w:sz w:val="24"/>
          <w:szCs w:val="24"/>
          <w:u w:val="single"/>
        </w:rPr>
        <w:t>dodatkowego postępowania przed sądem</w:t>
      </w:r>
      <w:r w:rsidR="00AF4305" w:rsidRPr="00DA310F">
        <w:rPr>
          <w:rFonts w:ascii="Times New Roman" w:hAnsi="Times New Roman" w:cs="Times New Roman"/>
          <w:sz w:val="24"/>
          <w:szCs w:val="24"/>
          <w:u w:val="single"/>
        </w:rPr>
        <w:t>. Jest to jednak postępowani</w:t>
      </w:r>
      <w:r w:rsidR="00C578EA" w:rsidRPr="00DA310F">
        <w:rPr>
          <w:rFonts w:ascii="Times New Roman" w:hAnsi="Times New Roman" w:cs="Times New Roman"/>
          <w:sz w:val="24"/>
          <w:szCs w:val="24"/>
          <w:u w:val="single"/>
        </w:rPr>
        <w:t>e</w:t>
      </w:r>
      <w:r w:rsidR="00AF4305" w:rsidRPr="00DA310F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44384B" w:rsidRPr="00DA310F">
        <w:rPr>
          <w:rFonts w:ascii="Times New Roman" w:hAnsi="Times New Roman" w:cs="Times New Roman"/>
          <w:sz w:val="24"/>
          <w:szCs w:val="24"/>
          <w:u w:val="single"/>
        </w:rPr>
        <w:t xml:space="preserve">bardzo </w:t>
      </w:r>
      <w:r w:rsidR="00116479" w:rsidRPr="00DA310F">
        <w:rPr>
          <w:rFonts w:ascii="Times New Roman" w:hAnsi="Times New Roman" w:cs="Times New Roman"/>
          <w:sz w:val="24"/>
          <w:szCs w:val="24"/>
          <w:u w:val="single"/>
        </w:rPr>
        <w:t>uproszczone.</w:t>
      </w:r>
      <w:r w:rsidR="00116479">
        <w:rPr>
          <w:rFonts w:ascii="Times New Roman" w:hAnsi="Times New Roman" w:cs="Times New Roman"/>
          <w:sz w:val="24"/>
          <w:szCs w:val="24"/>
        </w:rPr>
        <w:t xml:space="preserve"> W postępowaniu tym w ogóle </w:t>
      </w:r>
      <w:r w:rsidR="00566E16">
        <w:rPr>
          <w:rFonts w:ascii="Times New Roman" w:hAnsi="Times New Roman" w:cs="Times New Roman"/>
          <w:sz w:val="24"/>
          <w:szCs w:val="24"/>
        </w:rPr>
        <w:t>nie bada się orzeczenia pod względem merytorycznym (tj. czy jest ono prawidłowe)</w:t>
      </w:r>
      <w:r w:rsidR="008520A2">
        <w:rPr>
          <w:rFonts w:ascii="Times New Roman" w:hAnsi="Times New Roman" w:cs="Times New Roman"/>
          <w:sz w:val="24"/>
          <w:szCs w:val="24"/>
        </w:rPr>
        <w:t>,</w:t>
      </w:r>
      <w:r w:rsidR="00C578EA">
        <w:rPr>
          <w:rFonts w:ascii="Times New Roman" w:hAnsi="Times New Roman" w:cs="Times New Roman"/>
          <w:sz w:val="24"/>
          <w:szCs w:val="24"/>
        </w:rPr>
        <w:t xml:space="preserve"> </w:t>
      </w:r>
      <w:r w:rsidR="007B5747">
        <w:rPr>
          <w:rFonts w:ascii="Times New Roman" w:hAnsi="Times New Roman" w:cs="Times New Roman"/>
          <w:sz w:val="24"/>
          <w:szCs w:val="24"/>
        </w:rPr>
        <w:t xml:space="preserve">a badanie </w:t>
      </w:r>
      <w:r w:rsidR="00C578EA">
        <w:rPr>
          <w:rFonts w:ascii="Times New Roman" w:hAnsi="Times New Roman" w:cs="Times New Roman"/>
          <w:sz w:val="24"/>
          <w:szCs w:val="24"/>
        </w:rPr>
        <w:t xml:space="preserve">czy spełnia ono warunki </w:t>
      </w:r>
      <w:r w:rsidR="005E2092">
        <w:rPr>
          <w:rFonts w:ascii="Times New Roman" w:hAnsi="Times New Roman" w:cs="Times New Roman"/>
          <w:sz w:val="24"/>
          <w:szCs w:val="24"/>
        </w:rPr>
        <w:t>przedstawione</w:t>
      </w:r>
      <w:r w:rsidR="00C578EA">
        <w:rPr>
          <w:rFonts w:ascii="Times New Roman" w:hAnsi="Times New Roman" w:cs="Times New Roman"/>
          <w:sz w:val="24"/>
          <w:szCs w:val="24"/>
        </w:rPr>
        <w:t xml:space="preserve"> </w:t>
      </w:r>
      <w:r w:rsidR="0078722C">
        <w:rPr>
          <w:rFonts w:ascii="Times New Roman" w:hAnsi="Times New Roman" w:cs="Times New Roman"/>
          <w:sz w:val="24"/>
          <w:szCs w:val="24"/>
        </w:rPr>
        <w:t>po</w:t>
      </w:r>
      <w:r w:rsidR="00C578EA">
        <w:rPr>
          <w:rFonts w:ascii="Times New Roman" w:hAnsi="Times New Roman" w:cs="Times New Roman"/>
          <w:sz w:val="24"/>
          <w:szCs w:val="24"/>
        </w:rPr>
        <w:t xml:space="preserve">wyżej przy </w:t>
      </w:r>
      <w:r w:rsidR="00F46C72">
        <w:rPr>
          <w:rFonts w:ascii="Times New Roman" w:hAnsi="Times New Roman" w:cs="Times New Roman"/>
          <w:sz w:val="24"/>
          <w:szCs w:val="24"/>
        </w:rPr>
        <w:t>omawianiu</w:t>
      </w:r>
      <w:r w:rsidR="005E2092">
        <w:rPr>
          <w:rFonts w:ascii="Times New Roman" w:hAnsi="Times New Roman" w:cs="Times New Roman"/>
          <w:sz w:val="24"/>
          <w:szCs w:val="24"/>
        </w:rPr>
        <w:t xml:space="preserve"> problematyki uznania, </w:t>
      </w:r>
      <w:r w:rsidR="007B5747">
        <w:rPr>
          <w:rFonts w:ascii="Times New Roman" w:hAnsi="Times New Roman" w:cs="Times New Roman"/>
          <w:sz w:val="24"/>
          <w:szCs w:val="24"/>
        </w:rPr>
        <w:t xml:space="preserve">może mieć miejsce tylko </w:t>
      </w:r>
      <w:r w:rsidR="001F3AC3">
        <w:rPr>
          <w:rFonts w:ascii="Times New Roman" w:hAnsi="Times New Roman" w:cs="Times New Roman"/>
          <w:sz w:val="24"/>
          <w:szCs w:val="24"/>
        </w:rPr>
        <w:t>prze</w:t>
      </w:r>
      <w:r w:rsidR="005E2092">
        <w:rPr>
          <w:rFonts w:ascii="Times New Roman" w:hAnsi="Times New Roman" w:cs="Times New Roman"/>
          <w:sz w:val="24"/>
          <w:szCs w:val="24"/>
        </w:rPr>
        <w:t>d są</w:t>
      </w:r>
      <w:r w:rsidR="001F3AC3">
        <w:rPr>
          <w:rFonts w:ascii="Times New Roman" w:hAnsi="Times New Roman" w:cs="Times New Roman"/>
          <w:sz w:val="24"/>
          <w:szCs w:val="24"/>
        </w:rPr>
        <w:t xml:space="preserve">dem II instancji, </w:t>
      </w:r>
      <w:r w:rsidR="0078722C">
        <w:rPr>
          <w:rFonts w:ascii="Times New Roman" w:hAnsi="Times New Roman" w:cs="Times New Roman"/>
          <w:sz w:val="24"/>
          <w:szCs w:val="24"/>
        </w:rPr>
        <w:t>tj. jeżeli</w:t>
      </w:r>
      <w:r w:rsidR="001F3AC3">
        <w:rPr>
          <w:rFonts w:ascii="Times New Roman" w:hAnsi="Times New Roman" w:cs="Times New Roman"/>
          <w:sz w:val="24"/>
          <w:szCs w:val="24"/>
        </w:rPr>
        <w:t xml:space="preserve"> inny zainteresowany sprzeciwia się </w:t>
      </w:r>
      <w:r w:rsidR="0078722C">
        <w:rPr>
          <w:rFonts w:ascii="Times New Roman" w:hAnsi="Times New Roman" w:cs="Times New Roman"/>
          <w:sz w:val="24"/>
          <w:szCs w:val="24"/>
        </w:rPr>
        <w:t>stwierdzeniu wykona</w:t>
      </w:r>
      <w:r w:rsidR="00DA310F">
        <w:rPr>
          <w:rFonts w:ascii="Times New Roman" w:hAnsi="Times New Roman" w:cs="Times New Roman"/>
          <w:sz w:val="24"/>
          <w:szCs w:val="24"/>
        </w:rPr>
        <w:t>lności  i zaskarży orzeczenie</w:t>
      </w:r>
      <w:r w:rsidR="00F46C72">
        <w:rPr>
          <w:rFonts w:ascii="Times New Roman" w:hAnsi="Times New Roman" w:cs="Times New Roman"/>
          <w:sz w:val="24"/>
          <w:szCs w:val="24"/>
        </w:rPr>
        <w:t xml:space="preserve"> są</w:t>
      </w:r>
      <w:r w:rsidR="0078722C">
        <w:rPr>
          <w:rFonts w:ascii="Times New Roman" w:hAnsi="Times New Roman" w:cs="Times New Roman"/>
          <w:sz w:val="24"/>
          <w:szCs w:val="24"/>
        </w:rPr>
        <w:t>du I instancji</w:t>
      </w:r>
      <w:r w:rsidR="008208D6">
        <w:rPr>
          <w:rFonts w:ascii="Times New Roman" w:hAnsi="Times New Roman" w:cs="Times New Roman"/>
          <w:sz w:val="24"/>
          <w:szCs w:val="24"/>
        </w:rPr>
        <w:t xml:space="preserve"> o stwierdzeniu wykonalności</w:t>
      </w:r>
      <w:r w:rsidR="0078722C">
        <w:rPr>
          <w:rFonts w:ascii="Times New Roman" w:hAnsi="Times New Roman" w:cs="Times New Roman"/>
          <w:sz w:val="24"/>
          <w:szCs w:val="24"/>
        </w:rPr>
        <w:t>.</w:t>
      </w:r>
      <w:r w:rsidR="00B16D9F" w:rsidRPr="002705B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B36DC" w:rsidRPr="002705BD" w:rsidRDefault="001B36DC" w:rsidP="001B36DC">
      <w:pPr>
        <w:pStyle w:val="Akapitzlist"/>
        <w:tabs>
          <w:tab w:val="left" w:pos="918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13A38" w:rsidRPr="002A5868" w:rsidRDefault="007643CE" w:rsidP="00657018">
      <w:pPr>
        <w:pStyle w:val="Akapitzlist"/>
        <w:numPr>
          <w:ilvl w:val="0"/>
          <w:numId w:val="2"/>
        </w:numPr>
        <w:tabs>
          <w:tab w:val="left" w:pos="9180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2A586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N</w:t>
      </w:r>
      <w:r w:rsidR="008208D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ajważniejsze kwestie dotyczące e</w:t>
      </w:r>
      <w:r w:rsidRPr="002A586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uropejskie</w:t>
      </w:r>
      <w:r w:rsidR="00A45F0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go</w:t>
      </w:r>
      <w:r w:rsidRPr="002A586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poświadczenia</w:t>
      </w:r>
      <w:r w:rsidR="00584363" w:rsidRPr="002A586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spadkowe</w:t>
      </w:r>
      <w:r w:rsidRPr="002A586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go</w:t>
      </w:r>
    </w:p>
    <w:p w:rsidR="006E2E42" w:rsidRPr="006E2E42" w:rsidRDefault="00917ECF" w:rsidP="00917ECF">
      <w:pPr>
        <w:pStyle w:val="Akapitzlist"/>
        <w:numPr>
          <w:ilvl w:val="0"/>
          <w:numId w:val="12"/>
        </w:numPr>
        <w:tabs>
          <w:tab w:val="left" w:pos="9180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Europejskie poświadczenie spadkowe jest </w:t>
      </w:r>
      <w:r w:rsidRPr="008208D6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nowym dokumentem</w:t>
      </w:r>
      <w:r w:rsidR="00605453" w:rsidRPr="008208D6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 służącym do wykazywania potwierdzonych w nim praw do spadku</w:t>
      </w:r>
      <w:r w:rsidR="00727C68" w:rsidRPr="008208D6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 po danej osobie</w:t>
      </w:r>
      <w:r w:rsidR="00727C6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  <w:r w:rsidR="00284599">
        <w:rPr>
          <w:rFonts w:ascii="Times New Roman" w:eastAsia="Times New Roman" w:hAnsi="Times New Roman" w:cs="Times New Roman"/>
          <w:sz w:val="24"/>
          <w:szCs w:val="24"/>
          <w:lang w:eastAsia="pl-PL"/>
        </w:rPr>
        <w:t>Przeznaczone jest ono przede wszystkim na potrzeby wykazywania tych praw za granicą, tj. w innych państwach członkowskich</w:t>
      </w:r>
      <w:r w:rsidR="008208D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Unii Europejskiej</w:t>
      </w:r>
      <w:r w:rsidR="00822AD4">
        <w:rPr>
          <w:rFonts w:ascii="Times New Roman" w:eastAsia="Times New Roman" w:hAnsi="Times New Roman" w:cs="Times New Roman"/>
          <w:sz w:val="24"/>
          <w:szCs w:val="24"/>
          <w:lang w:eastAsia="pl-PL"/>
        </w:rPr>
        <w:t>, niż to, w którym poświadczenie zostało wydane.</w:t>
      </w:r>
      <w:r w:rsidR="006E2E4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Można się nim jednak skutecznie posługiwać także w państwie, w którym zostało wydane.</w:t>
      </w:r>
    </w:p>
    <w:p w:rsidR="006C0EBB" w:rsidRPr="006C0EBB" w:rsidRDefault="00630DF3" w:rsidP="00917ECF">
      <w:pPr>
        <w:pStyle w:val="Akapitzlist"/>
        <w:numPr>
          <w:ilvl w:val="0"/>
          <w:numId w:val="12"/>
        </w:numPr>
        <w:tabs>
          <w:tab w:val="left" w:pos="9180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Europejskie poświadczenie spadkowe</w:t>
      </w:r>
      <w:r w:rsidR="0028459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n</w:t>
      </w:r>
      <w:r w:rsidR="00727C6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ie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zastępuje</w:t>
      </w:r>
      <w:r w:rsidR="00727C6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krajowych dokumentów </w:t>
      </w:r>
      <w:r w:rsidR="0028459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służących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podobnym</w:t>
      </w:r>
      <w:r w:rsidR="0028459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celom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W Polsce </w:t>
      </w:r>
      <w:r w:rsidRPr="00CB6DF9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b</w:t>
      </w:r>
      <w:r w:rsidR="00727C68" w:rsidRPr="00CB6DF9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ędzie </w:t>
      </w:r>
      <w:r w:rsidR="006C0EBB" w:rsidRPr="00CB6DF9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wię</w:t>
      </w:r>
      <w:r w:rsidRPr="00CB6DF9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c funkcjonować – jako </w:t>
      </w:r>
      <w:r w:rsidR="006C0EBB" w:rsidRPr="00CB6DF9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alternatywa</w:t>
      </w:r>
      <w:r w:rsidRPr="00CB6DF9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 – obok </w:t>
      </w:r>
      <w:r w:rsidR="006C0EBB" w:rsidRPr="00CB6DF9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sądowego postanowienia</w:t>
      </w:r>
      <w:r w:rsidRPr="00CB6DF9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 o stwierdzenia nabycia spadku </w:t>
      </w:r>
      <w:r w:rsidR="006C0EBB" w:rsidRPr="00CB6DF9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oraz notarialnego aktu poświadczenia dziedziczenia</w:t>
      </w:r>
      <w:r w:rsidR="006C0EBB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831358" w:rsidRPr="00482475" w:rsidRDefault="009B4989" w:rsidP="00917ECF">
      <w:pPr>
        <w:pStyle w:val="Akapitzlist"/>
        <w:numPr>
          <w:ilvl w:val="0"/>
          <w:numId w:val="12"/>
        </w:numPr>
        <w:tabs>
          <w:tab w:val="left" w:pos="9180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Europejskie poświadczenie spadkowe może być wydane tylko wówczas, </w:t>
      </w:r>
      <w:r w:rsidR="00C134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jeżeli </w:t>
      </w:r>
      <w:r w:rsidR="00C134CB" w:rsidRPr="00CB6DF9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wszystkie okoliczności </w:t>
      </w:r>
      <w:r w:rsidR="00DF1F1C" w:rsidRPr="00CB6DF9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istotne dla wydania poświadczenia są</w:t>
      </w:r>
      <w:r w:rsidR="000949B4" w:rsidRPr="00CB6DF9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 </w:t>
      </w:r>
      <w:r w:rsidR="00DF1F1C" w:rsidRPr="00CB6DF9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ustalone </w:t>
      </w:r>
      <w:r w:rsidR="000949B4" w:rsidRPr="00CB6DF9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w sposób niewątpliwy </w:t>
      </w:r>
      <w:r w:rsidR="00DF1F1C" w:rsidRPr="00CB6DF9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i nie są </w:t>
      </w:r>
      <w:r w:rsidR="00612709" w:rsidRPr="00CB6DF9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przez zainteresowanych </w:t>
      </w:r>
      <w:r w:rsidR="00DF1F1C" w:rsidRPr="00CB6DF9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kwestionowane</w:t>
      </w:r>
      <w:r w:rsidR="000949B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  <w:r w:rsidR="007F1044">
        <w:rPr>
          <w:rFonts w:ascii="Times New Roman" w:eastAsia="Times New Roman" w:hAnsi="Times New Roman" w:cs="Times New Roman"/>
          <w:sz w:val="24"/>
          <w:szCs w:val="24"/>
          <w:lang w:eastAsia="pl-PL"/>
        </w:rPr>
        <w:t>Jeżeli warunek ten nie jest spełniony,</w:t>
      </w:r>
      <w:r w:rsidR="00A34F8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celu ustalenia praw do spadku należy skorzyst</w:t>
      </w:r>
      <w:r w:rsidR="00CB6DF9">
        <w:rPr>
          <w:rFonts w:ascii="Times New Roman" w:eastAsia="Times New Roman" w:hAnsi="Times New Roman" w:cs="Times New Roman"/>
          <w:sz w:val="24"/>
          <w:szCs w:val="24"/>
          <w:lang w:eastAsia="pl-PL"/>
        </w:rPr>
        <w:t>ać z postępowania o stwierdzenie</w:t>
      </w:r>
      <w:r w:rsidR="00A34F8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nabycia spadku</w:t>
      </w:r>
      <w:r w:rsidR="009E3F7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dopiero p</w:t>
      </w:r>
      <w:r w:rsidR="0083135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 wydaniu prawomocnego postanowienia </w:t>
      </w:r>
      <w:r w:rsidR="00482475">
        <w:rPr>
          <w:rFonts w:ascii="Times New Roman" w:eastAsia="Times New Roman" w:hAnsi="Times New Roman" w:cs="Times New Roman"/>
          <w:sz w:val="24"/>
          <w:szCs w:val="24"/>
          <w:lang w:eastAsia="pl-PL"/>
        </w:rPr>
        <w:t>o stwierdzeniu nabycia spadku ewentualnie</w:t>
      </w:r>
      <w:r w:rsidR="0083135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ubiegać się o </w:t>
      </w:r>
      <w:r w:rsidR="00482475">
        <w:rPr>
          <w:rFonts w:ascii="Times New Roman" w:eastAsia="Times New Roman" w:hAnsi="Times New Roman" w:cs="Times New Roman"/>
          <w:sz w:val="24"/>
          <w:szCs w:val="24"/>
          <w:lang w:eastAsia="pl-PL"/>
        </w:rPr>
        <w:t>wydanie</w:t>
      </w:r>
      <w:r w:rsidR="0083135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europejskiego </w:t>
      </w:r>
      <w:r w:rsidR="00482475">
        <w:rPr>
          <w:rFonts w:ascii="Times New Roman" w:eastAsia="Times New Roman" w:hAnsi="Times New Roman" w:cs="Times New Roman"/>
          <w:sz w:val="24"/>
          <w:szCs w:val="24"/>
          <w:lang w:eastAsia="pl-PL"/>
        </w:rPr>
        <w:t>poświadczenia</w:t>
      </w:r>
      <w:r w:rsidR="0083135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spadkowego</w:t>
      </w:r>
      <w:r w:rsidR="00482475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482475" w:rsidRPr="00831358" w:rsidRDefault="00051A8A" w:rsidP="00FC6E0F">
      <w:pPr>
        <w:pStyle w:val="Akapitzlist"/>
        <w:numPr>
          <w:ilvl w:val="0"/>
          <w:numId w:val="12"/>
        </w:numPr>
        <w:tabs>
          <w:tab w:val="left" w:pos="9180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Największą</w:t>
      </w:r>
      <w:r w:rsidR="00FC6E0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zaletą europejskiego poświadczenia spadkowego jest to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="00FC6E0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że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dla swej skuteczności w innych państwach członkowskich UE związanych rozporządzeniem</w:t>
      </w:r>
      <w:r w:rsidR="00FC6E0F" w:rsidRPr="00FC6E0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FC6E0F" w:rsidRPr="009E3F77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nie będzie wymagał</w:t>
      </w:r>
      <w:r w:rsidR="001F6940" w:rsidRPr="009E3F77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o</w:t>
      </w:r>
      <w:r w:rsidR="00FC6E0F" w:rsidRPr="009E3F77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 uznania </w:t>
      </w:r>
      <w:r w:rsidR="00F42619" w:rsidRPr="009E3F77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ani</w:t>
      </w:r>
      <w:r w:rsidR="00FC6E0F" w:rsidRPr="009E3F77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 stwierdzenia wykonalności</w:t>
      </w:r>
      <w:r w:rsidR="00FC6E0F" w:rsidRPr="00FC6E0F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E906F5" w:rsidRDefault="00F42619" w:rsidP="00E906F5">
      <w:pPr>
        <w:pStyle w:val="Akapitzlist"/>
        <w:numPr>
          <w:ilvl w:val="0"/>
          <w:numId w:val="12"/>
        </w:numPr>
        <w:tabs>
          <w:tab w:val="left" w:pos="918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458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Polsce europejskie poświadczenie spadkowe będzie można uzyskać </w:t>
      </w:r>
      <w:r w:rsidRPr="009E3F77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w postępowaniu prowadzonym przez sąd </w:t>
      </w:r>
      <w:r w:rsidR="000E1E4C" w:rsidRPr="009E3F77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rejonowy </w:t>
      </w:r>
      <w:r w:rsidRPr="009E3F77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alb</w:t>
      </w:r>
      <w:r w:rsidR="000E1E4C" w:rsidRPr="009E3F77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o</w:t>
      </w:r>
      <w:r w:rsidRPr="009E3F77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 o notariusza – według wyboru zainteresowanych</w:t>
      </w:r>
      <w:r w:rsidR="00690097" w:rsidRPr="009E3F77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.</w:t>
      </w:r>
      <w:r w:rsidR="00F848FD" w:rsidRPr="0068458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671686" w:rsidRPr="0068458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Wniosek o wydanie poświadczenia </w:t>
      </w:r>
      <w:r w:rsidR="00D77AAA" w:rsidRPr="0068458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będzie </w:t>
      </w:r>
      <w:r w:rsidR="00671686" w:rsidRPr="00684586">
        <w:rPr>
          <w:rFonts w:ascii="Times New Roman" w:eastAsia="Times New Roman" w:hAnsi="Times New Roman" w:cs="Times New Roman"/>
          <w:sz w:val="24"/>
          <w:szCs w:val="24"/>
          <w:lang w:eastAsia="pl-PL"/>
        </w:rPr>
        <w:t>można złożyć na specjalnym formularzu</w:t>
      </w:r>
      <w:r w:rsidR="00386C23" w:rsidRPr="0068458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z tym że skorzystanie z formularza nie jest obowiązkowe (ułatwi jednak </w:t>
      </w:r>
      <w:r w:rsidR="00D77AAA" w:rsidRPr="00684586">
        <w:rPr>
          <w:rFonts w:ascii="Times New Roman" w:eastAsia="Times New Roman" w:hAnsi="Times New Roman" w:cs="Times New Roman"/>
          <w:sz w:val="24"/>
          <w:szCs w:val="24"/>
          <w:lang w:eastAsia="pl-PL"/>
        </w:rPr>
        <w:t>wnioskodawcy podanie we wniosku wszystkich wymaganych informacji</w:t>
      </w:r>
      <w:r w:rsidR="00C92A01" w:rsidRPr="00684586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  <w:r w:rsidR="00D77AAA" w:rsidRPr="0068458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  <w:r w:rsidR="00F43F2E" w:rsidRPr="00CD2BAE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Opłata od wniosku złożonego do sądu </w:t>
      </w:r>
      <w:r w:rsidR="00121F35" w:rsidRPr="00CD2BAE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wynosić będzie 300 zł, a </w:t>
      </w:r>
      <w:r w:rsidR="00F7435E" w:rsidRPr="00CD2BAE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m</w:t>
      </w:r>
      <w:r w:rsidR="00121F35" w:rsidRPr="00CD2BAE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a</w:t>
      </w:r>
      <w:r w:rsidR="00F7435E" w:rsidRPr="00CD2BAE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ksymalna stawka </w:t>
      </w:r>
      <w:r w:rsidR="00121F35" w:rsidRPr="00CD2BAE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taksy notarialnej – 400 zł.</w:t>
      </w:r>
      <w:r w:rsidR="0068458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121F35" w:rsidRPr="0068458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Europejskie poświadczenia spadkowe będzie wydawane </w:t>
      </w:r>
      <w:r w:rsidR="0068458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</w:t>
      </w:r>
      <w:r w:rsidR="00BA619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formularzu według </w:t>
      </w:r>
      <w:r w:rsidR="001F69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jednolitego </w:t>
      </w:r>
      <w:r w:rsidR="00BA619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wzoru </w:t>
      </w:r>
      <w:r w:rsidR="001F69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obowiązującego </w:t>
      </w:r>
      <w:r w:rsidR="00BA619B">
        <w:rPr>
          <w:rFonts w:ascii="Times New Roman" w:eastAsia="Times New Roman" w:hAnsi="Times New Roman" w:cs="Times New Roman"/>
          <w:sz w:val="24"/>
          <w:szCs w:val="24"/>
          <w:lang w:eastAsia="pl-PL"/>
        </w:rPr>
        <w:t>we wszystkich państwach członkowskich UE związanych rozporządzeniem.</w:t>
      </w:r>
      <w:r w:rsidR="00C92A01" w:rsidRPr="0068458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7617F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postanowienie sądu </w:t>
      </w:r>
      <w:r w:rsidR="005D2BB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rejonowego </w:t>
      </w:r>
      <w:r w:rsidR="007617F5">
        <w:rPr>
          <w:rFonts w:ascii="Times New Roman" w:eastAsia="Times New Roman" w:hAnsi="Times New Roman" w:cs="Times New Roman"/>
          <w:sz w:val="24"/>
          <w:szCs w:val="24"/>
          <w:lang w:eastAsia="pl-PL"/>
        </w:rPr>
        <w:t>dotyczące europejskiego poświadczenia spadkowego oraz czynność nota</w:t>
      </w:r>
      <w:r w:rsidR="005D2BB3">
        <w:rPr>
          <w:rFonts w:ascii="Times New Roman" w:eastAsia="Times New Roman" w:hAnsi="Times New Roman" w:cs="Times New Roman"/>
          <w:sz w:val="24"/>
          <w:szCs w:val="24"/>
          <w:lang w:eastAsia="pl-PL"/>
        </w:rPr>
        <w:t>riusza dotyczącą europejskiego poświadczenia spadkowego prz</w:t>
      </w:r>
      <w:r w:rsidR="001B36DC">
        <w:rPr>
          <w:rFonts w:ascii="Times New Roman" w:eastAsia="Times New Roman" w:hAnsi="Times New Roman" w:cs="Times New Roman"/>
          <w:sz w:val="24"/>
          <w:szCs w:val="24"/>
          <w:lang w:eastAsia="pl-PL"/>
        </w:rPr>
        <w:t>ysługiwać będzie zażalenie do są</w:t>
      </w:r>
      <w:r w:rsidR="005D2BB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du okręgowego. </w:t>
      </w:r>
    </w:p>
    <w:p w:rsidR="001B36DC" w:rsidRDefault="001B36DC" w:rsidP="001B36DC">
      <w:pPr>
        <w:pStyle w:val="Akapitzlist"/>
        <w:tabs>
          <w:tab w:val="left" w:pos="918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906F5" w:rsidRDefault="001B36DC" w:rsidP="00E906F5">
      <w:pPr>
        <w:pStyle w:val="Akapitzlist"/>
        <w:numPr>
          <w:ilvl w:val="0"/>
          <w:numId w:val="2"/>
        </w:numPr>
        <w:tabs>
          <w:tab w:val="left" w:pos="9180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Materiały źródłowe</w:t>
      </w:r>
    </w:p>
    <w:p w:rsidR="001B36DC" w:rsidRDefault="000202E0" w:rsidP="001B36DC">
      <w:pPr>
        <w:pStyle w:val="Akapitzlist"/>
        <w:tabs>
          <w:tab w:val="left" w:pos="918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Teksty omówionych wyżej przepisów są dostępne </w:t>
      </w:r>
      <w:r w:rsidR="00BD192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następujących publikatorach i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na stronach internetowych pod następującymi adresami:</w:t>
      </w:r>
    </w:p>
    <w:p w:rsidR="003B78DD" w:rsidRDefault="000202E0" w:rsidP="003B78DD">
      <w:pPr>
        <w:pStyle w:val="Akapitzlist"/>
        <w:tabs>
          <w:tab w:val="left" w:pos="918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</w:t>
      </w:r>
      <w:r w:rsidRPr="000202E0">
        <w:rPr>
          <w:rFonts w:ascii="Times New Roman" w:eastAsia="Times New Roman" w:hAnsi="Times New Roman" w:cs="Times New Roman"/>
          <w:sz w:val="24"/>
          <w:szCs w:val="24"/>
          <w:lang w:eastAsia="pl-PL"/>
        </w:rPr>
        <w:t>rozporządzenie Parlamentu Europejskiego i Rady (UE) nr 650/2012 z dnia 4 lipca 2012 r. w sprawie jurysdykcji, prawa właściwego, uznawania i wykonywania orzeczeń</w:t>
      </w:r>
      <w:r w:rsidR="00CD2BAE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Pr="000202E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przyjmowania i wykonywania dokumentów urzędowych dotyczących dziedziczenia oraz w sprawie ustanowienia europejskiego poświadczenia spadkowego</w:t>
      </w:r>
      <w:r w:rsidR="00F1040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</w:t>
      </w:r>
      <w:r w:rsidR="00691B7E">
        <w:rPr>
          <w:rFonts w:ascii="Times New Roman" w:eastAsia="Times New Roman" w:hAnsi="Times New Roman" w:cs="Times New Roman"/>
          <w:sz w:val="24"/>
          <w:szCs w:val="24"/>
          <w:lang w:eastAsia="pl-PL"/>
        </w:rPr>
        <w:t>Dz. Urz. UE</w:t>
      </w:r>
      <w:r w:rsidR="00D10F4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691B7E">
        <w:rPr>
          <w:rFonts w:ascii="Times New Roman" w:eastAsia="Times New Roman" w:hAnsi="Times New Roman" w:cs="Times New Roman"/>
          <w:sz w:val="24"/>
          <w:szCs w:val="24"/>
          <w:lang w:eastAsia="pl-PL"/>
        </w:rPr>
        <w:t>L 201 z 27.07.2012 str. 107</w:t>
      </w:r>
      <w:r w:rsidR="008C5661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  <w:r w:rsidR="0097428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E41A7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sprostowania Dz. Urz. L 344 z 14.12.2012, str. 3 oraz Dz. Urz. </w:t>
      </w:r>
      <w:r w:rsidR="00E41A7E" w:rsidRPr="00E41A7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UE L 060 z </w:t>
      </w:r>
      <w:r w:rsidR="00E41A7E">
        <w:rPr>
          <w:rFonts w:ascii="Times New Roman" w:eastAsia="Times New Roman" w:hAnsi="Times New Roman" w:cs="Times New Roman"/>
          <w:sz w:val="24"/>
          <w:szCs w:val="24"/>
          <w:lang w:eastAsia="pl-PL"/>
        </w:rPr>
        <w:t>2.03.2013 str. 140;</w:t>
      </w:r>
      <w:r w:rsidR="008C5661" w:rsidRPr="00E41A7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hyperlink r:id="rId8" w:history="1">
        <w:r w:rsidR="003B78DD" w:rsidRPr="0061521C">
          <w:rPr>
            <w:rStyle w:val="Hipercze"/>
            <w:rFonts w:ascii="Times New Roman" w:eastAsia="Times New Roman" w:hAnsi="Times New Roman" w:cs="Times New Roman"/>
            <w:sz w:val="24"/>
            <w:szCs w:val="24"/>
            <w:lang w:eastAsia="pl-PL"/>
          </w:rPr>
          <w:t>http://eur-lex.europa.eu/legal-</w:t>
        </w:r>
        <w:r w:rsidR="003B78DD" w:rsidRPr="0061521C">
          <w:rPr>
            <w:rStyle w:val="Hipercze"/>
            <w:rFonts w:ascii="Times New Roman" w:eastAsia="Times New Roman" w:hAnsi="Times New Roman" w:cs="Times New Roman"/>
            <w:sz w:val="24"/>
            <w:szCs w:val="24"/>
            <w:lang w:eastAsia="pl-PL"/>
          </w:rPr>
          <w:lastRenderedPageBreak/>
          <w:t>content/PL/TXT/PDF/?uri=CELEX:02012R0650-20120705&amp;qid=1439191840160&amp;from=PL</w:t>
        </w:r>
      </w:hyperlink>
    </w:p>
    <w:p w:rsidR="00F10400" w:rsidRDefault="00A12B46" w:rsidP="001B36DC">
      <w:pPr>
        <w:pStyle w:val="Akapitzlist"/>
        <w:tabs>
          <w:tab w:val="left" w:pos="918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- formularz wniosku o wydanie e</w:t>
      </w:r>
      <w:r w:rsidR="00F10400">
        <w:rPr>
          <w:rFonts w:ascii="Times New Roman" w:eastAsia="Times New Roman" w:hAnsi="Times New Roman" w:cs="Times New Roman"/>
          <w:sz w:val="24"/>
          <w:szCs w:val="24"/>
          <w:lang w:eastAsia="pl-PL"/>
        </w:rPr>
        <w:t>uropejskiego poświadczenia spadkowego:</w:t>
      </w:r>
      <w:r w:rsidR="00D10F4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Dz. Urz. UE L 359 z 16</w:t>
      </w:r>
      <w:r w:rsidR="002100DE">
        <w:rPr>
          <w:rFonts w:ascii="Times New Roman" w:eastAsia="Times New Roman" w:hAnsi="Times New Roman" w:cs="Times New Roman"/>
          <w:sz w:val="24"/>
          <w:szCs w:val="24"/>
          <w:lang w:eastAsia="pl-PL"/>
        </w:rPr>
        <w:t>.12.2</w:t>
      </w:r>
      <w:r w:rsidR="00D10F4B">
        <w:rPr>
          <w:rFonts w:ascii="Times New Roman" w:eastAsia="Times New Roman" w:hAnsi="Times New Roman" w:cs="Times New Roman"/>
          <w:sz w:val="24"/>
          <w:szCs w:val="24"/>
          <w:lang w:eastAsia="pl-PL"/>
        </w:rPr>
        <w:t>014, str. 50</w:t>
      </w:r>
      <w:r w:rsidR="0097428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; </w:t>
      </w:r>
      <w:hyperlink r:id="rId9" w:history="1">
        <w:r w:rsidR="00974288" w:rsidRPr="0061521C">
          <w:rPr>
            <w:rStyle w:val="Hipercze"/>
            <w:rFonts w:ascii="Times New Roman" w:eastAsia="Times New Roman" w:hAnsi="Times New Roman" w:cs="Times New Roman"/>
            <w:sz w:val="24"/>
            <w:szCs w:val="24"/>
            <w:lang w:eastAsia="pl-PL"/>
          </w:rPr>
          <w:t>http://eur-lex.europa.eu/legal-content/PL/TXT/PDF/?uri=CELEX:32014R1329&amp;rid=4</w:t>
        </w:r>
      </w:hyperlink>
    </w:p>
    <w:p w:rsidR="00F10400" w:rsidRPr="00FC1D5A" w:rsidRDefault="00F10400" w:rsidP="001B36DC">
      <w:pPr>
        <w:pStyle w:val="Akapitzlist"/>
        <w:tabs>
          <w:tab w:val="left" w:pos="9180"/>
        </w:tabs>
        <w:spacing w:after="0" w:line="360" w:lineRule="auto"/>
        <w:jc w:val="both"/>
        <w:rPr>
          <w:rFonts w:ascii="Times New Roman" w:eastAsia="Times New Roman" w:hAnsi="Times New Roman" w:cs="Times New Roman"/>
          <w:i/>
          <w:color w:val="FF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</w:t>
      </w:r>
      <w:r w:rsidRPr="00F1040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ustawa z dnia 24 lipca 2015 r. o zmianie ustawy – Kodeks postępowania cywilnego, </w:t>
      </w:r>
      <w:r w:rsidRPr="00FC1D5A">
        <w:rPr>
          <w:rFonts w:ascii="Times New Roman" w:eastAsia="Times New Roman" w:hAnsi="Times New Roman" w:cs="Times New Roman"/>
          <w:sz w:val="24"/>
          <w:szCs w:val="24"/>
          <w:lang w:eastAsia="pl-PL"/>
        </w:rPr>
        <w:t>ustawy – Prawo o notariacie oraz niektórych innych ustaw</w:t>
      </w:r>
      <w:r w:rsidR="00BD1926" w:rsidRPr="00FC1D5A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  <w:r w:rsidR="00A92B67" w:rsidRPr="00FC1D5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Dz. U. poz. </w:t>
      </w:r>
      <w:r w:rsidR="00FC1D5A" w:rsidRPr="00FC1D5A">
        <w:rPr>
          <w:rFonts w:ascii="Times New Roman" w:hAnsi="Times New Roman" w:cs="Times New Roman"/>
          <w:sz w:val="24"/>
          <w:szCs w:val="24"/>
        </w:rPr>
        <w:t>Dz. U. poz.1137</w:t>
      </w:r>
      <w:r w:rsidR="00FC1D5A">
        <w:rPr>
          <w:rFonts w:ascii="Times New Roman" w:hAnsi="Times New Roman" w:cs="Times New Roman"/>
          <w:sz w:val="24"/>
          <w:szCs w:val="24"/>
        </w:rPr>
        <w:t>.</w:t>
      </w:r>
    </w:p>
    <w:p w:rsidR="00F10400" w:rsidRPr="000202E0" w:rsidRDefault="00F10400" w:rsidP="001B36DC">
      <w:pPr>
        <w:pStyle w:val="Akapitzlist"/>
        <w:tabs>
          <w:tab w:val="left" w:pos="918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B5A11" w:rsidRDefault="002B5A11" w:rsidP="00384290">
      <w:pPr>
        <w:tabs>
          <w:tab w:val="left" w:pos="9180"/>
        </w:tabs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:rsidR="002B5A11" w:rsidRDefault="002B5A11" w:rsidP="00384290">
      <w:pPr>
        <w:tabs>
          <w:tab w:val="left" w:pos="9180"/>
        </w:tabs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:rsidR="002B5A11" w:rsidRPr="002B5A11" w:rsidRDefault="006A4CF3" w:rsidP="00384290">
      <w:pPr>
        <w:tabs>
          <w:tab w:val="left" w:pos="9180"/>
        </w:tabs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i/>
          <w:sz w:val="20"/>
          <w:szCs w:val="20"/>
          <w:u w:val="single"/>
          <w:lang w:eastAsia="pl-PL"/>
        </w:rPr>
      </w:pPr>
      <w:r>
        <w:rPr>
          <w:rFonts w:ascii="Times New Roman" w:eastAsia="Times New Roman" w:hAnsi="Times New Roman" w:cs="Times New Roman"/>
          <w:i/>
          <w:sz w:val="20"/>
          <w:szCs w:val="20"/>
          <w:u w:val="single"/>
          <w:lang w:eastAsia="pl-PL"/>
        </w:rPr>
        <w:t>Opracowa</w:t>
      </w:r>
      <w:r w:rsidR="00384290" w:rsidRPr="002B5A11">
        <w:rPr>
          <w:rFonts w:ascii="Times New Roman" w:eastAsia="Times New Roman" w:hAnsi="Times New Roman" w:cs="Times New Roman"/>
          <w:i/>
          <w:sz w:val="20"/>
          <w:szCs w:val="20"/>
          <w:u w:val="single"/>
          <w:lang w:eastAsia="pl-PL"/>
        </w:rPr>
        <w:t xml:space="preserve">li: </w:t>
      </w:r>
    </w:p>
    <w:p w:rsidR="002B5A11" w:rsidRDefault="00384290" w:rsidP="00384290">
      <w:pPr>
        <w:tabs>
          <w:tab w:val="left" w:pos="9180"/>
        </w:tabs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  <w:r w:rsidRPr="002B5A11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Agata Srokowska, sędzia w </w:t>
      </w:r>
      <w:r w:rsidR="00477F81" w:rsidRPr="002B5A11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Departamencie</w:t>
      </w:r>
      <w:r w:rsidRPr="002B5A11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 </w:t>
      </w:r>
      <w:r w:rsidR="00477F81" w:rsidRPr="002B5A11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Legislacyjnym</w:t>
      </w:r>
      <w:r w:rsidRPr="002B5A11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 Ministerstwa </w:t>
      </w:r>
      <w:r w:rsidR="002B5A11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Sprawiedliwości</w:t>
      </w:r>
    </w:p>
    <w:p w:rsidR="00D7208A" w:rsidRPr="00A70F67" w:rsidRDefault="00477F81" w:rsidP="00D80103">
      <w:pPr>
        <w:tabs>
          <w:tab w:val="left" w:pos="9180"/>
        </w:tabs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B5A11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Andrzej Ryng, sędzia, Zasępca Dyrektora Departamentu Legislacyjnego Ministerstwa Sprawiedliwości</w:t>
      </w:r>
    </w:p>
    <w:p w:rsidR="0052409F" w:rsidRPr="00A70F67" w:rsidRDefault="0052409F" w:rsidP="00742F2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52409F" w:rsidRPr="00A70F67" w:rsidSect="00FC1D5A">
      <w:headerReference w:type="default" r:id="rId10"/>
      <w:footerReference w:type="default" r:id="rId11"/>
      <w:pgSz w:w="11906" w:h="16838"/>
      <w:pgMar w:top="223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6E01" w:rsidRDefault="00696E01" w:rsidP="00771607">
      <w:pPr>
        <w:spacing w:after="0" w:line="240" w:lineRule="auto"/>
      </w:pPr>
      <w:r>
        <w:separator/>
      </w:r>
    </w:p>
  </w:endnote>
  <w:endnote w:type="continuationSeparator" w:id="0">
    <w:p w:rsidR="00696E01" w:rsidRDefault="00696E01" w:rsidP="00771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44020841"/>
      <w:docPartObj>
        <w:docPartGallery w:val="Page Numbers (Bottom of Page)"/>
        <w:docPartUnique/>
      </w:docPartObj>
    </w:sdtPr>
    <w:sdtEndPr/>
    <w:sdtContent>
      <w:p w:rsidR="005608FF" w:rsidRDefault="005608FF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C1D5A">
          <w:rPr>
            <w:noProof/>
          </w:rPr>
          <w:t>1</w:t>
        </w:r>
        <w:r>
          <w:fldChar w:fldCharType="end"/>
        </w:r>
      </w:p>
    </w:sdtContent>
  </w:sdt>
  <w:p w:rsidR="005608FF" w:rsidRDefault="005608FF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6E01" w:rsidRDefault="00696E01" w:rsidP="00771607">
      <w:pPr>
        <w:spacing w:after="0" w:line="240" w:lineRule="auto"/>
      </w:pPr>
      <w:r>
        <w:separator/>
      </w:r>
    </w:p>
  </w:footnote>
  <w:footnote w:type="continuationSeparator" w:id="0">
    <w:p w:rsidR="00696E01" w:rsidRDefault="00696E01" w:rsidP="00771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1D5A" w:rsidRDefault="00FC1D5A">
    <w:pPr>
      <w:pStyle w:val="Nagwek"/>
    </w:pPr>
    <w:r>
      <w:rPr>
        <w:noProof/>
        <w:lang w:eastAsia="pl-PL"/>
      </w:rPr>
      <w:drawing>
        <wp:inline distT="0" distB="0" distL="0" distR="0" wp14:anchorId="14BF332F" wp14:editId="061B6121">
          <wp:extent cx="2061290" cy="691764"/>
          <wp:effectExtent l="0" t="0" r="0" b="0"/>
          <wp:docPr id="1" name="Obraz 1" descr="C:\Users\domachowska\AppData\Local\Temp\Rar$DIa0.658\Logotyp_MS_bez_godla_w_orientacji_poziomej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domachowska\AppData\Local\Temp\Rar$DIa0.658\Logotyp_MS_bez_godla_w_orientacji_poziomej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61306" cy="69176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C1001"/>
    <w:multiLevelType w:val="hybridMultilevel"/>
    <w:tmpl w:val="843EA4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196271"/>
    <w:multiLevelType w:val="hybridMultilevel"/>
    <w:tmpl w:val="21484A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5A33EC1"/>
    <w:multiLevelType w:val="hybridMultilevel"/>
    <w:tmpl w:val="86FE483C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16D92681"/>
    <w:multiLevelType w:val="hybridMultilevel"/>
    <w:tmpl w:val="63DA0086"/>
    <w:lvl w:ilvl="0" w:tplc="5C84ABA6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27D5EF9"/>
    <w:multiLevelType w:val="hybridMultilevel"/>
    <w:tmpl w:val="54804736"/>
    <w:lvl w:ilvl="0" w:tplc="EB608A6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C5E5A87"/>
    <w:multiLevelType w:val="hybridMultilevel"/>
    <w:tmpl w:val="8996D0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CBB3E9A"/>
    <w:multiLevelType w:val="hybridMultilevel"/>
    <w:tmpl w:val="C658B4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2DB410F"/>
    <w:multiLevelType w:val="hybridMultilevel"/>
    <w:tmpl w:val="7556DD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1C032E1"/>
    <w:multiLevelType w:val="hybridMultilevel"/>
    <w:tmpl w:val="18DC12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1C94E46"/>
    <w:multiLevelType w:val="hybridMultilevel"/>
    <w:tmpl w:val="4ED46A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2BC4F51"/>
    <w:multiLevelType w:val="hybridMultilevel"/>
    <w:tmpl w:val="5E36926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2E30A39"/>
    <w:multiLevelType w:val="hybridMultilevel"/>
    <w:tmpl w:val="99247DDA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6EE755B8"/>
    <w:multiLevelType w:val="hybridMultilevel"/>
    <w:tmpl w:val="7E74A186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71FF22F3"/>
    <w:multiLevelType w:val="hybridMultilevel"/>
    <w:tmpl w:val="FA2CF6D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7AE8702F"/>
    <w:multiLevelType w:val="hybridMultilevel"/>
    <w:tmpl w:val="35D8E8FE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4"/>
  </w:num>
  <w:num w:numId="2">
    <w:abstractNumId w:val="3"/>
  </w:num>
  <w:num w:numId="3">
    <w:abstractNumId w:val="10"/>
  </w:num>
  <w:num w:numId="4">
    <w:abstractNumId w:val="7"/>
  </w:num>
  <w:num w:numId="5">
    <w:abstractNumId w:val="13"/>
  </w:num>
  <w:num w:numId="6">
    <w:abstractNumId w:val="0"/>
  </w:num>
  <w:num w:numId="7">
    <w:abstractNumId w:val="8"/>
  </w:num>
  <w:num w:numId="8">
    <w:abstractNumId w:val="9"/>
  </w:num>
  <w:num w:numId="9">
    <w:abstractNumId w:val="1"/>
  </w:num>
  <w:num w:numId="10">
    <w:abstractNumId w:val="2"/>
  </w:num>
  <w:num w:numId="11">
    <w:abstractNumId w:val="6"/>
  </w:num>
  <w:num w:numId="12">
    <w:abstractNumId w:val="5"/>
  </w:num>
  <w:num w:numId="13">
    <w:abstractNumId w:val="12"/>
  </w:num>
  <w:num w:numId="14">
    <w:abstractNumId w:val="11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02EB"/>
    <w:rsid w:val="00001D04"/>
    <w:rsid w:val="00003B42"/>
    <w:rsid w:val="00004FDA"/>
    <w:rsid w:val="00012B98"/>
    <w:rsid w:val="00013A38"/>
    <w:rsid w:val="000202E0"/>
    <w:rsid w:val="0002587E"/>
    <w:rsid w:val="00032E73"/>
    <w:rsid w:val="000337FB"/>
    <w:rsid w:val="000359A7"/>
    <w:rsid w:val="00037022"/>
    <w:rsid w:val="00045409"/>
    <w:rsid w:val="00046660"/>
    <w:rsid w:val="00051A8A"/>
    <w:rsid w:val="000532A1"/>
    <w:rsid w:val="00057903"/>
    <w:rsid w:val="00057A16"/>
    <w:rsid w:val="00063532"/>
    <w:rsid w:val="0007341E"/>
    <w:rsid w:val="00080B6F"/>
    <w:rsid w:val="0008371F"/>
    <w:rsid w:val="000949B4"/>
    <w:rsid w:val="000964BC"/>
    <w:rsid w:val="000A1B35"/>
    <w:rsid w:val="000B436D"/>
    <w:rsid w:val="000C1C59"/>
    <w:rsid w:val="000D2526"/>
    <w:rsid w:val="000D6E1C"/>
    <w:rsid w:val="000E1E4C"/>
    <w:rsid w:val="000F7D4C"/>
    <w:rsid w:val="00103E65"/>
    <w:rsid w:val="00104BA0"/>
    <w:rsid w:val="00111540"/>
    <w:rsid w:val="00112FB0"/>
    <w:rsid w:val="00116479"/>
    <w:rsid w:val="00121F35"/>
    <w:rsid w:val="00124E8A"/>
    <w:rsid w:val="00130664"/>
    <w:rsid w:val="001338E8"/>
    <w:rsid w:val="0013415C"/>
    <w:rsid w:val="00137021"/>
    <w:rsid w:val="001437C8"/>
    <w:rsid w:val="00145BF1"/>
    <w:rsid w:val="00145CB9"/>
    <w:rsid w:val="001472E4"/>
    <w:rsid w:val="001520C6"/>
    <w:rsid w:val="001636FF"/>
    <w:rsid w:val="00165018"/>
    <w:rsid w:val="00166AB6"/>
    <w:rsid w:val="001679B4"/>
    <w:rsid w:val="001729E4"/>
    <w:rsid w:val="00183841"/>
    <w:rsid w:val="001873A4"/>
    <w:rsid w:val="0019254F"/>
    <w:rsid w:val="001A0490"/>
    <w:rsid w:val="001A04CA"/>
    <w:rsid w:val="001A1E9A"/>
    <w:rsid w:val="001A68B1"/>
    <w:rsid w:val="001B36DC"/>
    <w:rsid w:val="001C0E22"/>
    <w:rsid w:val="001C1E5F"/>
    <w:rsid w:val="001C2C7A"/>
    <w:rsid w:val="001D079F"/>
    <w:rsid w:val="001D6AAC"/>
    <w:rsid w:val="001F3AC3"/>
    <w:rsid w:val="001F6940"/>
    <w:rsid w:val="00203EAF"/>
    <w:rsid w:val="002100DE"/>
    <w:rsid w:val="00213CCC"/>
    <w:rsid w:val="00215E5E"/>
    <w:rsid w:val="0021601C"/>
    <w:rsid w:val="00222822"/>
    <w:rsid w:val="0023669D"/>
    <w:rsid w:val="00241FFF"/>
    <w:rsid w:val="00243682"/>
    <w:rsid w:val="00245F4C"/>
    <w:rsid w:val="00247793"/>
    <w:rsid w:val="0025127D"/>
    <w:rsid w:val="00252157"/>
    <w:rsid w:val="002557D1"/>
    <w:rsid w:val="00266F02"/>
    <w:rsid w:val="002705BD"/>
    <w:rsid w:val="00275F47"/>
    <w:rsid w:val="00280EC8"/>
    <w:rsid w:val="00284599"/>
    <w:rsid w:val="0029157A"/>
    <w:rsid w:val="00291786"/>
    <w:rsid w:val="00296BB4"/>
    <w:rsid w:val="002A5868"/>
    <w:rsid w:val="002A5BAA"/>
    <w:rsid w:val="002B2A73"/>
    <w:rsid w:val="002B3067"/>
    <w:rsid w:val="002B4BA1"/>
    <w:rsid w:val="002B5A11"/>
    <w:rsid w:val="002B723E"/>
    <w:rsid w:val="002C410D"/>
    <w:rsid w:val="002C5CDC"/>
    <w:rsid w:val="002C7596"/>
    <w:rsid w:val="002D05E1"/>
    <w:rsid w:val="002D49D1"/>
    <w:rsid w:val="002D6EB4"/>
    <w:rsid w:val="002E572C"/>
    <w:rsid w:val="002F7AE7"/>
    <w:rsid w:val="003022F8"/>
    <w:rsid w:val="00307870"/>
    <w:rsid w:val="00313B4C"/>
    <w:rsid w:val="00320C6C"/>
    <w:rsid w:val="003214FB"/>
    <w:rsid w:val="00325567"/>
    <w:rsid w:val="00331B5D"/>
    <w:rsid w:val="00332EBB"/>
    <w:rsid w:val="00337A41"/>
    <w:rsid w:val="003401E2"/>
    <w:rsid w:val="00340AD4"/>
    <w:rsid w:val="003426F5"/>
    <w:rsid w:val="00342D56"/>
    <w:rsid w:val="003441F9"/>
    <w:rsid w:val="00345CFB"/>
    <w:rsid w:val="00354E59"/>
    <w:rsid w:val="003723B3"/>
    <w:rsid w:val="00376BAC"/>
    <w:rsid w:val="003807F9"/>
    <w:rsid w:val="00384290"/>
    <w:rsid w:val="00386C23"/>
    <w:rsid w:val="003A02D0"/>
    <w:rsid w:val="003A4356"/>
    <w:rsid w:val="003A6237"/>
    <w:rsid w:val="003B178F"/>
    <w:rsid w:val="003B78DD"/>
    <w:rsid w:val="003D4770"/>
    <w:rsid w:val="003E34DB"/>
    <w:rsid w:val="003E6C08"/>
    <w:rsid w:val="004011B5"/>
    <w:rsid w:val="00402B58"/>
    <w:rsid w:val="00411D59"/>
    <w:rsid w:val="00415F4A"/>
    <w:rsid w:val="00423C1E"/>
    <w:rsid w:val="004242D9"/>
    <w:rsid w:val="00427666"/>
    <w:rsid w:val="004410F1"/>
    <w:rsid w:val="0044384B"/>
    <w:rsid w:val="00443B16"/>
    <w:rsid w:val="0044497C"/>
    <w:rsid w:val="00450F4E"/>
    <w:rsid w:val="004613BD"/>
    <w:rsid w:val="0046176E"/>
    <w:rsid w:val="004658F3"/>
    <w:rsid w:val="004736CB"/>
    <w:rsid w:val="004760DA"/>
    <w:rsid w:val="00477F81"/>
    <w:rsid w:val="00482475"/>
    <w:rsid w:val="004928B8"/>
    <w:rsid w:val="00494194"/>
    <w:rsid w:val="0049584C"/>
    <w:rsid w:val="004A2D6E"/>
    <w:rsid w:val="004A622D"/>
    <w:rsid w:val="004B744A"/>
    <w:rsid w:val="004C7F51"/>
    <w:rsid w:val="004E0924"/>
    <w:rsid w:val="004E1883"/>
    <w:rsid w:val="00500A20"/>
    <w:rsid w:val="00500FD7"/>
    <w:rsid w:val="00502658"/>
    <w:rsid w:val="005060C9"/>
    <w:rsid w:val="00506621"/>
    <w:rsid w:val="00506809"/>
    <w:rsid w:val="00513420"/>
    <w:rsid w:val="0052211E"/>
    <w:rsid w:val="00523616"/>
    <w:rsid w:val="005239B8"/>
    <w:rsid w:val="0052409F"/>
    <w:rsid w:val="00526F58"/>
    <w:rsid w:val="0053206B"/>
    <w:rsid w:val="00540D23"/>
    <w:rsid w:val="00554581"/>
    <w:rsid w:val="005608FF"/>
    <w:rsid w:val="005629E2"/>
    <w:rsid w:val="00564EF8"/>
    <w:rsid w:val="005665F4"/>
    <w:rsid w:val="00566873"/>
    <w:rsid w:val="00566E16"/>
    <w:rsid w:val="00571E32"/>
    <w:rsid w:val="00572C53"/>
    <w:rsid w:val="00582D4C"/>
    <w:rsid w:val="00584363"/>
    <w:rsid w:val="005A256F"/>
    <w:rsid w:val="005C09DE"/>
    <w:rsid w:val="005D2BB3"/>
    <w:rsid w:val="005E2092"/>
    <w:rsid w:val="005E2C49"/>
    <w:rsid w:val="005E5D3C"/>
    <w:rsid w:val="005E71AB"/>
    <w:rsid w:val="005E7E2C"/>
    <w:rsid w:val="005F4983"/>
    <w:rsid w:val="005F7467"/>
    <w:rsid w:val="006017F4"/>
    <w:rsid w:val="00605453"/>
    <w:rsid w:val="00611474"/>
    <w:rsid w:val="00612709"/>
    <w:rsid w:val="00617E98"/>
    <w:rsid w:val="006243C2"/>
    <w:rsid w:val="00630DF3"/>
    <w:rsid w:val="00632BD3"/>
    <w:rsid w:val="00642D2F"/>
    <w:rsid w:val="0064799E"/>
    <w:rsid w:val="00657018"/>
    <w:rsid w:val="0066589D"/>
    <w:rsid w:val="00666753"/>
    <w:rsid w:val="006674D3"/>
    <w:rsid w:val="00671686"/>
    <w:rsid w:val="00680DF6"/>
    <w:rsid w:val="00684586"/>
    <w:rsid w:val="00687A84"/>
    <w:rsid w:val="00690097"/>
    <w:rsid w:val="00691B7E"/>
    <w:rsid w:val="00691E0F"/>
    <w:rsid w:val="00693F83"/>
    <w:rsid w:val="00696E01"/>
    <w:rsid w:val="006A0208"/>
    <w:rsid w:val="006A3288"/>
    <w:rsid w:val="006A4957"/>
    <w:rsid w:val="006A4CF3"/>
    <w:rsid w:val="006B0C0E"/>
    <w:rsid w:val="006C0EBB"/>
    <w:rsid w:val="006C36D2"/>
    <w:rsid w:val="006C42B5"/>
    <w:rsid w:val="006C5159"/>
    <w:rsid w:val="006C6ED9"/>
    <w:rsid w:val="006D7F43"/>
    <w:rsid w:val="006E2E42"/>
    <w:rsid w:val="006E75B6"/>
    <w:rsid w:val="006F06C4"/>
    <w:rsid w:val="006F4144"/>
    <w:rsid w:val="00702460"/>
    <w:rsid w:val="00703A49"/>
    <w:rsid w:val="00711BFD"/>
    <w:rsid w:val="0071717F"/>
    <w:rsid w:val="00727C68"/>
    <w:rsid w:val="007319FB"/>
    <w:rsid w:val="0073355A"/>
    <w:rsid w:val="00742F28"/>
    <w:rsid w:val="00746DF9"/>
    <w:rsid w:val="00750CA4"/>
    <w:rsid w:val="0075142B"/>
    <w:rsid w:val="007617F5"/>
    <w:rsid w:val="0076239D"/>
    <w:rsid w:val="007643CE"/>
    <w:rsid w:val="007670C4"/>
    <w:rsid w:val="00770BC1"/>
    <w:rsid w:val="00771607"/>
    <w:rsid w:val="007725FD"/>
    <w:rsid w:val="00777C69"/>
    <w:rsid w:val="0078163B"/>
    <w:rsid w:val="00785C97"/>
    <w:rsid w:val="0078722C"/>
    <w:rsid w:val="00793FF3"/>
    <w:rsid w:val="007979F3"/>
    <w:rsid w:val="007A31CA"/>
    <w:rsid w:val="007B4369"/>
    <w:rsid w:val="007B4D0B"/>
    <w:rsid w:val="007B5747"/>
    <w:rsid w:val="007D4E61"/>
    <w:rsid w:val="007E1624"/>
    <w:rsid w:val="007E661C"/>
    <w:rsid w:val="007E6DED"/>
    <w:rsid w:val="007E70A5"/>
    <w:rsid w:val="007F1044"/>
    <w:rsid w:val="007F2919"/>
    <w:rsid w:val="007F4DEB"/>
    <w:rsid w:val="008015C7"/>
    <w:rsid w:val="00804CAF"/>
    <w:rsid w:val="008078F4"/>
    <w:rsid w:val="00817709"/>
    <w:rsid w:val="008202EB"/>
    <w:rsid w:val="008208D6"/>
    <w:rsid w:val="008211D0"/>
    <w:rsid w:val="008220D0"/>
    <w:rsid w:val="0082250B"/>
    <w:rsid w:val="00822AD4"/>
    <w:rsid w:val="00822E53"/>
    <w:rsid w:val="00831358"/>
    <w:rsid w:val="00833D9B"/>
    <w:rsid w:val="008520A2"/>
    <w:rsid w:val="0085738D"/>
    <w:rsid w:val="00865744"/>
    <w:rsid w:val="00873889"/>
    <w:rsid w:val="0087440D"/>
    <w:rsid w:val="00896675"/>
    <w:rsid w:val="008A4CD1"/>
    <w:rsid w:val="008A6AA0"/>
    <w:rsid w:val="008C0485"/>
    <w:rsid w:val="008C3EAE"/>
    <w:rsid w:val="008C4BAE"/>
    <w:rsid w:val="008C5661"/>
    <w:rsid w:val="008D662A"/>
    <w:rsid w:val="008E1EE5"/>
    <w:rsid w:val="00904EAC"/>
    <w:rsid w:val="0090588A"/>
    <w:rsid w:val="00905D94"/>
    <w:rsid w:val="00917ECF"/>
    <w:rsid w:val="00923DBC"/>
    <w:rsid w:val="0094713D"/>
    <w:rsid w:val="009502D3"/>
    <w:rsid w:val="00952649"/>
    <w:rsid w:val="0095452B"/>
    <w:rsid w:val="00955A5F"/>
    <w:rsid w:val="009571BA"/>
    <w:rsid w:val="009571EB"/>
    <w:rsid w:val="00966E88"/>
    <w:rsid w:val="00966F20"/>
    <w:rsid w:val="00967CDC"/>
    <w:rsid w:val="00972D1F"/>
    <w:rsid w:val="00974288"/>
    <w:rsid w:val="0097775C"/>
    <w:rsid w:val="009829B1"/>
    <w:rsid w:val="009947EA"/>
    <w:rsid w:val="009B4989"/>
    <w:rsid w:val="009C5C5A"/>
    <w:rsid w:val="009D17B7"/>
    <w:rsid w:val="009D34E0"/>
    <w:rsid w:val="009E3DA4"/>
    <w:rsid w:val="009E3F77"/>
    <w:rsid w:val="009F1BE3"/>
    <w:rsid w:val="009F520F"/>
    <w:rsid w:val="00A03D2E"/>
    <w:rsid w:val="00A051E1"/>
    <w:rsid w:val="00A12B46"/>
    <w:rsid w:val="00A2047C"/>
    <w:rsid w:val="00A20DF7"/>
    <w:rsid w:val="00A34CD4"/>
    <w:rsid w:val="00A34F86"/>
    <w:rsid w:val="00A45F0A"/>
    <w:rsid w:val="00A4798F"/>
    <w:rsid w:val="00A505D8"/>
    <w:rsid w:val="00A50883"/>
    <w:rsid w:val="00A521A4"/>
    <w:rsid w:val="00A56CCD"/>
    <w:rsid w:val="00A64377"/>
    <w:rsid w:val="00A657A7"/>
    <w:rsid w:val="00A70098"/>
    <w:rsid w:val="00A708F5"/>
    <w:rsid w:val="00A70F67"/>
    <w:rsid w:val="00A715D4"/>
    <w:rsid w:val="00A77FB8"/>
    <w:rsid w:val="00A85D18"/>
    <w:rsid w:val="00A92B67"/>
    <w:rsid w:val="00AA4BF8"/>
    <w:rsid w:val="00AB399D"/>
    <w:rsid w:val="00AC79B3"/>
    <w:rsid w:val="00AD1115"/>
    <w:rsid w:val="00AD4996"/>
    <w:rsid w:val="00AE0304"/>
    <w:rsid w:val="00AE3CDC"/>
    <w:rsid w:val="00AF4305"/>
    <w:rsid w:val="00B00773"/>
    <w:rsid w:val="00B0595D"/>
    <w:rsid w:val="00B07D04"/>
    <w:rsid w:val="00B13061"/>
    <w:rsid w:val="00B13ACA"/>
    <w:rsid w:val="00B16D9F"/>
    <w:rsid w:val="00B179EF"/>
    <w:rsid w:val="00B25389"/>
    <w:rsid w:val="00B41E34"/>
    <w:rsid w:val="00B43410"/>
    <w:rsid w:val="00B44359"/>
    <w:rsid w:val="00B452C2"/>
    <w:rsid w:val="00B47D96"/>
    <w:rsid w:val="00B5576E"/>
    <w:rsid w:val="00B55B31"/>
    <w:rsid w:val="00B60894"/>
    <w:rsid w:val="00B636B2"/>
    <w:rsid w:val="00B709E1"/>
    <w:rsid w:val="00B72D20"/>
    <w:rsid w:val="00B77351"/>
    <w:rsid w:val="00B81443"/>
    <w:rsid w:val="00B92DDB"/>
    <w:rsid w:val="00B96D1C"/>
    <w:rsid w:val="00BA53E0"/>
    <w:rsid w:val="00BA57C5"/>
    <w:rsid w:val="00BA619B"/>
    <w:rsid w:val="00BA67A4"/>
    <w:rsid w:val="00BB7395"/>
    <w:rsid w:val="00BC1333"/>
    <w:rsid w:val="00BC4E5A"/>
    <w:rsid w:val="00BC713B"/>
    <w:rsid w:val="00BD1926"/>
    <w:rsid w:val="00BD75ED"/>
    <w:rsid w:val="00BE0657"/>
    <w:rsid w:val="00BE2BE3"/>
    <w:rsid w:val="00BF308B"/>
    <w:rsid w:val="00BF5241"/>
    <w:rsid w:val="00C03F4B"/>
    <w:rsid w:val="00C052A7"/>
    <w:rsid w:val="00C07691"/>
    <w:rsid w:val="00C07FA7"/>
    <w:rsid w:val="00C12A65"/>
    <w:rsid w:val="00C134CB"/>
    <w:rsid w:val="00C16184"/>
    <w:rsid w:val="00C16D81"/>
    <w:rsid w:val="00C249B0"/>
    <w:rsid w:val="00C429B9"/>
    <w:rsid w:val="00C43732"/>
    <w:rsid w:val="00C45460"/>
    <w:rsid w:val="00C46C82"/>
    <w:rsid w:val="00C50308"/>
    <w:rsid w:val="00C520F4"/>
    <w:rsid w:val="00C5610D"/>
    <w:rsid w:val="00C578EA"/>
    <w:rsid w:val="00C60C29"/>
    <w:rsid w:val="00C74DE0"/>
    <w:rsid w:val="00C92A01"/>
    <w:rsid w:val="00C92F09"/>
    <w:rsid w:val="00C93432"/>
    <w:rsid w:val="00C96829"/>
    <w:rsid w:val="00CA4628"/>
    <w:rsid w:val="00CA53BB"/>
    <w:rsid w:val="00CA7B77"/>
    <w:rsid w:val="00CB1A52"/>
    <w:rsid w:val="00CB1A7D"/>
    <w:rsid w:val="00CB429E"/>
    <w:rsid w:val="00CB690D"/>
    <w:rsid w:val="00CB6DF9"/>
    <w:rsid w:val="00CC1F58"/>
    <w:rsid w:val="00CD2437"/>
    <w:rsid w:val="00CD2BAE"/>
    <w:rsid w:val="00CE4DBE"/>
    <w:rsid w:val="00CE7EB9"/>
    <w:rsid w:val="00CF257B"/>
    <w:rsid w:val="00CF3655"/>
    <w:rsid w:val="00D07BA8"/>
    <w:rsid w:val="00D10277"/>
    <w:rsid w:val="00D10F4B"/>
    <w:rsid w:val="00D1182E"/>
    <w:rsid w:val="00D119B5"/>
    <w:rsid w:val="00D16A3A"/>
    <w:rsid w:val="00D17206"/>
    <w:rsid w:val="00D26D48"/>
    <w:rsid w:val="00D448F5"/>
    <w:rsid w:val="00D71750"/>
    <w:rsid w:val="00D7208A"/>
    <w:rsid w:val="00D777FF"/>
    <w:rsid w:val="00D77AAA"/>
    <w:rsid w:val="00D80103"/>
    <w:rsid w:val="00D84640"/>
    <w:rsid w:val="00D87F5B"/>
    <w:rsid w:val="00DA310F"/>
    <w:rsid w:val="00DA35A2"/>
    <w:rsid w:val="00DA65DC"/>
    <w:rsid w:val="00DA6771"/>
    <w:rsid w:val="00DB2F2A"/>
    <w:rsid w:val="00DC2AC0"/>
    <w:rsid w:val="00DC3D92"/>
    <w:rsid w:val="00DC4C5E"/>
    <w:rsid w:val="00DD2FBB"/>
    <w:rsid w:val="00DD352B"/>
    <w:rsid w:val="00DF1F1C"/>
    <w:rsid w:val="00DF1FC9"/>
    <w:rsid w:val="00DF375F"/>
    <w:rsid w:val="00DF5737"/>
    <w:rsid w:val="00DF5FC8"/>
    <w:rsid w:val="00E056F9"/>
    <w:rsid w:val="00E11791"/>
    <w:rsid w:val="00E2129F"/>
    <w:rsid w:val="00E221BD"/>
    <w:rsid w:val="00E2485A"/>
    <w:rsid w:val="00E26448"/>
    <w:rsid w:val="00E33472"/>
    <w:rsid w:val="00E35F01"/>
    <w:rsid w:val="00E41A7E"/>
    <w:rsid w:val="00E41DE1"/>
    <w:rsid w:val="00E44819"/>
    <w:rsid w:val="00E54020"/>
    <w:rsid w:val="00E5580A"/>
    <w:rsid w:val="00E5625C"/>
    <w:rsid w:val="00E56797"/>
    <w:rsid w:val="00E57B55"/>
    <w:rsid w:val="00E61BD3"/>
    <w:rsid w:val="00E61C79"/>
    <w:rsid w:val="00E6768B"/>
    <w:rsid w:val="00E829FD"/>
    <w:rsid w:val="00E906F5"/>
    <w:rsid w:val="00E94274"/>
    <w:rsid w:val="00E95991"/>
    <w:rsid w:val="00EB4DC0"/>
    <w:rsid w:val="00EC754E"/>
    <w:rsid w:val="00ED5D44"/>
    <w:rsid w:val="00EE2F20"/>
    <w:rsid w:val="00EF1633"/>
    <w:rsid w:val="00EF7C60"/>
    <w:rsid w:val="00F10400"/>
    <w:rsid w:val="00F17F93"/>
    <w:rsid w:val="00F24D0C"/>
    <w:rsid w:val="00F30671"/>
    <w:rsid w:val="00F33B71"/>
    <w:rsid w:val="00F367F3"/>
    <w:rsid w:val="00F42619"/>
    <w:rsid w:val="00F43F2E"/>
    <w:rsid w:val="00F46C72"/>
    <w:rsid w:val="00F574E6"/>
    <w:rsid w:val="00F57590"/>
    <w:rsid w:val="00F61F09"/>
    <w:rsid w:val="00F62980"/>
    <w:rsid w:val="00F64D54"/>
    <w:rsid w:val="00F659D6"/>
    <w:rsid w:val="00F71145"/>
    <w:rsid w:val="00F71316"/>
    <w:rsid w:val="00F7435E"/>
    <w:rsid w:val="00F76DD9"/>
    <w:rsid w:val="00F8057D"/>
    <w:rsid w:val="00F83256"/>
    <w:rsid w:val="00F848FD"/>
    <w:rsid w:val="00F87654"/>
    <w:rsid w:val="00F87A07"/>
    <w:rsid w:val="00F90E80"/>
    <w:rsid w:val="00F9545A"/>
    <w:rsid w:val="00FA771B"/>
    <w:rsid w:val="00FB24FE"/>
    <w:rsid w:val="00FB2ACB"/>
    <w:rsid w:val="00FC1D5A"/>
    <w:rsid w:val="00FC4278"/>
    <w:rsid w:val="00FC4DB7"/>
    <w:rsid w:val="00FC6E0F"/>
    <w:rsid w:val="00FC730E"/>
    <w:rsid w:val="00FD379C"/>
    <w:rsid w:val="00FD389E"/>
    <w:rsid w:val="00FD42BA"/>
    <w:rsid w:val="00FE7CDC"/>
    <w:rsid w:val="00FF5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semiHidden/>
    <w:rsid w:val="008202EB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rsid w:val="008202E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8202EB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202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202EB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4410F1"/>
    <w:pPr>
      <w:ind w:left="720"/>
      <w:contextualSpacing/>
    </w:pPr>
  </w:style>
  <w:style w:type="paragraph" w:customStyle="1" w:styleId="Style6">
    <w:name w:val="Style6"/>
    <w:basedOn w:val="Normalny"/>
    <w:rsid w:val="00564EF8"/>
    <w:pPr>
      <w:widowControl w:val="0"/>
      <w:autoSpaceDE w:val="0"/>
      <w:autoSpaceDN w:val="0"/>
      <w:adjustRightInd w:val="0"/>
      <w:spacing w:after="0" w:line="211" w:lineRule="exact"/>
      <w:jc w:val="center"/>
    </w:pPr>
    <w:rPr>
      <w:rFonts w:ascii="Book Antiqua" w:eastAsia="Times New Roman" w:hAnsi="Book Antiqua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9777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ARTartustawynprozporzdzenia">
    <w:name w:val="ART(§) – art. ustawy (§ np. rozporządzenia)"/>
    <w:uiPriority w:val="99"/>
    <w:rsid w:val="00B43410"/>
    <w:pPr>
      <w:suppressAutoHyphens/>
      <w:autoSpaceDE w:val="0"/>
      <w:autoSpaceDN w:val="0"/>
      <w:adjustRightInd w:val="0"/>
      <w:spacing w:before="120" w:after="0" w:line="360" w:lineRule="auto"/>
      <w:ind w:firstLine="510"/>
      <w:jc w:val="both"/>
    </w:pPr>
    <w:rPr>
      <w:rFonts w:ascii="Times" w:eastAsia="Times New Roman" w:hAnsi="Times" w:cs="Arial"/>
      <w:sz w:val="24"/>
      <w:szCs w:val="20"/>
      <w:lang w:eastAsia="pl-PL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99"/>
    <w:rsid w:val="00B43410"/>
    <w:rPr>
      <w:b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7160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71607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71607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D119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119B5"/>
  </w:style>
  <w:style w:type="paragraph" w:styleId="Stopka">
    <w:name w:val="footer"/>
    <w:basedOn w:val="Normalny"/>
    <w:link w:val="StopkaZnak"/>
    <w:uiPriority w:val="99"/>
    <w:unhideWhenUsed/>
    <w:rsid w:val="00D119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119B5"/>
  </w:style>
  <w:style w:type="paragraph" w:styleId="Tytu">
    <w:name w:val="Title"/>
    <w:basedOn w:val="Normalny"/>
    <w:next w:val="Normalny"/>
    <w:link w:val="TytuZnak"/>
    <w:uiPriority w:val="10"/>
    <w:qFormat/>
    <w:rsid w:val="00FB24F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FB24F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Hipercze">
    <w:name w:val="Hyperlink"/>
    <w:basedOn w:val="Domylnaczcionkaakapitu"/>
    <w:uiPriority w:val="99"/>
    <w:unhideWhenUsed/>
    <w:rsid w:val="008C566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semiHidden/>
    <w:rsid w:val="008202EB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rsid w:val="008202E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8202EB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202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202EB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4410F1"/>
    <w:pPr>
      <w:ind w:left="720"/>
      <w:contextualSpacing/>
    </w:pPr>
  </w:style>
  <w:style w:type="paragraph" w:customStyle="1" w:styleId="Style6">
    <w:name w:val="Style6"/>
    <w:basedOn w:val="Normalny"/>
    <w:rsid w:val="00564EF8"/>
    <w:pPr>
      <w:widowControl w:val="0"/>
      <w:autoSpaceDE w:val="0"/>
      <w:autoSpaceDN w:val="0"/>
      <w:adjustRightInd w:val="0"/>
      <w:spacing w:after="0" w:line="211" w:lineRule="exact"/>
      <w:jc w:val="center"/>
    </w:pPr>
    <w:rPr>
      <w:rFonts w:ascii="Book Antiqua" w:eastAsia="Times New Roman" w:hAnsi="Book Antiqua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9777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ARTartustawynprozporzdzenia">
    <w:name w:val="ART(§) – art. ustawy (§ np. rozporządzenia)"/>
    <w:uiPriority w:val="99"/>
    <w:rsid w:val="00B43410"/>
    <w:pPr>
      <w:suppressAutoHyphens/>
      <w:autoSpaceDE w:val="0"/>
      <w:autoSpaceDN w:val="0"/>
      <w:adjustRightInd w:val="0"/>
      <w:spacing w:before="120" w:after="0" w:line="360" w:lineRule="auto"/>
      <w:ind w:firstLine="510"/>
      <w:jc w:val="both"/>
    </w:pPr>
    <w:rPr>
      <w:rFonts w:ascii="Times" w:eastAsia="Times New Roman" w:hAnsi="Times" w:cs="Arial"/>
      <w:sz w:val="24"/>
      <w:szCs w:val="20"/>
      <w:lang w:eastAsia="pl-PL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99"/>
    <w:rsid w:val="00B43410"/>
    <w:rPr>
      <w:b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7160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71607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71607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D119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119B5"/>
  </w:style>
  <w:style w:type="paragraph" w:styleId="Stopka">
    <w:name w:val="footer"/>
    <w:basedOn w:val="Normalny"/>
    <w:link w:val="StopkaZnak"/>
    <w:uiPriority w:val="99"/>
    <w:unhideWhenUsed/>
    <w:rsid w:val="00D119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119B5"/>
  </w:style>
  <w:style w:type="paragraph" w:styleId="Tytu">
    <w:name w:val="Title"/>
    <w:basedOn w:val="Normalny"/>
    <w:next w:val="Normalny"/>
    <w:link w:val="TytuZnak"/>
    <w:uiPriority w:val="10"/>
    <w:qFormat/>
    <w:rsid w:val="00FB24F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FB24F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Hipercze">
    <w:name w:val="Hyperlink"/>
    <w:basedOn w:val="Domylnaczcionkaakapitu"/>
    <w:uiPriority w:val="99"/>
    <w:unhideWhenUsed/>
    <w:rsid w:val="008C566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ur-lex.europa.eu/legal-content/PL/TXT/PDF/?uri=CELEX:02012R0650-20120705&amp;qid=1439191840160&amp;from=PL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eur-lex.europa.eu/legal-content/PL/TXT/PDF/?uri=CELEX:32014R1329&amp;rid=4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3207</Words>
  <Characters>19246</Characters>
  <Application>Microsoft Office Word</Application>
  <DocSecurity>0</DocSecurity>
  <Lines>160</Lines>
  <Paragraphs>44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Sprawiedliwości</Company>
  <LinksUpToDate>false</LinksUpToDate>
  <CharactersWithSpaces>22409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</dc:creator>
  <cp:lastModifiedBy>Domachowska Milena  (BM)</cp:lastModifiedBy>
  <cp:revision>2</cp:revision>
  <cp:lastPrinted>2015-08-10T13:52:00Z</cp:lastPrinted>
  <dcterms:created xsi:type="dcterms:W3CDTF">2015-08-14T07:18:00Z</dcterms:created>
  <dcterms:modified xsi:type="dcterms:W3CDTF">2015-08-14T07:18:00Z</dcterms:modified>
</cp:coreProperties>
</file>