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E9C0" w14:textId="025663E7" w:rsidR="003C6293" w:rsidRDefault="00741C56" w:rsidP="00513975">
      <w:pPr>
        <w:spacing w:after="0" w:line="240" w:lineRule="exact"/>
        <w:rPr>
          <w:rFonts w:ascii="Calibri" w:hAnsi="Calibri"/>
        </w:rPr>
      </w:pPr>
      <w:r>
        <w:rPr>
          <w:rFonts w:ascii="Calibri" w:hAnsi="Calibri"/>
        </w:rPr>
        <w:t xml:space="preserve">Przewodniczący </w:t>
      </w:r>
    </w:p>
    <w:p w14:paraId="2177DA12" w14:textId="77777777" w:rsidR="00741C56" w:rsidRDefault="00741C56" w:rsidP="00513975">
      <w:pPr>
        <w:spacing w:after="0" w:line="240" w:lineRule="exact"/>
        <w:rPr>
          <w:rFonts w:ascii="Calibri" w:hAnsi="Calibri"/>
        </w:rPr>
      </w:pPr>
      <w:r>
        <w:rPr>
          <w:rFonts w:ascii="Calibri" w:hAnsi="Calibri"/>
        </w:rPr>
        <w:t xml:space="preserve">Międzyresortowego Zespołu </w:t>
      </w:r>
    </w:p>
    <w:p w14:paraId="220F208A" w14:textId="77777777" w:rsidR="00741C56" w:rsidRDefault="00741C56" w:rsidP="00513975">
      <w:pPr>
        <w:spacing w:after="0" w:line="240" w:lineRule="exact"/>
        <w:rPr>
          <w:rFonts w:ascii="Calibri" w:hAnsi="Calibri"/>
        </w:rPr>
      </w:pPr>
      <w:r>
        <w:rPr>
          <w:rFonts w:ascii="Calibri" w:hAnsi="Calibri"/>
        </w:rPr>
        <w:t xml:space="preserve">ds. przywracania praworządności </w:t>
      </w:r>
    </w:p>
    <w:p w14:paraId="7B6DFA2A" w14:textId="0DF59984" w:rsidR="00741C56" w:rsidRPr="00F05C15" w:rsidRDefault="00741C56" w:rsidP="00513975">
      <w:pPr>
        <w:spacing w:after="0" w:line="240" w:lineRule="exact"/>
        <w:rPr>
          <w:rFonts w:ascii="Calibri" w:hAnsi="Calibri"/>
        </w:rPr>
      </w:pPr>
      <w:r>
        <w:rPr>
          <w:rFonts w:ascii="Calibri" w:hAnsi="Calibri"/>
        </w:rPr>
        <w:t>oraz porządku konstytucyjnego</w:t>
      </w:r>
    </w:p>
    <w:p w14:paraId="21B159DF" w14:textId="77777777" w:rsidR="003C6293" w:rsidRPr="00F05C15" w:rsidRDefault="003C6293" w:rsidP="00513975">
      <w:pPr>
        <w:spacing w:after="0" w:line="240" w:lineRule="exact"/>
        <w:rPr>
          <w:rFonts w:ascii="Calibri" w:hAnsi="Calibri"/>
        </w:rPr>
      </w:pPr>
    </w:p>
    <w:p w14:paraId="2BD181CD" w14:textId="77777777" w:rsidR="003C6293" w:rsidRPr="00F05C15" w:rsidRDefault="003C6293" w:rsidP="00513975">
      <w:pPr>
        <w:spacing w:after="0" w:line="240" w:lineRule="exact"/>
        <w:rPr>
          <w:rFonts w:ascii="Calibri" w:hAnsi="Calibri"/>
        </w:rPr>
      </w:pPr>
    </w:p>
    <w:p w14:paraId="03EB923B" w14:textId="77777777" w:rsidR="003C6293" w:rsidRPr="00F05C15" w:rsidRDefault="003C6293" w:rsidP="00513975">
      <w:pPr>
        <w:spacing w:after="0" w:line="240" w:lineRule="exact"/>
        <w:rPr>
          <w:rFonts w:ascii="Calibri" w:hAnsi="Calibri"/>
        </w:rPr>
      </w:pPr>
    </w:p>
    <w:p w14:paraId="7F5596DB" w14:textId="77777777" w:rsidR="003C6293" w:rsidRPr="00F05C15" w:rsidRDefault="003C6293" w:rsidP="00513975">
      <w:pPr>
        <w:spacing w:after="0" w:line="240" w:lineRule="exact"/>
        <w:rPr>
          <w:rFonts w:ascii="Calibri" w:hAnsi="Calibri"/>
        </w:rPr>
      </w:pPr>
    </w:p>
    <w:p w14:paraId="79E3BBE8" w14:textId="77777777" w:rsidR="005E77EF" w:rsidRDefault="005E77EF" w:rsidP="005E77EF">
      <w:pPr>
        <w:jc w:val="center"/>
      </w:pPr>
      <w:r>
        <w:t>IX posiedzenie</w:t>
      </w:r>
    </w:p>
    <w:p w14:paraId="30AC9D9B" w14:textId="77777777" w:rsidR="005E77EF" w:rsidRDefault="005E77EF" w:rsidP="005E77EF">
      <w:pPr>
        <w:jc w:val="center"/>
      </w:pPr>
      <w:r>
        <w:t>Międzyresortowego Zespołu ds. przywracania praworządności oraz porządku konstytucyjnego</w:t>
      </w:r>
    </w:p>
    <w:p w14:paraId="6927138E" w14:textId="77777777" w:rsidR="005E77EF" w:rsidRDefault="005E77EF" w:rsidP="005E77EF">
      <w:pPr>
        <w:jc w:val="center"/>
      </w:pPr>
      <w:r>
        <w:t>29 maja 2024 r.</w:t>
      </w:r>
    </w:p>
    <w:p w14:paraId="1B261D08" w14:textId="77777777" w:rsidR="005E77EF" w:rsidRDefault="005E77EF" w:rsidP="005E77EF">
      <w:pPr>
        <w:pStyle w:val="Akapitzlist"/>
        <w:numPr>
          <w:ilvl w:val="0"/>
          <w:numId w:val="5"/>
        </w:numPr>
        <w:jc w:val="both"/>
      </w:pPr>
      <w:r>
        <w:t>Spotkanie otworzył Minister Dariusz Mazur.</w:t>
      </w:r>
    </w:p>
    <w:p w14:paraId="20348BB5" w14:textId="77777777" w:rsidR="005E77EF" w:rsidRDefault="005E77EF" w:rsidP="005E77EF">
      <w:pPr>
        <w:pStyle w:val="Akapitzlist"/>
        <w:numPr>
          <w:ilvl w:val="0"/>
          <w:numId w:val="5"/>
        </w:numPr>
        <w:jc w:val="both"/>
      </w:pPr>
      <w:r>
        <w:t xml:space="preserve">Następnie Ghenadie Barba z ODIHR podziękował za zaproszenie. Opowiedział o celu ich badania: dobrych praktykach dotyczących skutków orzeczeń wydanych przez sędziów wybranych w wadliwej procedurze. Zapowiedział, że są to wstępne zalecenia a praca będzie trwała i zakończy się przedstawieniem </w:t>
      </w:r>
      <w:proofErr w:type="spellStart"/>
      <w:r>
        <w:t>prawnoporównawczego</w:t>
      </w:r>
      <w:proofErr w:type="spellEnd"/>
      <w:r>
        <w:t xml:space="preserve"> raportu dotyczącego tego tematu. </w:t>
      </w:r>
    </w:p>
    <w:p w14:paraId="1AE06364" w14:textId="77777777" w:rsidR="005E77EF" w:rsidRDefault="005E77EF" w:rsidP="005E77EF">
      <w:pPr>
        <w:pStyle w:val="Akapitzlist"/>
        <w:numPr>
          <w:ilvl w:val="0"/>
          <w:numId w:val="5"/>
        </w:numPr>
        <w:jc w:val="both"/>
      </w:pPr>
      <w:r>
        <w:t>Następnie pani Carolyn Hammer (ODIHR) przedstawiła wystąpienie na temat: „</w:t>
      </w:r>
      <w:r w:rsidRPr="00AC6BA5">
        <w:t>Skutki orzeczeń wydanych przez sędziów powołanych w wadliwych procedurach: zasady prawne, wyzwania i dalsze działania”.</w:t>
      </w:r>
      <w:r>
        <w:t xml:space="preserve"> Zaczęła od wskazania założeń wynikających ze sprawy </w:t>
      </w:r>
      <w:proofErr w:type="spellStart"/>
      <w:r>
        <w:t>Astradsson</w:t>
      </w:r>
      <w:proofErr w:type="spellEnd"/>
      <w:r>
        <w:t xml:space="preserve"> przeciwko Islandii (trzyetapowy test dotyczący nieprawidłowości w powołaniu sędziów). We Francji, Chorwacji, Włoszech i Wielkiej Brytanii samo to że sędzia zostaje odwołany z powodu powołania w nieprawidłowej procedurze nie oznacza wzruszenia wydanych przez niego wyroków. Test ważenia – jak to wpłynie na pewność prawa. Patrząc na wykonanie wyroku przeciwko Islandii – skarżący nie skorzystał z prawa do wznowienia. Środki generalne – 3 wadliwie powołanych sędziów znowu wystartowało na to stanowisko i zostało powołanych. Sąd Apelacyjny na zawiesił działalność, 4 sędziów nie mogło orzekać. Czwarty sędzia przeszedł w stan spoczynku. Rząd islandzki nie uznał za stosowne wznowienia postępowań z udziałem wadliwie powołanych sędziów pozostawiając to stronom. W styczniu 2021 r. dwie sprawy wznowione z uwagi na naruszenie prawa dostępu do sądu ustanowionego ustawą. Mała liczba sędziów dotkniętych wadliwością. Kolejna sprawa to </w:t>
      </w:r>
      <w:proofErr w:type="spellStart"/>
      <w:r>
        <w:t>Besnik</w:t>
      </w:r>
      <w:proofErr w:type="spellEnd"/>
      <w:r>
        <w:t xml:space="preserve"> </w:t>
      </w:r>
      <w:proofErr w:type="spellStart"/>
      <w:r>
        <w:t>Cani</w:t>
      </w:r>
      <w:proofErr w:type="spellEnd"/>
      <w:r>
        <w:t xml:space="preserve"> p. Albanii – test </w:t>
      </w:r>
      <w:proofErr w:type="spellStart"/>
      <w:r>
        <w:t>Astradssona</w:t>
      </w:r>
      <w:proofErr w:type="spellEnd"/>
      <w:r>
        <w:t xml:space="preserve"> użyty wobec nieprawidłowo powołanego prokuratora – ETPC: poddawanie w wątpliwość wyroków wydanych przez wadliwie powołanych sędziów musi być ograniczone czasem z uwagi na stabilność całego systemu. Najlepszą formułą wykonania wyroku jest wznowienie postepowania. Był jeden przypadek – krajowe środki nie zostały wyczerpane.</w:t>
      </w:r>
    </w:p>
    <w:p w14:paraId="2D51B57E" w14:textId="77777777" w:rsidR="005E77EF" w:rsidRDefault="005E77EF" w:rsidP="005E77EF">
      <w:pPr>
        <w:pStyle w:val="Akapitzlist"/>
        <w:jc w:val="both"/>
      </w:pPr>
      <w:r>
        <w:t xml:space="preserve">Kolejna sprawa to </w:t>
      </w:r>
      <w:proofErr w:type="spellStart"/>
      <w:r>
        <w:t>Egzeta</w:t>
      </w:r>
      <w:proofErr w:type="spellEnd"/>
      <w:r>
        <w:t xml:space="preserve"> p. Chorwacji gdzie ETPC stwierdził naruszenie art. 6 EKPC. Sprawa przed SN Holandii 22/02977 – nieprawidłowości w zaprzysiężeniu 16 sędziów SA. Nieprawidłowa formuła przysięgi. Co do zasady intencja i cel podobne – a orzeczenia pozostały ważne. Mała liczba sędziów objętych. </w:t>
      </w:r>
    </w:p>
    <w:p w14:paraId="32AC6529" w14:textId="77777777" w:rsidR="005E77EF" w:rsidRDefault="005E77EF" w:rsidP="005E77EF">
      <w:pPr>
        <w:pStyle w:val="Akapitzlist"/>
        <w:jc w:val="both"/>
      </w:pPr>
      <w:r>
        <w:lastRenderedPageBreak/>
        <w:t>Zalecenia:</w:t>
      </w:r>
    </w:p>
    <w:p w14:paraId="1AB1AD30" w14:textId="77777777" w:rsidR="005E77EF" w:rsidRDefault="005E77EF" w:rsidP="005E77EF">
      <w:pPr>
        <w:pStyle w:val="Akapitzlist"/>
        <w:jc w:val="both"/>
      </w:pPr>
      <w:r>
        <w:t xml:space="preserve">- Wznowienie spraw zrównoważone z czasem, zasadami res </w:t>
      </w:r>
      <w:proofErr w:type="spellStart"/>
      <w:r>
        <w:t>iudiciata</w:t>
      </w:r>
      <w:proofErr w:type="spellEnd"/>
      <w:r>
        <w:t xml:space="preserve">, pewnością prawa </w:t>
      </w:r>
    </w:p>
    <w:p w14:paraId="2D4DD55E" w14:textId="28E42BF4" w:rsidR="005E77EF" w:rsidRDefault="005E77EF" w:rsidP="005E77EF">
      <w:pPr>
        <w:pStyle w:val="Akapitzlist"/>
        <w:jc w:val="both"/>
      </w:pPr>
      <w:r>
        <w:t xml:space="preserve">- art. 6 nie </w:t>
      </w:r>
      <w:r w:rsidR="001C3DC9">
        <w:t>nakłada</w:t>
      </w:r>
      <w:r>
        <w:t xml:space="preserve"> obowiązku wznowienia – kryteria wznowienia musza być jasne, </w:t>
      </w:r>
      <w:proofErr w:type="spellStart"/>
      <w:r>
        <w:t>zniuansowane</w:t>
      </w:r>
      <w:proofErr w:type="spellEnd"/>
      <w:r>
        <w:t xml:space="preserve"> i bardzo dobrze zakomunikowane społeczeństwu. </w:t>
      </w:r>
    </w:p>
    <w:p w14:paraId="1DFF4334" w14:textId="77777777" w:rsidR="005E77EF" w:rsidRDefault="005E77EF" w:rsidP="005E77EF">
      <w:pPr>
        <w:pStyle w:val="Akapitzlist"/>
        <w:jc w:val="both"/>
      </w:pPr>
      <w:r>
        <w:t>- środki odszkodowawcze / wznowienie</w:t>
      </w:r>
    </w:p>
    <w:p w14:paraId="64C1E360" w14:textId="77777777" w:rsidR="005E77EF" w:rsidRDefault="005E77EF" w:rsidP="005E77EF">
      <w:pPr>
        <w:pStyle w:val="Akapitzlist"/>
        <w:jc w:val="both"/>
      </w:pPr>
      <w:r>
        <w:t>- komunikacja z mediami – jakie kroki podejmowane</w:t>
      </w:r>
    </w:p>
    <w:p w14:paraId="7D3CD0A2" w14:textId="77777777" w:rsidR="005E77EF" w:rsidRDefault="005E77EF" w:rsidP="005E77EF">
      <w:pPr>
        <w:pStyle w:val="Akapitzlist"/>
        <w:numPr>
          <w:ilvl w:val="0"/>
          <w:numId w:val="5"/>
        </w:numPr>
        <w:jc w:val="both"/>
      </w:pPr>
      <w:r w:rsidRPr="00AC6BA5">
        <w:t xml:space="preserve">Alan </w:t>
      </w:r>
      <w:proofErr w:type="spellStart"/>
      <w:r w:rsidRPr="00AC6BA5">
        <w:t>Greene</w:t>
      </w:r>
      <w:proofErr w:type="spellEnd"/>
      <w:r w:rsidRPr="00AC6BA5">
        <w:t xml:space="preserve"> wygłosi drugą prezentację zatytułowaną: „Perspektywy prawa zwyczajowego dotyczące decyzji wydawanych przez nieprawidłowo powołanych sędziów”.</w:t>
      </w:r>
      <w:r>
        <w:t xml:space="preserve"> Idea osoby powołanej nieprawidłowo – ta zasada wstecznie. Reguła oficera de facto. CC v. </w:t>
      </w:r>
      <w:proofErr w:type="spellStart"/>
      <w:r>
        <w:t>Ireland</w:t>
      </w:r>
      <w:proofErr w:type="spellEnd"/>
      <w:r>
        <w:t xml:space="preserve"> – decyzje dot. niekonstytucyjności pewnych przepisów poddawane ograniczeniom – poszanowanie pewności prawnej i niekierowanie się zbyt sztywnymi przesłankami. Konkluzje: orzeczenia wadliwie powołanych sędziów nie powinny być automatycznie uznane za nieważne. Zasada proporcjonalności powinna mieć zastosowanie by podważyć te wyroki. Czynniki, które należy wziąć pod uwagę: 1. Status – czy osoba podnosiła kwestie nieprawidłowego powołania wcześniej; 2. Ograniczenie czasowe na wzruszenie; 3. Niezależność sędziego – czy w momencie podejmowania pierwszego wyroku została poddana w wątpliwość; 4. Rozróżnienie miedzy sprawa cywilna i karna – bardziej restrykcyjna w sprawach karnych (rzetelna procedura, im surowsza kara nałożona na skarżącego to bardziej wzruszalne orzeczenie powinno być); 5. Uzurpatorzy – te zasady do unieważnienia decyzji a nie rektyfikują samych wadliwych powołań – powinien być mechanizm czy ponownie powołać prawidłowo tych sędziów i pozwolić im ponownie się ubiegać. </w:t>
      </w:r>
    </w:p>
    <w:p w14:paraId="211CD33C" w14:textId="77777777" w:rsidR="005E77EF" w:rsidRDefault="005E77EF" w:rsidP="005E77EF">
      <w:pPr>
        <w:pStyle w:val="Akapitzlist"/>
        <w:numPr>
          <w:ilvl w:val="0"/>
          <w:numId w:val="5"/>
        </w:numPr>
        <w:jc w:val="both"/>
      </w:pPr>
      <w:r>
        <w:t xml:space="preserve">Prof. </w:t>
      </w:r>
      <w:proofErr w:type="spellStart"/>
      <w:r>
        <w:t>Andras</w:t>
      </w:r>
      <w:proofErr w:type="spellEnd"/>
      <w:r>
        <w:t xml:space="preserve"> </w:t>
      </w:r>
      <w:proofErr w:type="spellStart"/>
      <w:r>
        <w:t>Sajó</w:t>
      </w:r>
      <w:proofErr w:type="spellEnd"/>
      <w:r>
        <w:t xml:space="preserve"> wskazał, że każdy wniosek dotyczący nieprawidłowo powołanego sędziego musi zostać rozpoznany. Na terenach byłych kolonii – tam sędziowie mogli pozostać sędziami pod warunkiem złożenia nowej przysięgi. To jest pytanie polityczna. </w:t>
      </w:r>
    </w:p>
    <w:p w14:paraId="69E06C5A" w14:textId="77777777" w:rsidR="005E77EF" w:rsidRDefault="005E77EF" w:rsidP="005E77EF">
      <w:pPr>
        <w:pStyle w:val="Akapitzlist"/>
        <w:numPr>
          <w:ilvl w:val="0"/>
          <w:numId w:val="5"/>
        </w:numPr>
        <w:jc w:val="both"/>
      </w:pPr>
      <w:r>
        <w:t xml:space="preserve">Maciej Nowicki – liczba wydanych przez sędziów orzeczeń powoduje, że nie sposób uznać ich za nieważne. Różnica między wszystkimi przypadkami a sytuacją polską jeżeli przyjąć rozwiązanie ze </w:t>
      </w:r>
      <w:proofErr w:type="spellStart"/>
      <w:r>
        <w:t>neosędziowie</w:t>
      </w:r>
      <w:proofErr w:type="spellEnd"/>
      <w:r>
        <w:t xml:space="preserve"> nie są sędziami – takich osób około 800, które maja wrócić do poprzednich zawodów. Uznanie przez władzę ustawodawczą, że ich wyroki powinny być respektowane w świetle prawa jednostki do sądu – bo cos co wydane przez osobę w ogóle nie będącą sędzią jest w ogóle wyrokiem. W kontekście asesorów – decyzje wydał TK a nie ustawodawca. US v. </w:t>
      </w:r>
      <w:proofErr w:type="spellStart"/>
      <w:r>
        <w:t>Arthrex</w:t>
      </w:r>
      <w:proofErr w:type="spellEnd"/>
      <w:r>
        <w:t xml:space="preserve"> – sędziowie powołani z naruszeniem klauzuli konstytucyjnej – SN USA rozważył inne rodzaje środków prawnych, które mogą przysługiwać stronom postepowań patentowych rozstrzygniętych przez tych sędziów. W polskich dyskusjach rzadko myślimy o innych sposobach rozstrzygnięcia tych spraw niż wznowienie. </w:t>
      </w:r>
    </w:p>
    <w:p w14:paraId="61A9A471" w14:textId="77777777" w:rsidR="005E77EF" w:rsidRDefault="005E77EF" w:rsidP="005E77EF">
      <w:pPr>
        <w:pStyle w:val="Akapitzlist"/>
        <w:numPr>
          <w:ilvl w:val="0"/>
          <w:numId w:val="5"/>
        </w:numPr>
        <w:jc w:val="both"/>
      </w:pPr>
      <w:r w:rsidRPr="00AC6BA5">
        <w:t xml:space="preserve">Alan </w:t>
      </w:r>
      <w:proofErr w:type="spellStart"/>
      <w:r w:rsidRPr="00AC6BA5">
        <w:t>Greene</w:t>
      </w:r>
      <w:proofErr w:type="spellEnd"/>
      <w:r>
        <w:t xml:space="preserve"> powiedział, ze patrząc na oficer </w:t>
      </w:r>
      <w:proofErr w:type="spellStart"/>
      <w:r>
        <w:t>doctrine</w:t>
      </w:r>
      <w:proofErr w:type="spellEnd"/>
      <w:r>
        <w:t xml:space="preserve"> i art. 6 EKPC – alternatywne formy odszkodowania byłyby zgodne z zasadą praworządności, jasności i pewności prawa. </w:t>
      </w:r>
    </w:p>
    <w:p w14:paraId="44166488" w14:textId="77777777" w:rsidR="005E77EF" w:rsidRDefault="005E77EF" w:rsidP="005E77EF">
      <w:pPr>
        <w:pStyle w:val="Akapitzlist"/>
        <w:numPr>
          <w:ilvl w:val="0"/>
          <w:numId w:val="5"/>
        </w:numPr>
        <w:jc w:val="both"/>
      </w:pPr>
      <w:r>
        <w:lastRenderedPageBreak/>
        <w:t xml:space="preserve">Dr Bartosz Wołodkiewicz – nie ma połączenia między statusem a skutkami orzeczeń. Nie widzi problemu, że miałaby to być decyzja ustawodawcy. Art. 401 </w:t>
      </w:r>
      <w:proofErr w:type="spellStart"/>
      <w:r>
        <w:t>kpc</w:t>
      </w:r>
      <w:proofErr w:type="spellEnd"/>
      <w:r>
        <w:t xml:space="preserve"> – norma pozwalająca na utrzymanie w mocy orzeczeń wydanych przez osobę nieuprawnioną. Norma ustanowiona przez ustawodawcę a nie w orzecznictwie. Dwie wartości mające źródło w prawie do sądu: stabilność orzeczeń i prawo strony do sądu. W obu przypadkach czemu przyznać pierwszeństwo – stabilność ma znaczenie pierwszoplanowe. W społecznym projekcie ustawy podobne czynniki (co te przedstawione przez Alana </w:t>
      </w:r>
      <w:proofErr w:type="spellStart"/>
      <w:r>
        <w:t>Greene’a</w:t>
      </w:r>
      <w:proofErr w:type="spellEnd"/>
      <w:r>
        <w:t xml:space="preserve">) jeśli chcemy zrobić wyjątek. Kryterium które rozstrzyga: czy strona w toku postepowania podnosiła zarzuty co do prawidłowej obsady sadu, rozróżnienie miedzy sprawami cywilnymi (interes drugiej strony – pewne ograniczenia zwłaszcza gdy orzeczenia wywarłyby nieograniczone skutki prawne). Należy się zastanowić: odpowiedzialność SP za wydawanie orzeczeń przez osoby nieuprawnione – na ile wchodzi w grę. </w:t>
      </w:r>
    </w:p>
    <w:p w14:paraId="2A1B9B4F" w14:textId="77777777" w:rsidR="005E77EF" w:rsidRDefault="005E77EF" w:rsidP="005E77EF">
      <w:pPr>
        <w:pStyle w:val="Akapitzlist"/>
        <w:numPr>
          <w:ilvl w:val="0"/>
          <w:numId w:val="5"/>
        </w:numPr>
        <w:jc w:val="both"/>
      </w:pPr>
      <w:r>
        <w:t xml:space="preserve">Sędzia Irena Kamińska – kwestia statusu </w:t>
      </w:r>
      <w:proofErr w:type="spellStart"/>
      <w:r>
        <w:t>neosędziów</w:t>
      </w:r>
      <w:proofErr w:type="spellEnd"/>
      <w:r>
        <w:t xml:space="preserve"> ma znaczenie nie tylko dla sędziów, którzy przez te 8 lat mieli zamrożone kariery i walczyli z represjami, ale też dla obywateli, którzy stali z transparentami – dla nich niemożliwe jest zrównanie statusu </w:t>
      </w:r>
      <w:proofErr w:type="spellStart"/>
      <w:r>
        <w:t>neosedziów</w:t>
      </w:r>
      <w:proofErr w:type="spellEnd"/>
      <w:r>
        <w:t xml:space="preserve"> i sędziów powołanych legalnie. Bo jeżeli tak się stanie to Polska przestanie być państwem prawa zgodnie z art. 2 Konstytucji. W postepowaniach wznowieniowych nie powinni brać udziału </w:t>
      </w:r>
      <w:proofErr w:type="spellStart"/>
      <w:r>
        <w:t>neosędziowie</w:t>
      </w:r>
      <w:proofErr w:type="spellEnd"/>
      <w:r>
        <w:t xml:space="preserve">. Za nieważne powinny być uznane wszystkie wyroki wydane w SN przez </w:t>
      </w:r>
      <w:proofErr w:type="spellStart"/>
      <w:r>
        <w:t>neosedziow</w:t>
      </w:r>
      <w:proofErr w:type="spellEnd"/>
      <w:r>
        <w:t xml:space="preserve">. </w:t>
      </w:r>
    </w:p>
    <w:p w14:paraId="002200BE" w14:textId="77777777" w:rsidR="005E77EF" w:rsidRDefault="005E77EF" w:rsidP="005E77EF">
      <w:pPr>
        <w:pStyle w:val="Akapitzlist"/>
        <w:numPr>
          <w:ilvl w:val="0"/>
          <w:numId w:val="5"/>
        </w:numPr>
        <w:jc w:val="both"/>
      </w:pPr>
      <w:r>
        <w:t xml:space="preserve">Dr Jakub Jaraczewski: zmiany należy komunikować prawidłowo społeczeństwu. Ludzie nie wiedzą co się stanie z ich sprawami – to jest kluczowe że ci ludzie będą wiedzieć co się stanie. Inaczej dojdzie do erozji zaufania do całego systemu. Nawet przed 2015 r. zaufanie do sądownictwa nie było wysokie. </w:t>
      </w:r>
    </w:p>
    <w:p w14:paraId="338320BD" w14:textId="77777777" w:rsidR="005E77EF" w:rsidRDefault="005E77EF" w:rsidP="005E77EF">
      <w:pPr>
        <w:pStyle w:val="Akapitzlist"/>
        <w:numPr>
          <w:ilvl w:val="0"/>
          <w:numId w:val="5"/>
        </w:numPr>
        <w:jc w:val="both"/>
      </w:pPr>
      <w:r>
        <w:t xml:space="preserve">Sędzia Aleksandra Wrzesińska-Nowacka: rzeczywiście w orzeczeniu dotyczącym asesorów orzekał TK. TK wyraził tam mądrą myśl, że niekonstytucyjność standardu dotyczącego tego komu można powierzyć sądzenie nie musi przesądzić o niekonstytucyjności orzeczenia – walory dotyczące prawomocności przemawiają za utrzymaniem w mocy tych orzeczeń. Sytuacja tych osób zbliżona również do osób, które wybrane po raz pierwszy – nie maja przymiotu niezawisłości czy niezależności – to sytuacja osób poddanych procedurze przed KRS. Zgodnie z art. 7 Konstytucji – wszystkie organy w granicach prawa – ustawodawca musi ważyć jakie rozstrzygnięcie podjąć i której wartości dać pierwszeństwo – ma możliwość uregulowania sytuacji jak odnieść się do wyroków wydanych przez </w:t>
      </w:r>
      <w:proofErr w:type="spellStart"/>
      <w:r>
        <w:t>neosędziów</w:t>
      </w:r>
      <w:proofErr w:type="spellEnd"/>
      <w:r>
        <w:t xml:space="preserve"> co do zasady. Strona powinna wykazać we wniosku, że wadliwość orzeczenia nie wynika z samego faktu wadliwego powołania. Takie prawo powinno być ograniczone czasowo. W postępowaniu administracyjnym – w przypadku nieważności decyzji z uwagi na nieodwracalne skutki jakie wywarła – w tej sytuacji organ stwierdza, że decyzja została wydana z rażącym naruszeniem prawa i dlaczego nie może jej uchylić. Tak samo mógłby robić sąd – stwierdzić, że wyrok nieprawidłowy, ale że nie można go uchylić – dawałoby to stronie prawo do ewentualnego odszkodowania. </w:t>
      </w:r>
    </w:p>
    <w:p w14:paraId="488BB07A" w14:textId="77777777" w:rsidR="005E77EF" w:rsidRDefault="005E77EF" w:rsidP="005E77EF">
      <w:pPr>
        <w:pStyle w:val="Akapitzlist"/>
        <w:numPr>
          <w:ilvl w:val="0"/>
          <w:numId w:val="5"/>
        </w:numPr>
        <w:jc w:val="both"/>
      </w:pPr>
      <w:r>
        <w:t xml:space="preserve">Sędzia Waldemar Żurek: orzeczenia SN wydane przez </w:t>
      </w:r>
      <w:proofErr w:type="spellStart"/>
      <w:r>
        <w:t>neosedziów</w:t>
      </w:r>
      <w:proofErr w:type="spellEnd"/>
      <w:r>
        <w:t xml:space="preserve"> powinny być uznane za nieważne – inaczej lawina wyroków do ETPC i pozwy odszkodowawcze. </w:t>
      </w:r>
      <w:r>
        <w:lastRenderedPageBreak/>
        <w:t xml:space="preserve">Oczekiwałby uchwały wszystkich sędziów SN w tej sprawie. Zwolennik bardzo szybkiego uregulowania statusu </w:t>
      </w:r>
      <w:proofErr w:type="spellStart"/>
      <w:r>
        <w:t>neosędziów</w:t>
      </w:r>
      <w:proofErr w:type="spellEnd"/>
      <w:r>
        <w:t xml:space="preserve">. </w:t>
      </w:r>
    </w:p>
    <w:p w14:paraId="31FE1AED" w14:textId="77777777" w:rsidR="005E77EF" w:rsidRDefault="005E77EF" w:rsidP="005E77EF">
      <w:pPr>
        <w:pStyle w:val="Akapitzlist"/>
        <w:numPr>
          <w:ilvl w:val="0"/>
          <w:numId w:val="5"/>
        </w:numPr>
        <w:jc w:val="both"/>
      </w:pPr>
      <w:r>
        <w:t xml:space="preserve">SSN Bohdan Bieniek: w wielu sprawach pełnomocnicy nie powoływali się na status sędziego, ale w środkach odwoławczych – SN gotowy na wznowienie z urzędu wszystkich spraw, w których orzeczenia zapadły z udziałem </w:t>
      </w:r>
      <w:proofErr w:type="spellStart"/>
      <w:r>
        <w:t>neosedziów</w:t>
      </w:r>
      <w:proofErr w:type="spellEnd"/>
      <w:r>
        <w:t xml:space="preserve">. Ale SN orzeka też w sprawie ważności wyborów – kolejne trudne decyzje do podjęcia. Ta proporcjonalność rozwiązań musi uwzględniać wszystkie okoliczności. W sprawach indywidualnych w których SN orzekał co do istoty sprawy – wtedy wznowienie z urzędu. </w:t>
      </w:r>
    </w:p>
    <w:p w14:paraId="7C5BD16F" w14:textId="77777777" w:rsidR="005E77EF" w:rsidRDefault="005E77EF" w:rsidP="005E77EF">
      <w:pPr>
        <w:pStyle w:val="Akapitzlist"/>
        <w:numPr>
          <w:ilvl w:val="0"/>
          <w:numId w:val="5"/>
        </w:numPr>
        <w:jc w:val="both"/>
      </w:pPr>
      <w:r>
        <w:t xml:space="preserve">SSN Jarosław </w:t>
      </w:r>
      <w:proofErr w:type="spellStart"/>
      <w:r>
        <w:t>Matras</w:t>
      </w:r>
      <w:proofErr w:type="spellEnd"/>
      <w:r>
        <w:t xml:space="preserve"> – jeżeli powiemy że ktoś z SR w ciągu roku czy dwóch trafił do SA to na płaszczyźnie procedury karnej – osoba nieuprawniona. Tu nie ma różnicy z osobami, które przyszły do zawodu z zewnątrz. My nie mówimy te orzeczenia są nieważne, ale uruchamiamy tryb możliwości wznowienia postępowania. Art. 439 k.p.k. to podstawa wznowienia w każdym czasie. Nie ma ryzyka: jest już stabilne (4-5 orzeczeń SN) orzecznictwo SN dotyczące wadliwej decyzji ministerialnej przy delegowaniu. Uchybienie w postaci tego powodu musi istnieć w dacie procedowania. Jeżeli dopiero z mocą ustawy my definiujemy akt jakim uchwala KRS w którym nie nawiązuje stosunku służbowego – od tej pory skutek zaistniał – to nie znaczy że w momencie orzekania miał legitymacje, bo każdy z sędziów był traktowany jak sędzia. Co z orzeczeniami </w:t>
      </w:r>
      <w:proofErr w:type="spellStart"/>
      <w:r>
        <w:t>neosedziów</w:t>
      </w:r>
      <w:proofErr w:type="spellEnd"/>
      <w:r>
        <w:t xml:space="preserve"> -  czy z urzędu procedura weryfikacji, wznawiania czy na wniosek. Nie zgadza się że z urzędu. Mamy strony które zgadzają się na orzekanie </w:t>
      </w:r>
      <w:proofErr w:type="spellStart"/>
      <w:r>
        <w:t>neosedziow</w:t>
      </w:r>
      <w:proofErr w:type="spellEnd"/>
      <w:r>
        <w:t xml:space="preserve"> w ich sprawach. Dlaczego w tych sprawach mamy wznawiać postepowanie z urzędu? Na podstawie wyroku ETPC każda ze stron może wnieść o wznowienie postepowania i ta procedura może się toczyć. Przez związanie uchwałą SN z 2022 r. każdą sprawę </w:t>
      </w:r>
      <w:proofErr w:type="spellStart"/>
      <w:r>
        <w:t>neosedziego</w:t>
      </w:r>
      <w:proofErr w:type="spellEnd"/>
      <w:r>
        <w:t xml:space="preserve"> uchylamy – my już to mamy. Tam gdzie kasacja oddalona przez </w:t>
      </w:r>
      <w:proofErr w:type="spellStart"/>
      <w:r>
        <w:t>neosędziego</w:t>
      </w:r>
      <w:proofErr w:type="spellEnd"/>
      <w:r>
        <w:t xml:space="preserve"> – jest wznawiane postępowanie kasacyjne na wniosek strony. Jest możliwość stworzenia ram czasowych – 6 miesięcy, rok, oddania stronom inicjatywy, jeśli chcą – wtedy nie automatycznie wznawiać tylko rozważyć czy strona wniosek braku bezstronności, o wyłączenie, kto go rozpoznawał. W procedurze karnej wznowienie z urzędu gdy SN zastosował test </w:t>
      </w:r>
      <w:proofErr w:type="spellStart"/>
      <w:r>
        <w:t>Astradssona</w:t>
      </w:r>
      <w:proofErr w:type="spellEnd"/>
      <w:r>
        <w:t xml:space="preserve"> i stwierdził już, że dana osoba nie daje gwarancji niezawisłości . Skala wznowienia postepowań karnych aktualnie jest nieprawdopodobna – postepowań kasacyjnych, apelacyjnych – ten problem już mamy. Na płaszczyźnie k.p.k. nie ma niebezpieczeństwa. </w:t>
      </w:r>
    </w:p>
    <w:p w14:paraId="697E7945" w14:textId="77777777" w:rsidR="005E77EF" w:rsidRDefault="005E77EF" w:rsidP="005E77EF">
      <w:pPr>
        <w:pStyle w:val="Akapitzlist"/>
        <w:numPr>
          <w:ilvl w:val="0"/>
          <w:numId w:val="5"/>
        </w:numPr>
        <w:jc w:val="both"/>
      </w:pPr>
      <w:r>
        <w:t xml:space="preserve">Na koniec Minister Dariusz Mazur zamknął posiedzenie. </w:t>
      </w:r>
    </w:p>
    <w:p w14:paraId="37177921" w14:textId="77777777" w:rsidR="005E77EF" w:rsidRDefault="005E77EF" w:rsidP="005E77EF"/>
    <w:p w14:paraId="70DBDE72" w14:textId="77777777" w:rsidR="005E77EF" w:rsidRDefault="005E77EF" w:rsidP="005E77EF"/>
    <w:p w14:paraId="7A75D3A5" w14:textId="77777777" w:rsidR="005E77EF" w:rsidRDefault="005E77EF" w:rsidP="005E77EF"/>
    <w:p w14:paraId="2386E4C7" w14:textId="77777777" w:rsidR="005E77EF" w:rsidRDefault="005E77EF" w:rsidP="005E77EF"/>
    <w:p w14:paraId="33FF4647" w14:textId="15456D83" w:rsidR="005E77EF" w:rsidRDefault="005E77EF" w:rsidP="005E77EF">
      <w:r>
        <w:lastRenderedPageBreak/>
        <w:t xml:space="preserve">Lista uczestników posiedzenia: </w:t>
      </w:r>
    </w:p>
    <w:p w14:paraId="6337CF15" w14:textId="77777777" w:rsidR="005E77EF" w:rsidRDefault="005E77EF" w:rsidP="005E77EF">
      <w:pPr>
        <w:pStyle w:val="Akapitzlist"/>
        <w:numPr>
          <w:ilvl w:val="0"/>
          <w:numId w:val="4"/>
        </w:numPr>
      </w:pPr>
      <w:r>
        <w:t>Minister Dariusz Mazur</w:t>
      </w:r>
    </w:p>
    <w:p w14:paraId="6F1048CB" w14:textId="77777777" w:rsidR="005E77EF" w:rsidRDefault="005E77EF" w:rsidP="005E77EF">
      <w:pPr>
        <w:pStyle w:val="Akapitzlist"/>
        <w:numPr>
          <w:ilvl w:val="0"/>
          <w:numId w:val="4"/>
        </w:numPr>
      </w:pPr>
      <w:r>
        <w:t>Robert Brochocki, wiceprezes RCL</w:t>
      </w:r>
    </w:p>
    <w:p w14:paraId="5EC590BA" w14:textId="77777777" w:rsidR="005E77EF" w:rsidRDefault="005E77EF" w:rsidP="005E77EF">
      <w:pPr>
        <w:pStyle w:val="Akapitzlist"/>
        <w:numPr>
          <w:ilvl w:val="0"/>
          <w:numId w:val="4"/>
        </w:numPr>
      </w:pPr>
      <w:r w:rsidRPr="00B64B14">
        <w:t>Konstantin Vardzelashvili</w:t>
      </w:r>
      <w:r>
        <w:t>, ODIHR</w:t>
      </w:r>
    </w:p>
    <w:p w14:paraId="5C4E0882" w14:textId="77777777" w:rsidR="005E77EF" w:rsidRDefault="005E77EF" w:rsidP="005E77EF">
      <w:pPr>
        <w:pStyle w:val="Akapitzlist"/>
        <w:numPr>
          <w:ilvl w:val="0"/>
          <w:numId w:val="4"/>
        </w:numPr>
      </w:pPr>
      <w:r>
        <w:t>Ghenadie Barba, ODIHR</w:t>
      </w:r>
    </w:p>
    <w:p w14:paraId="38A9545E" w14:textId="77777777" w:rsidR="005E77EF" w:rsidRDefault="005E77EF" w:rsidP="005E77EF">
      <w:pPr>
        <w:pStyle w:val="Akapitzlist"/>
        <w:numPr>
          <w:ilvl w:val="0"/>
          <w:numId w:val="4"/>
        </w:numPr>
      </w:pPr>
      <w:r>
        <w:t>Carolyn Hammer, ODIHR</w:t>
      </w:r>
    </w:p>
    <w:p w14:paraId="53167EA0" w14:textId="77777777" w:rsidR="005E77EF" w:rsidRDefault="005E77EF" w:rsidP="005E77EF">
      <w:pPr>
        <w:pStyle w:val="Akapitzlist"/>
        <w:numPr>
          <w:ilvl w:val="0"/>
          <w:numId w:val="4"/>
        </w:numPr>
      </w:pPr>
      <w:r>
        <w:t xml:space="preserve">Prof. </w:t>
      </w:r>
      <w:proofErr w:type="spellStart"/>
      <w:r>
        <w:t>Andras</w:t>
      </w:r>
      <w:proofErr w:type="spellEnd"/>
      <w:r>
        <w:t xml:space="preserve"> </w:t>
      </w:r>
      <w:proofErr w:type="spellStart"/>
      <w:r>
        <w:t>Sajó</w:t>
      </w:r>
      <w:proofErr w:type="spellEnd"/>
    </w:p>
    <w:p w14:paraId="2104B038" w14:textId="77777777" w:rsidR="005E77EF" w:rsidRDefault="005E77EF" w:rsidP="005E77EF">
      <w:pPr>
        <w:pStyle w:val="Akapitzlist"/>
        <w:numPr>
          <w:ilvl w:val="0"/>
          <w:numId w:val="4"/>
        </w:numPr>
      </w:pPr>
      <w:r>
        <w:t xml:space="preserve">Dr Alan </w:t>
      </w:r>
      <w:proofErr w:type="spellStart"/>
      <w:r>
        <w:t>Greene</w:t>
      </w:r>
      <w:proofErr w:type="spellEnd"/>
    </w:p>
    <w:p w14:paraId="4BE923FE" w14:textId="77777777" w:rsidR="005E77EF" w:rsidRDefault="005E77EF" w:rsidP="005E77EF">
      <w:pPr>
        <w:pStyle w:val="Akapitzlist"/>
        <w:numPr>
          <w:ilvl w:val="0"/>
          <w:numId w:val="4"/>
        </w:numPr>
      </w:pPr>
      <w:r>
        <w:t>SSN Bohdan Bieniek</w:t>
      </w:r>
    </w:p>
    <w:p w14:paraId="4A16A456" w14:textId="77777777" w:rsidR="005E77EF" w:rsidRDefault="005E77EF" w:rsidP="005E77EF">
      <w:pPr>
        <w:pStyle w:val="Akapitzlist"/>
        <w:numPr>
          <w:ilvl w:val="0"/>
          <w:numId w:val="4"/>
        </w:numPr>
      </w:pPr>
      <w:r>
        <w:t>SSO Waldemar Żurek</w:t>
      </w:r>
    </w:p>
    <w:p w14:paraId="61AB41A5" w14:textId="77777777" w:rsidR="005E77EF" w:rsidRDefault="005E77EF" w:rsidP="005E77EF">
      <w:pPr>
        <w:pStyle w:val="Akapitzlist"/>
        <w:numPr>
          <w:ilvl w:val="0"/>
          <w:numId w:val="4"/>
        </w:numPr>
      </w:pPr>
      <w:r>
        <w:t>Sędzia Irena Kamińska</w:t>
      </w:r>
    </w:p>
    <w:p w14:paraId="02023EF2" w14:textId="77777777" w:rsidR="005E77EF" w:rsidRDefault="005E77EF" w:rsidP="005E77EF">
      <w:pPr>
        <w:pStyle w:val="Akapitzlist"/>
        <w:numPr>
          <w:ilvl w:val="0"/>
          <w:numId w:val="4"/>
        </w:numPr>
      </w:pPr>
      <w:r>
        <w:t>prof. dr hab. Piotr Tuleja</w:t>
      </w:r>
    </w:p>
    <w:p w14:paraId="2B3581E3" w14:textId="77777777" w:rsidR="005E77EF" w:rsidRDefault="005E77EF" w:rsidP="005E77EF">
      <w:pPr>
        <w:pStyle w:val="Akapitzlist"/>
        <w:numPr>
          <w:ilvl w:val="0"/>
          <w:numId w:val="4"/>
        </w:numPr>
      </w:pPr>
      <w:r>
        <w:t>dr hab. Maciej Taborowski</w:t>
      </w:r>
    </w:p>
    <w:p w14:paraId="3EC4AF3E" w14:textId="77777777" w:rsidR="005E77EF" w:rsidRDefault="005E77EF" w:rsidP="005E77EF">
      <w:pPr>
        <w:pStyle w:val="Akapitzlist"/>
        <w:numPr>
          <w:ilvl w:val="0"/>
          <w:numId w:val="4"/>
        </w:numPr>
      </w:pPr>
      <w:r>
        <w:t>dr Bartosz Wołodkiewicz</w:t>
      </w:r>
    </w:p>
    <w:p w14:paraId="1A83BCD6" w14:textId="77777777" w:rsidR="005E77EF" w:rsidRDefault="005E77EF" w:rsidP="005E77EF">
      <w:pPr>
        <w:pStyle w:val="Akapitzlist"/>
        <w:numPr>
          <w:ilvl w:val="0"/>
          <w:numId w:val="4"/>
        </w:numPr>
      </w:pPr>
      <w:r>
        <w:t>sędzia Aleksandra Wrzesińska-Nowacka</w:t>
      </w:r>
    </w:p>
    <w:p w14:paraId="4AF01304" w14:textId="77777777" w:rsidR="005E77EF" w:rsidRDefault="005E77EF" w:rsidP="005E77EF">
      <w:pPr>
        <w:pStyle w:val="Akapitzlist"/>
        <w:numPr>
          <w:ilvl w:val="0"/>
          <w:numId w:val="4"/>
        </w:numPr>
      </w:pPr>
      <w:r>
        <w:t xml:space="preserve">SSN dr Jarosław </w:t>
      </w:r>
      <w:proofErr w:type="spellStart"/>
      <w:r>
        <w:t>Matras</w:t>
      </w:r>
      <w:proofErr w:type="spellEnd"/>
      <w:r>
        <w:t xml:space="preserve"> </w:t>
      </w:r>
    </w:p>
    <w:p w14:paraId="77165FE9" w14:textId="77777777" w:rsidR="005E77EF" w:rsidRDefault="005E77EF" w:rsidP="005E77EF">
      <w:pPr>
        <w:pStyle w:val="Akapitzlist"/>
        <w:numPr>
          <w:ilvl w:val="0"/>
          <w:numId w:val="4"/>
        </w:numPr>
      </w:pPr>
      <w:r>
        <w:t xml:space="preserve">dr Urszula Żółtak </w:t>
      </w:r>
    </w:p>
    <w:p w14:paraId="306A5738" w14:textId="77777777" w:rsidR="005E77EF" w:rsidRDefault="005E77EF" w:rsidP="005E77EF">
      <w:pPr>
        <w:pStyle w:val="Akapitzlist"/>
        <w:numPr>
          <w:ilvl w:val="0"/>
          <w:numId w:val="4"/>
        </w:numPr>
      </w:pPr>
      <w:r>
        <w:t>Maciej Nowicki, HFPC</w:t>
      </w:r>
    </w:p>
    <w:p w14:paraId="7AA0D6A2" w14:textId="77777777" w:rsidR="005E77EF" w:rsidRDefault="005E77EF" w:rsidP="005E77EF">
      <w:pPr>
        <w:pStyle w:val="Akapitzlist"/>
        <w:numPr>
          <w:ilvl w:val="0"/>
          <w:numId w:val="4"/>
        </w:numPr>
      </w:pPr>
      <w:r>
        <w:t xml:space="preserve">Małgorzata </w:t>
      </w:r>
      <w:proofErr w:type="spellStart"/>
      <w:r>
        <w:t>Szuleka</w:t>
      </w:r>
      <w:proofErr w:type="spellEnd"/>
      <w:r>
        <w:t>, HFPC</w:t>
      </w:r>
    </w:p>
    <w:p w14:paraId="0756F626" w14:textId="77777777" w:rsidR="005E77EF" w:rsidRDefault="005E77EF" w:rsidP="005E77EF">
      <w:pPr>
        <w:pStyle w:val="Akapitzlist"/>
        <w:numPr>
          <w:ilvl w:val="0"/>
          <w:numId w:val="4"/>
        </w:numPr>
      </w:pPr>
      <w:r>
        <w:t>Marcin Wolny HFPC</w:t>
      </w:r>
    </w:p>
    <w:p w14:paraId="2E2DB57F" w14:textId="77777777" w:rsidR="005E77EF" w:rsidRPr="0018558E" w:rsidRDefault="005E77EF" w:rsidP="005E77EF">
      <w:pPr>
        <w:pStyle w:val="Akapitzlist"/>
        <w:numPr>
          <w:ilvl w:val="0"/>
          <w:numId w:val="4"/>
        </w:numPr>
        <w:rPr>
          <w:lang w:val="en-US"/>
        </w:rPr>
      </w:pPr>
      <w:r w:rsidRPr="0018558E">
        <w:rPr>
          <w:lang w:val="en-US"/>
        </w:rPr>
        <w:t xml:space="preserve">Jakub Jaraczewski, Democracy Reporting International </w:t>
      </w:r>
      <w:proofErr w:type="spellStart"/>
      <w:r w:rsidRPr="0018558E">
        <w:rPr>
          <w:lang w:val="en-US"/>
        </w:rPr>
        <w:t>gGmbH</w:t>
      </w:r>
      <w:proofErr w:type="spellEnd"/>
    </w:p>
    <w:p w14:paraId="2A988AA0" w14:textId="77777777" w:rsidR="005E77EF" w:rsidRDefault="005E77EF" w:rsidP="005E77EF">
      <w:pPr>
        <w:pStyle w:val="Akapitzlist"/>
        <w:numPr>
          <w:ilvl w:val="0"/>
          <w:numId w:val="4"/>
        </w:numPr>
      </w:pPr>
      <w:r>
        <w:t>Tomasz Tadla, Zastępca Pełnomocnika MSZ ds. wykonywania wyroków ETPC, z Departamentu Prawno Traktatowego.</w:t>
      </w:r>
    </w:p>
    <w:p w14:paraId="390AEC86" w14:textId="77777777" w:rsidR="005E77EF" w:rsidRDefault="005E77EF" w:rsidP="005E77EF">
      <w:pPr>
        <w:pStyle w:val="Akapitzlist"/>
        <w:numPr>
          <w:ilvl w:val="0"/>
          <w:numId w:val="4"/>
        </w:numPr>
      </w:pPr>
      <w:r>
        <w:t xml:space="preserve">Dr </w:t>
      </w:r>
      <w:r w:rsidRPr="002047B4">
        <w:t>Anna Sporczyk-Popielarczyk</w:t>
      </w:r>
      <w:r>
        <w:t>, zastępca Dyrektora Departamentu Współpracy Międzynarodowej i Praw Człowieka</w:t>
      </w:r>
    </w:p>
    <w:p w14:paraId="7320A6B2" w14:textId="77777777" w:rsidR="005E77EF" w:rsidRDefault="005E77EF" w:rsidP="005E77EF">
      <w:pPr>
        <w:pStyle w:val="Akapitzlist"/>
        <w:numPr>
          <w:ilvl w:val="0"/>
          <w:numId w:val="4"/>
        </w:numPr>
      </w:pPr>
      <w:r>
        <w:t>Dr Dominik Czeszkiewicz, Dyrektor Departamentu Nadzoru Administracyjnego</w:t>
      </w:r>
    </w:p>
    <w:p w14:paraId="46A7E895" w14:textId="77777777" w:rsidR="005E77EF" w:rsidRDefault="005E77EF" w:rsidP="005E77EF">
      <w:pPr>
        <w:pStyle w:val="Akapitzlist"/>
        <w:numPr>
          <w:ilvl w:val="0"/>
          <w:numId w:val="4"/>
        </w:numPr>
      </w:pPr>
      <w:r>
        <w:t>Marta Kożuchowska-Warywoda, Dyrektor Departamentu Kadr i Organizacji Sądów Powszechnych i Wojskowych</w:t>
      </w:r>
    </w:p>
    <w:p w14:paraId="329287F4" w14:textId="77777777" w:rsidR="005E77EF" w:rsidRDefault="005E77EF" w:rsidP="005E77EF">
      <w:pPr>
        <w:pStyle w:val="Akapitzlist"/>
        <w:numPr>
          <w:ilvl w:val="0"/>
          <w:numId w:val="4"/>
        </w:numPr>
      </w:pPr>
      <w:r w:rsidRPr="00652111">
        <w:t>Katarzyna Majcher</w:t>
      </w:r>
    </w:p>
    <w:p w14:paraId="3A765DBA" w14:textId="77777777" w:rsidR="005E77EF" w:rsidRDefault="005E77EF" w:rsidP="005E77EF">
      <w:pPr>
        <w:pStyle w:val="Akapitzlist"/>
        <w:numPr>
          <w:ilvl w:val="0"/>
          <w:numId w:val="4"/>
        </w:numPr>
      </w:pPr>
      <w:r>
        <w:t>Dr Marcin Mrowicki</w:t>
      </w:r>
    </w:p>
    <w:p w14:paraId="69F68A59" w14:textId="77777777" w:rsidR="005E77EF" w:rsidRDefault="005E77EF" w:rsidP="005E77EF">
      <w:pPr>
        <w:jc w:val="both"/>
      </w:pPr>
    </w:p>
    <w:p w14:paraId="4253FC25" w14:textId="70DA47F1" w:rsidR="001A7E27" w:rsidRDefault="001A7E27" w:rsidP="00687C0E">
      <w:pPr>
        <w:jc w:val="both"/>
      </w:pPr>
    </w:p>
    <w:p w14:paraId="42BC4114" w14:textId="77777777" w:rsidR="00D34B3B" w:rsidRDefault="00D34B3B" w:rsidP="00A64752">
      <w:pPr>
        <w:spacing w:after="0" w:line="240" w:lineRule="exact"/>
        <w:jc w:val="both"/>
      </w:pPr>
    </w:p>
    <w:sectPr w:rsidR="00D34B3B" w:rsidSect="0039743A">
      <w:headerReference w:type="even" r:id="rId8"/>
      <w:headerReference w:type="first" r:id="rId9"/>
      <w:footerReference w:type="first" r:id="rId10"/>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18D2" w14:textId="77777777" w:rsidR="002F4B3B" w:rsidRDefault="002F4B3B">
      <w:pPr>
        <w:spacing w:after="0" w:line="240" w:lineRule="auto"/>
      </w:pPr>
      <w:r>
        <w:separator/>
      </w:r>
    </w:p>
  </w:endnote>
  <w:endnote w:type="continuationSeparator" w:id="0">
    <w:p w14:paraId="71C214CA" w14:textId="77777777" w:rsidR="002F4B3B" w:rsidRDefault="002F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542C" w14:textId="5C0523B9" w:rsidR="003C6293" w:rsidRPr="00F05C15" w:rsidRDefault="00741C56" w:rsidP="005C06B8">
    <w:pPr>
      <w:pStyle w:val="Stopka"/>
      <w:tabs>
        <w:tab w:val="clear" w:pos="4536"/>
        <w:tab w:val="clear" w:pos="9072"/>
        <w:tab w:val="left" w:pos="5954"/>
      </w:tabs>
      <w:rPr>
        <w:rFonts w:ascii="Calibri" w:hAnsi="Calibri"/>
        <w:sz w:val="16"/>
      </w:rPr>
    </w:pPr>
    <w:r>
      <w:rPr>
        <w:noProof/>
      </w:rPr>
      <mc:AlternateContent>
        <mc:Choice Requires="wps">
          <w:drawing>
            <wp:anchor distT="0" distB="0" distL="114300" distR="114300" simplePos="0" relativeHeight="251657728" behindDoc="0" locked="0" layoutInCell="1" allowOverlap="1" wp14:anchorId="080969B6" wp14:editId="2411DAD7">
              <wp:simplePos x="0" y="0"/>
              <wp:positionH relativeFrom="margin">
                <wp:posOffset>0</wp:posOffset>
              </wp:positionH>
              <wp:positionV relativeFrom="paragraph">
                <wp:posOffset>-120650</wp:posOffset>
              </wp:positionV>
              <wp:extent cx="5039995" cy="0"/>
              <wp:effectExtent l="9525" t="12700" r="8255" b="6350"/>
              <wp:wrapNone/>
              <wp:docPr id="40758718"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6CF32" id="Łącznik prosty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" strokeweight=".5pt">
              <v:stroke joinstyle="miter"/>
              <w10:wrap anchorx="margin"/>
            </v:line>
          </w:pict>
        </mc:Fallback>
      </mc:AlternateContent>
    </w:r>
    <w:r w:rsidRPr="00F05C15">
      <w:rPr>
        <w:rFonts w:ascii="Calibri" w:hAnsi="Calibri"/>
        <w:sz w:val="16"/>
      </w:rPr>
      <w:t>+48 22 52 12 888</w:t>
    </w:r>
    <w:r w:rsidRPr="00F05C15">
      <w:rPr>
        <w:rFonts w:ascii="Calibri" w:hAnsi="Calibri"/>
        <w:sz w:val="16"/>
      </w:rPr>
      <w:tab/>
      <w:t>Al. Ujazdowskie 11</w:t>
    </w:r>
  </w:p>
  <w:p w14:paraId="545DE8A3" w14:textId="77777777" w:rsidR="003C6293" w:rsidRPr="00F05C15" w:rsidRDefault="00000000" w:rsidP="005C06B8">
    <w:pPr>
      <w:pStyle w:val="Stopka"/>
      <w:tabs>
        <w:tab w:val="clear" w:pos="4536"/>
        <w:tab w:val="clear" w:pos="9072"/>
        <w:tab w:val="left" w:pos="5954"/>
      </w:tabs>
      <w:rPr>
        <w:rFonts w:ascii="Calibri" w:hAnsi="Calibri"/>
        <w:sz w:val="16"/>
      </w:rPr>
    </w:pPr>
    <w:r w:rsidRPr="00F05C15">
      <w:rPr>
        <w:rFonts w:ascii="Calibri" w:hAnsi="Calibri"/>
        <w:sz w:val="16"/>
      </w:rPr>
      <w:t>kontakt@ms.gov.pl</w:t>
    </w:r>
    <w:r w:rsidRPr="00F05C15">
      <w:rPr>
        <w:rFonts w:ascii="Calibri" w:hAnsi="Calibri"/>
        <w:sz w:val="16"/>
      </w:rPr>
      <w:tab/>
      <w:t>00-950 Warszawa</w:t>
    </w:r>
    <w:r>
      <w:rPr>
        <w:rFonts w:ascii="Calibri" w:hAnsi="Calibri"/>
        <w:sz w:val="16"/>
      </w:rPr>
      <w:t xml:space="preserve"> P-33</w:t>
    </w:r>
  </w:p>
  <w:p w14:paraId="31B28816" w14:textId="77777777" w:rsidR="003C6293" w:rsidRPr="00F05C15" w:rsidRDefault="00000000" w:rsidP="005C06B8">
    <w:pPr>
      <w:pStyle w:val="Stopka"/>
      <w:rPr>
        <w:rFonts w:ascii="Calibri" w:hAnsi="Calibri"/>
        <w:sz w:val="14"/>
      </w:rPr>
    </w:pPr>
    <w:r w:rsidRPr="00F05C15">
      <w:rPr>
        <w:rFonts w:ascii="Calibri" w:hAnsi="Calibri"/>
        <w:sz w:val="16"/>
      </w:rPr>
      <w:t>www.gov.pl/sprawiedliwosc</w:t>
    </w:r>
  </w:p>
  <w:p w14:paraId="291B89C9" w14:textId="77777777" w:rsidR="003C6293" w:rsidRDefault="003C62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EFB7" w14:textId="77777777" w:rsidR="002F4B3B" w:rsidRDefault="002F4B3B">
      <w:pPr>
        <w:spacing w:after="0" w:line="240" w:lineRule="auto"/>
      </w:pPr>
      <w:r>
        <w:separator/>
      </w:r>
    </w:p>
  </w:footnote>
  <w:footnote w:type="continuationSeparator" w:id="0">
    <w:p w14:paraId="6EE33CEE" w14:textId="77777777" w:rsidR="002F4B3B" w:rsidRDefault="002F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C2E" w14:textId="77777777" w:rsidR="003C6293" w:rsidRDefault="00000000">
    <w:pPr>
      <w:pStyle w:val="Nagwek"/>
    </w:pPr>
    <w:r>
      <w:rPr>
        <w:noProof/>
        <w:lang w:eastAsia="pl-PL"/>
      </w:rPr>
      <w:pict w14:anchorId="5AFB7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6766"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D4D" w14:textId="77777777" w:rsidR="003C6293" w:rsidRDefault="00000000">
    <w:pPr>
      <w:pStyle w:val="Nagwek"/>
    </w:pPr>
    <w:r>
      <w:rPr>
        <w:noProof/>
      </w:rPr>
      <w:drawing>
        <wp:anchor distT="0" distB="0" distL="114300" distR="114300" simplePos="0" relativeHeight="251656704" behindDoc="0" locked="0" layoutInCell="1" allowOverlap="1" wp14:anchorId="7D165EAA" wp14:editId="5E3A923F">
          <wp:simplePos x="0" y="0"/>
          <wp:positionH relativeFrom="column">
            <wp:posOffset>-906780</wp:posOffset>
          </wp:positionH>
          <wp:positionV relativeFrom="paragraph">
            <wp:posOffset>-252095</wp:posOffset>
          </wp:positionV>
          <wp:extent cx="2649220" cy="1061720"/>
          <wp:effectExtent l="0" t="0" r="0" b="0"/>
          <wp:wrapThrough wrapText="bothSides">
            <wp:wrapPolygon edited="0">
              <wp:start x="3728" y="2325"/>
              <wp:lineTo x="2019" y="3876"/>
              <wp:lineTo x="932" y="6589"/>
              <wp:lineTo x="1553" y="17053"/>
              <wp:lineTo x="4194" y="18215"/>
              <wp:lineTo x="7145" y="18990"/>
              <wp:lineTo x="20502" y="18990"/>
              <wp:lineTo x="20813" y="16278"/>
              <wp:lineTo x="19570" y="15890"/>
              <wp:lineTo x="6523" y="15502"/>
              <wp:lineTo x="20347" y="13952"/>
              <wp:lineTo x="20347" y="9689"/>
              <wp:lineTo x="14445" y="8914"/>
              <wp:lineTo x="14290" y="5426"/>
              <wp:lineTo x="4349" y="2325"/>
              <wp:lineTo x="3728"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264922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2E5"/>
    <w:multiLevelType w:val="hybridMultilevel"/>
    <w:tmpl w:val="11BCB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FE4A98"/>
    <w:multiLevelType w:val="hybridMultilevel"/>
    <w:tmpl w:val="DB3C0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0A5945"/>
    <w:multiLevelType w:val="hybridMultilevel"/>
    <w:tmpl w:val="AB661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0E2A9E"/>
    <w:multiLevelType w:val="hybridMultilevel"/>
    <w:tmpl w:val="4B1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F415A8C"/>
    <w:multiLevelType w:val="hybridMultilevel"/>
    <w:tmpl w:val="DE9CCB38"/>
    <w:lvl w:ilvl="0" w:tplc="E37829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0225581">
    <w:abstractNumId w:val="4"/>
  </w:num>
  <w:num w:numId="2" w16cid:durableId="1225140597">
    <w:abstractNumId w:val="1"/>
  </w:num>
  <w:num w:numId="3" w16cid:durableId="425154893">
    <w:abstractNumId w:val="3"/>
  </w:num>
  <w:num w:numId="4" w16cid:durableId="848299408">
    <w:abstractNumId w:val="0"/>
  </w:num>
  <w:num w:numId="5" w16cid:durableId="1418551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56"/>
    <w:rsid w:val="000615AB"/>
    <w:rsid w:val="001A2805"/>
    <w:rsid w:val="001A7E27"/>
    <w:rsid w:val="001C3DC9"/>
    <w:rsid w:val="002F4B3B"/>
    <w:rsid w:val="003634AE"/>
    <w:rsid w:val="0039743A"/>
    <w:rsid w:val="003B1C47"/>
    <w:rsid w:val="003C6293"/>
    <w:rsid w:val="004A3D53"/>
    <w:rsid w:val="004B1158"/>
    <w:rsid w:val="005E77EF"/>
    <w:rsid w:val="00603B1B"/>
    <w:rsid w:val="0065356D"/>
    <w:rsid w:val="00687C0E"/>
    <w:rsid w:val="00741C56"/>
    <w:rsid w:val="00823E53"/>
    <w:rsid w:val="008732B5"/>
    <w:rsid w:val="008A5DE8"/>
    <w:rsid w:val="00931F34"/>
    <w:rsid w:val="00A64752"/>
    <w:rsid w:val="00C55ADC"/>
    <w:rsid w:val="00D34B3B"/>
    <w:rsid w:val="00D46B3E"/>
    <w:rsid w:val="00D906DB"/>
    <w:rsid w:val="00E128C9"/>
    <w:rsid w:val="00F44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7F364C"/>
  <w15:docId w15:val="{E42EA57E-22DB-4268-9C97-FEEC8A78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D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603B1B"/>
    <w:pPr>
      <w:spacing w:after="160" w:line="259" w:lineRule="auto"/>
      <w:ind w:left="720"/>
      <w:contextualSpacing/>
    </w:pPr>
  </w:style>
  <w:style w:type="character" w:styleId="Hipercze">
    <w:name w:val="Hyperlink"/>
    <w:uiPriority w:val="99"/>
    <w:rsid w:val="00603B1B"/>
    <w:rPr>
      <w:color w:val="0000FF"/>
      <w:u w:val="single"/>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qFormat/>
    <w:locked/>
    <w:rsid w:val="00603B1B"/>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603B1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603B1B"/>
    <w:rPr>
      <w:rFonts w:ascii="Times New Roman" w:eastAsia="Times New Roman" w:hAnsi="Times New Roman" w:cs="Times New Roman"/>
      <w:sz w:val="20"/>
      <w:szCs w:val="20"/>
      <w:lang w:eastAsia="pl-PL"/>
    </w:rPr>
  </w:style>
  <w:style w:type="character" w:styleId="Odwoanieprzypisudolnego">
    <w:name w:val="footnote reference"/>
    <w:aliases w:val="Footnotes refss"/>
    <w:uiPriority w:val="99"/>
    <w:rsid w:val="00603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3A99-9781-4889-8FD7-BA3A91EF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10369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Sprawiedliwości</dc:creator>
  <cp:lastModifiedBy>Mrowicki Marcin  (DLPK)</cp:lastModifiedBy>
  <cp:revision>3</cp:revision>
  <dcterms:created xsi:type="dcterms:W3CDTF">2024-06-12T09:54:00Z</dcterms:created>
  <dcterms:modified xsi:type="dcterms:W3CDTF">2024-06-12T09:55:00Z</dcterms:modified>
</cp:coreProperties>
</file>