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9D2" w:rsidRDefault="008C4D4E">
      <w:pPr>
        <w:pStyle w:val="Bodytext10"/>
        <w:spacing w:after="0" w:line="240" w:lineRule="auto"/>
        <w:ind w:firstLine="0"/>
        <w:sectPr w:rsidR="000339D2">
          <w:footerReference w:type="default" r:id="rId7"/>
          <w:footerReference w:type="first" r:id="rId8"/>
          <w:pgSz w:w="11900" w:h="16840"/>
          <w:pgMar w:top="1292" w:right="1363" w:bottom="1207" w:left="7152" w:header="0" w:footer="3" w:gutter="0"/>
          <w:pgNumType w:start="1"/>
          <w:cols w:space="720"/>
          <w:noEndnote/>
          <w:titlePg/>
          <w:docGrid w:linePitch="360"/>
        </w:sectPr>
      </w:pPr>
      <w:bookmarkStart w:id="0" w:name="_GoBack"/>
      <w:bookmarkEnd w:id="0"/>
      <w:r>
        <w:rPr>
          <w:rStyle w:val="Bodytext1"/>
        </w:rPr>
        <w:t xml:space="preserve">             </w:t>
      </w:r>
      <w:r w:rsidR="000D454D">
        <w:rPr>
          <w:rStyle w:val="Bodytext1"/>
        </w:rPr>
        <w:t xml:space="preserve">, dnia </w:t>
      </w:r>
      <w:r w:rsidR="000D454D">
        <w:rPr>
          <w:rStyle w:val="Bodytext1"/>
          <w:lang w:val="en-US" w:eastAsia="en-US" w:bidi="en-US"/>
        </w:rPr>
        <w:t xml:space="preserve">3 </w:t>
      </w:r>
      <w:r w:rsidR="000D454D">
        <w:rPr>
          <w:rStyle w:val="Bodytext1"/>
        </w:rPr>
        <w:t xml:space="preserve">stycznia </w:t>
      </w:r>
      <w:r w:rsidR="000D454D">
        <w:rPr>
          <w:rStyle w:val="Bodytext1"/>
          <w:lang w:val="en-US" w:eastAsia="en-US" w:bidi="en-US"/>
        </w:rPr>
        <w:t>2025 r.</w:t>
      </w:r>
    </w:p>
    <w:p w:rsidR="000339D2" w:rsidRDefault="000339D2">
      <w:pPr>
        <w:spacing w:line="159" w:lineRule="exact"/>
        <w:rPr>
          <w:sz w:val="13"/>
          <w:szCs w:val="13"/>
        </w:rPr>
      </w:pPr>
    </w:p>
    <w:p w:rsidR="000339D2" w:rsidRDefault="000339D2">
      <w:pPr>
        <w:spacing w:line="1" w:lineRule="exact"/>
        <w:sectPr w:rsidR="000339D2">
          <w:type w:val="continuous"/>
          <w:pgSz w:w="11900" w:h="16840"/>
          <w:pgMar w:top="1292" w:right="0" w:bottom="1207" w:left="0" w:header="0" w:footer="3" w:gutter="0"/>
          <w:cols w:space="720"/>
          <w:noEndnote/>
          <w:docGrid w:linePitch="360"/>
        </w:sectPr>
      </w:pPr>
    </w:p>
    <w:p w:rsidR="000339D2" w:rsidRDefault="000339D2">
      <w:pPr>
        <w:pStyle w:val="Bodytext10"/>
        <w:framePr w:w="2174" w:h="900" w:wrap="none" w:vAnchor="text" w:hAnchor="page" w:x="1401" w:y="21"/>
        <w:spacing w:after="0"/>
        <w:ind w:firstLine="0"/>
      </w:pPr>
    </w:p>
    <w:p w:rsidR="000339D2" w:rsidRDefault="000D454D">
      <w:pPr>
        <w:spacing w:line="360" w:lineRule="exact"/>
      </w:pPr>
      <w:r>
        <w:rPr>
          <w:noProof/>
          <w:lang w:bidi="ar-SA"/>
        </w:rPr>
        <w:drawing>
          <wp:anchor distT="0" distB="0" distL="0" distR="0" simplePos="0" relativeHeight="62914692" behindDoc="1" locked="0" layoutInCell="1" allowOverlap="1">
            <wp:simplePos x="0" y="0"/>
            <wp:positionH relativeFrom="page">
              <wp:posOffset>5931535</wp:posOffset>
            </wp:positionH>
            <wp:positionV relativeFrom="paragraph">
              <wp:posOffset>22860</wp:posOffset>
            </wp:positionV>
            <wp:extent cx="1048385" cy="85344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9"/>
                    <a:stretch/>
                  </pic:blipFill>
                  <pic:spPr>
                    <a:xfrm>
                      <a:off x="0" y="0"/>
                      <a:ext cx="1048385" cy="853440"/>
                    </a:xfrm>
                    <a:prstGeom prst="rect">
                      <a:avLst/>
                    </a:prstGeom>
                  </pic:spPr>
                </pic:pic>
              </a:graphicData>
            </a:graphic>
          </wp:anchor>
        </w:drawing>
      </w:r>
    </w:p>
    <w:p w:rsidR="000339D2" w:rsidRDefault="000339D2">
      <w:pPr>
        <w:spacing w:line="360" w:lineRule="exact"/>
      </w:pPr>
    </w:p>
    <w:p w:rsidR="000339D2" w:rsidRDefault="000339D2">
      <w:pPr>
        <w:spacing w:after="661" w:line="1" w:lineRule="exact"/>
      </w:pPr>
    </w:p>
    <w:p w:rsidR="000339D2" w:rsidRDefault="000339D2">
      <w:pPr>
        <w:spacing w:line="1" w:lineRule="exact"/>
        <w:sectPr w:rsidR="000339D2">
          <w:type w:val="continuous"/>
          <w:pgSz w:w="11900" w:h="16840"/>
          <w:pgMar w:top="1292" w:right="910" w:bottom="1207" w:left="1392" w:header="0" w:footer="3" w:gutter="0"/>
          <w:cols w:space="720"/>
          <w:noEndnote/>
          <w:docGrid w:linePitch="360"/>
        </w:sectPr>
      </w:pPr>
    </w:p>
    <w:p w:rsidR="000339D2" w:rsidRDefault="000339D2">
      <w:pPr>
        <w:spacing w:line="240" w:lineRule="exact"/>
        <w:rPr>
          <w:sz w:val="19"/>
          <w:szCs w:val="19"/>
        </w:rPr>
      </w:pPr>
    </w:p>
    <w:p w:rsidR="000339D2" w:rsidRDefault="000339D2">
      <w:pPr>
        <w:spacing w:before="14" w:after="14" w:line="240" w:lineRule="exact"/>
        <w:rPr>
          <w:sz w:val="19"/>
          <w:szCs w:val="19"/>
        </w:rPr>
      </w:pPr>
    </w:p>
    <w:p w:rsidR="000339D2" w:rsidRDefault="000339D2">
      <w:pPr>
        <w:spacing w:line="1" w:lineRule="exact"/>
        <w:sectPr w:rsidR="000339D2">
          <w:type w:val="continuous"/>
          <w:pgSz w:w="11900" w:h="16840"/>
          <w:pgMar w:top="1163" w:right="0" w:bottom="1335" w:left="0" w:header="0" w:footer="3" w:gutter="0"/>
          <w:cols w:space="720"/>
          <w:noEndnote/>
          <w:docGrid w:linePitch="360"/>
        </w:sectPr>
      </w:pPr>
    </w:p>
    <w:p w:rsidR="000339D2" w:rsidRDefault="000D454D">
      <w:pPr>
        <w:pStyle w:val="Bodytext20"/>
        <w:spacing w:after="0"/>
        <w:ind w:firstLine="0"/>
      </w:pPr>
      <w:r>
        <w:rPr>
          <w:rStyle w:val="Bodytext2"/>
          <w:b/>
          <w:bCs/>
          <w:lang w:val="en-US" w:eastAsia="en-US" w:bidi="en-US"/>
        </w:rPr>
        <w:t>Pan Donald Tusk</w:t>
      </w:r>
    </w:p>
    <w:p w:rsidR="000339D2" w:rsidRDefault="000D454D">
      <w:pPr>
        <w:pStyle w:val="Bodytext20"/>
        <w:spacing w:after="0"/>
      </w:pPr>
      <w:r>
        <w:rPr>
          <w:rStyle w:val="Bodytext2"/>
          <w:b/>
          <w:bCs/>
        </w:rPr>
        <w:t>Prezes Rady Ministrów</w:t>
      </w:r>
    </w:p>
    <w:p w:rsidR="000339D2" w:rsidRDefault="000D454D">
      <w:pPr>
        <w:pStyle w:val="Bodytext20"/>
        <w:spacing w:after="0"/>
      </w:pPr>
      <w:r>
        <w:rPr>
          <w:rStyle w:val="Bodytext2"/>
          <w:b/>
          <w:bCs/>
        </w:rPr>
        <w:t>Kancelaria Prezesa Rady Ministrów</w:t>
      </w:r>
    </w:p>
    <w:p w:rsidR="000339D2" w:rsidRDefault="000D454D">
      <w:pPr>
        <w:pStyle w:val="Bodytext20"/>
        <w:spacing w:after="1620"/>
      </w:pPr>
      <w:r>
        <w:rPr>
          <w:rStyle w:val="Bodytext2"/>
          <w:b/>
          <w:bCs/>
        </w:rPr>
        <w:t>Al. Ujazdowskie 1/3 00-583 Warszawa</w:t>
      </w:r>
    </w:p>
    <w:p w:rsidR="000339D2" w:rsidRDefault="000D454D">
      <w:pPr>
        <w:pStyle w:val="Bodytext20"/>
        <w:spacing w:line="413" w:lineRule="auto"/>
        <w:ind w:left="0" w:firstLine="0"/>
        <w:jc w:val="center"/>
      </w:pPr>
      <w:r>
        <w:rPr>
          <w:rStyle w:val="Bodytext2"/>
          <w:b/>
          <w:bCs/>
        </w:rPr>
        <w:t>WNIOSEK O PILNĄ REFORMĘ</w:t>
      </w:r>
      <w:r>
        <w:rPr>
          <w:rStyle w:val="Bodytext2"/>
          <w:b/>
          <w:bCs/>
        </w:rPr>
        <w:br/>
        <w:t>SAMORZĄDOWYCH KOLEGIÓW ODWOŁAWCZYCH</w:t>
      </w:r>
    </w:p>
    <w:p w:rsidR="000339D2" w:rsidRDefault="000D454D">
      <w:pPr>
        <w:pStyle w:val="Bodytext10"/>
        <w:spacing w:line="302" w:lineRule="auto"/>
        <w:ind w:firstLine="720"/>
        <w:jc w:val="both"/>
      </w:pPr>
      <w:r>
        <w:rPr>
          <w:rStyle w:val="Bodytext1"/>
        </w:rPr>
        <w:t>Działając na podstawie:</w:t>
      </w:r>
    </w:p>
    <w:p w:rsidR="000339D2" w:rsidRDefault="000D454D">
      <w:pPr>
        <w:pStyle w:val="Bodytext10"/>
        <w:numPr>
          <w:ilvl w:val="0"/>
          <w:numId w:val="1"/>
        </w:numPr>
        <w:tabs>
          <w:tab w:val="left" w:pos="726"/>
        </w:tabs>
        <w:spacing w:after="0" w:line="302" w:lineRule="auto"/>
        <w:ind w:firstLine="360"/>
        <w:jc w:val="both"/>
      </w:pPr>
      <w:r>
        <w:rPr>
          <w:rStyle w:val="Bodytext1"/>
          <w:lang w:val="en-US" w:eastAsia="en-US" w:bidi="en-US"/>
        </w:rPr>
        <w:t xml:space="preserve">art. </w:t>
      </w:r>
      <w:r>
        <w:rPr>
          <w:rStyle w:val="Bodytext1"/>
        </w:rPr>
        <w:t xml:space="preserve">3 ust. 1 pkt 17 w związku z </w:t>
      </w:r>
      <w:r>
        <w:rPr>
          <w:rStyle w:val="Bodytext1"/>
          <w:lang w:val="en-US" w:eastAsia="en-US" w:bidi="en-US"/>
        </w:rPr>
        <w:t xml:space="preserve">art. </w:t>
      </w:r>
      <w:r>
        <w:rPr>
          <w:rStyle w:val="Bodytext1"/>
        </w:rPr>
        <w:t xml:space="preserve">4 ust. 1 </w:t>
      </w:r>
      <w:proofErr w:type="spellStart"/>
      <w:r>
        <w:rPr>
          <w:rStyle w:val="Bodytext1"/>
          <w:lang w:val="en-US" w:eastAsia="en-US" w:bidi="en-US"/>
        </w:rPr>
        <w:t>pkt</w:t>
      </w:r>
      <w:proofErr w:type="spellEnd"/>
      <w:r>
        <w:rPr>
          <w:rStyle w:val="Bodytext1"/>
          <w:lang w:val="en-US" w:eastAsia="en-US" w:bidi="en-US"/>
        </w:rPr>
        <w:t xml:space="preserve"> </w:t>
      </w:r>
      <w:r>
        <w:rPr>
          <w:rStyle w:val="Bodytext1"/>
        </w:rPr>
        <w:t>1 ustawy z dnia 14 czerwca 2024 r.</w:t>
      </w:r>
    </w:p>
    <w:p w:rsidR="000339D2" w:rsidRDefault="000D454D">
      <w:pPr>
        <w:pStyle w:val="Bodytext10"/>
        <w:spacing w:after="0" w:line="302" w:lineRule="auto"/>
        <w:ind w:firstLine="720"/>
        <w:jc w:val="both"/>
      </w:pPr>
      <w:r>
        <w:rPr>
          <w:rStyle w:val="Bodytext1"/>
        </w:rPr>
        <w:t>o ochronie sygnalistów (Dz. U. z 2024 r., poz. 928), oraz</w:t>
      </w:r>
    </w:p>
    <w:p w:rsidR="000339D2" w:rsidRDefault="000D454D">
      <w:pPr>
        <w:pStyle w:val="Bodytext10"/>
        <w:numPr>
          <w:ilvl w:val="0"/>
          <w:numId w:val="1"/>
        </w:numPr>
        <w:tabs>
          <w:tab w:val="left" w:pos="747"/>
        </w:tabs>
        <w:spacing w:after="0" w:line="302" w:lineRule="auto"/>
        <w:ind w:firstLine="360"/>
        <w:jc w:val="both"/>
      </w:pPr>
      <w:r>
        <w:rPr>
          <w:rStyle w:val="Bodytext1"/>
          <w:lang w:val="en-US" w:eastAsia="en-US" w:bidi="en-US"/>
        </w:rPr>
        <w:t xml:space="preserve">art. </w:t>
      </w:r>
      <w:r>
        <w:rPr>
          <w:rStyle w:val="Bodytext1"/>
        </w:rPr>
        <w:t xml:space="preserve">63 Konstytucji RP w związku z </w:t>
      </w:r>
      <w:r>
        <w:rPr>
          <w:rStyle w:val="Bodytext1"/>
          <w:lang w:val="en-US" w:eastAsia="en-US" w:bidi="en-US"/>
        </w:rPr>
        <w:t xml:space="preserve">art. </w:t>
      </w:r>
      <w:r>
        <w:rPr>
          <w:rStyle w:val="Bodytext1"/>
        </w:rPr>
        <w:t>2 ust. 2 ustawy z dnia 11 lipca 2014 r.</w:t>
      </w:r>
    </w:p>
    <w:p w:rsidR="000339D2" w:rsidRDefault="000D454D">
      <w:pPr>
        <w:pStyle w:val="Bodytext10"/>
        <w:spacing w:after="0" w:line="302" w:lineRule="auto"/>
        <w:ind w:firstLine="720"/>
        <w:jc w:val="both"/>
      </w:pPr>
      <w:r>
        <w:rPr>
          <w:rStyle w:val="Bodytext1"/>
        </w:rPr>
        <w:t>o petycjach (Dz. U. 2018 r., poz. 870), a także</w:t>
      </w:r>
    </w:p>
    <w:p w:rsidR="000339D2" w:rsidRDefault="000D454D">
      <w:pPr>
        <w:pStyle w:val="Bodytext10"/>
        <w:numPr>
          <w:ilvl w:val="0"/>
          <w:numId w:val="1"/>
        </w:numPr>
        <w:tabs>
          <w:tab w:val="left" w:pos="740"/>
        </w:tabs>
        <w:spacing w:line="302" w:lineRule="auto"/>
        <w:ind w:firstLine="360"/>
        <w:jc w:val="both"/>
      </w:pPr>
      <w:r>
        <w:rPr>
          <w:rStyle w:val="Bodytext1"/>
          <w:lang w:val="en-US" w:eastAsia="en-US" w:bidi="en-US"/>
        </w:rPr>
        <w:t xml:space="preserve">art. </w:t>
      </w:r>
      <w:r>
        <w:rPr>
          <w:rStyle w:val="Bodytext1"/>
        </w:rPr>
        <w:t>241 ustawy - Kodeks postępowania administracyjnego,</w:t>
      </w:r>
    </w:p>
    <w:p w:rsidR="000339D2" w:rsidRDefault="000D454D">
      <w:pPr>
        <w:pStyle w:val="Bodytext10"/>
        <w:spacing w:line="302" w:lineRule="auto"/>
        <w:ind w:firstLine="720"/>
        <w:jc w:val="both"/>
      </w:pPr>
      <w:r>
        <w:rPr>
          <w:rStyle w:val="Bodytext1"/>
        </w:rPr>
        <w:t>postuluję pilną reformę samorządowych kolegiów odwoławczych z uwagi na niewydolność dotychczas funkcjonujących rozwiązań strukturalnych, które naruszają prawa podstawowe obywateli do dobrej administracji oraz sprawnego Państwa, a także konstytucyjną zasadę równości w dostępie obywateli do administracji publicznej i załatwienia sprawy w rozsądnym terminie.</w:t>
      </w:r>
    </w:p>
    <w:p w:rsidR="000339D2" w:rsidRDefault="000D454D">
      <w:pPr>
        <w:pStyle w:val="Bodytext10"/>
        <w:spacing w:line="298" w:lineRule="auto"/>
        <w:ind w:firstLine="720"/>
        <w:jc w:val="both"/>
      </w:pPr>
      <w:r>
        <w:rPr>
          <w:rStyle w:val="Bodytext1"/>
        </w:rPr>
        <w:t>Postulowane zmiany realizują również interes publiczny interpretowany jako dyrektywa postępowania nakazującą respektowanie wartości wspólnych dla całego społeczeństwa takich jak sprawiedliwość, bezpieczeństwo, równość traktowania osób w podobnej sytuacji, zaufanie obywateli do</w:t>
      </w:r>
      <w:r w:rsidR="008C4D4E">
        <w:rPr>
          <w:rStyle w:val="Bodytext1"/>
        </w:rPr>
        <w:t> </w:t>
      </w:r>
      <w:r>
        <w:rPr>
          <w:rStyle w:val="Bodytext1"/>
        </w:rPr>
        <w:t>organów władzy publicznej, sprawność działania aparatu państwowego</w:t>
      </w:r>
      <w:r>
        <w:rPr>
          <w:rStyle w:val="Bodytext1"/>
          <w:vertAlign w:val="superscript"/>
        </w:rPr>
        <w:footnoteReference w:id="1"/>
      </w:r>
      <w:r>
        <w:rPr>
          <w:rStyle w:val="Bodytext1"/>
        </w:rPr>
        <w:t>.</w:t>
      </w:r>
      <w:r>
        <w:br w:type="page"/>
      </w:r>
    </w:p>
    <w:p w:rsidR="000339D2" w:rsidRDefault="000D454D">
      <w:pPr>
        <w:pStyle w:val="Bodytext10"/>
        <w:spacing w:after="160" w:line="295" w:lineRule="auto"/>
        <w:ind w:firstLine="720"/>
        <w:jc w:val="both"/>
      </w:pPr>
      <w:r>
        <w:rPr>
          <w:rStyle w:val="Bodytext1"/>
        </w:rPr>
        <w:lastRenderedPageBreak/>
        <w:t xml:space="preserve">Proponowane zmiany </w:t>
      </w:r>
      <w:r>
        <w:rPr>
          <w:rStyle w:val="Bodytext1"/>
          <w:u w:val="single"/>
        </w:rPr>
        <w:t>nie spowodują</w:t>
      </w:r>
      <w:r>
        <w:rPr>
          <w:rStyle w:val="Bodytext1"/>
        </w:rPr>
        <w:t xml:space="preserve"> zwiększenia dotychczasowych wydatków Skarbu Państwa na funkcjonowanie samorządowych kolegiów odwoławczych, a wręcz mogą doprowadzić do uwolnienia dodatkowych środków finansowych.</w:t>
      </w:r>
    </w:p>
    <w:p w:rsidR="000339D2" w:rsidRDefault="000D454D">
      <w:pPr>
        <w:pStyle w:val="Bodytext10"/>
        <w:spacing w:after="160" w:line="295" w:lineRule="auto"/>
        <w:ind w:firstLine="720"/>
        <w:jc w:val="both"/>
      </w:pPr>
      <w:r>
        <w:rPr>
          <w:rStyle w:val="Bodytext1"/>
        </w:rPr>
        <w:t>W pierwszej kolejności konieczna jest zmiana struktury samorządowych kolegiów odwoławczych, która nie przystaje do obecnych realiów, jest strukturą archaiczną i niewydolną z punktu widzenia celowości, zasad gospodarności i efektywności.</w:t>
      </w:r>
    </w:p>
    <w:p w:rsidR="000339D2" w:rsidRDefault="000D454D">
      <w:pPr>
        <w:pStyle w:val="Bodytext10"/>
        <w:spacing w:after="160"/>
        <w:ind w:firstLine="720"/>
        <w:jc w:val="both"/>
      </w:pPr>
      <w:r>
        <w:rPr>
          <w:rStyle w:val="Bodytext1"/>
        </w:rPr>
        <w:t>Krajowa Reprezentacja Samorządowych Kolegiów Odwoławczych złożona z prezesów poszczególnych czterdziestu dziewięciu samorządowych kolegiów odwoławczych nie jest zainteresowana reformą struktury i właściwości kolegiów - z uwagi na sprzeczność interesów poszczególnych kolegiów, z których większość stanowią te kolegia, których siedziba znajduje się poza szesnastoma miastami wojewódzkimi. Tymczasem to te samorządowe kolegia odwoławcze, których siedziba znajduje się w obecnych miastach wojewódzkich oraz obywateli zamieszkujących w ich właściwości miejscowej dotykają w największym stopniu konsekwencje nieprzemyślanej struktury organizacyjnej samorządowych kolegiów odwoławczych.</w:t>
      </w:r>
    </w:p>
    <w:p w:rsidR="000339D2" w:rsidRDefault="000D454D">
      <w:pPr>
        <w:pStyle w:val="Bodytext10"/>
        <w:spacing w:after="160"/>
        <w:ind w:firstLine="720"/>
        <w:jc w:val="both"/>
      </w:pPr>
      <w:r>
        <w:rPr>
          <w:rStyle w:val="Bodytext1"/>
        </w:rPr>
        <w:t>Sytuacja ta utrzymuje się od lat, mimo że już w marcu 2011 roku Najwyższa Izba Kontroli postulowała zmiany w tym zakresie</w:t>
      </w:r>
      <w:r>
        <w:rPr>
          <w:rStyle w:val="Bodytext1"/>
          <w:vertAlign w:val="superscript"/>
        </w:rPr>
        <w:footnoteReference w:id="2"/>
      </w:r>
      <w:r>
        <w:rPr>
          <w:rStyle w:val="Bodytext1"/>
        </w:rPr>
        <w:t>.</w:t>
      </w:r>
    </w:p>
    <w:p w:rsidR="000339D2" w:rsidRDefault="000D454D">
      <w:pPr>
        <w:pStyle w:val="Bodytext10"/>
        <w:spacing w:after="580"/>
        <w:ind w:firstLine="720"/>
        <w:jc w:val="both"/>
      </w:pPr>
      <w:r>
        <w:rPr>
          <w:rStyle w:val="Bodytext1"/>
        </w:rPr>
        <w:t xml:space="preserve">Tym samym inicjatywa reformy w tym zakresie należeć musi do organu nadzorującego działanie samorządowych kolegiów odwoławczych jakim jest Prezes Rady Ministrów </w:t>
      </w:r>
      <w:r>
        <w:rPr>
          <w:rStyle w:val="Bodytext1"/>
          <w:lang w:val="en-US" w:eastAsia="en-US" w:bidi="en-US"/>
        </w:rPr>
        <w:t xml:space="preserve">(art. </w:t>
      </w:r>
      <w:r>
        <w:rPr>
          <w:rStyle w:val="Bodytext1"/>
        </w:rPr>
        <w:t>3a ust. 1 ustawy o</w:t>
      </w:r>
      <w:r w:rsidR="008C4D4E">
        <w:rPr>
          <w:rStyle w:val="Bodytext1"/>
        </w:rPr>
        <w:t> </w:t>
      </w:r>
      <w:r>
        <w:rPr>
          <w:rStyle w:val="Bodytext1"/>
        </w:rPr>
        <w:t>samorządowych kolegiach odwoławczych).</w:t>
      </w:r>
    </w:p>
    <w:p w:rsidR="000339D2" w:rsidRDefault="000D454D">
      <w:pPr>
        <w:pStyle w:val="Heading110"/>
        <w:keepNext/>
        <w:keepLines/>
        <w:numPr>
          <w:ilvl w:val="0"/>
          <w:numId w:val="2"/>
        </w:numPr>
        <w:tabs>
          <w:tab w:val="left" w:pos="731"/>
        </w:tabs>
        <w:spacing w:line="269" w:lineRule="auto"/>
        <w:ind w:left="680"/>
        <w:jc w:val="both"/>
      </w:pPr>
      <w:bookmarkStart w:id="1" w:name="bookmark0"/>
      <w:r>
        <w:rPr>
          <w:rStyle w:val="Heading11"/>
          <w:b/>
          <w:bCs/>
        </w:rPr>
        <w:t>Przyłączenie do kolegiów mających siedzibę w obecnych miastach wojewódzkich pozostałych kolegiów</w:t>
      </w:r>
      <w:bookmarkEnd w:id="1"/>
    </w:p>
    <w:p w:rsidR="000339D2" w:rsidRDefault="000D454D">
      <w:pPr>
        <w:pStyle w:val="Bodytext10"/>
        <w:spacing w:after="160"/>
        <w:ind w:firstLine="720"/>
        <w:jc w:val="both"/>
      </w:pPr>
      <w:r>
        <w:rPr>
          <w:rStyle w:val="Bodytext1"/>
        </w:rPr>
        <w:t>Struktura kolegiów powinna pokrywać się z obecnymi województwami (16). Jednocześnie w</w:t>
      </w:r>
      <w:r w:rsidR="008C4D4E">
        <w:rPr>
          <w:rStyle w:val="Bodytext1"/>
        </w:rPr>
        <w:t> </w:t>
      </w:r>
      <w:r>
        <w:rPr>
          <w:rStyle w:val="Bodytext1"/>
        </w:rPr>
        <w:t>miejsce przyłączonych kolegiów postuluje się utworzenie wydziałów zamiejscowymi kolegiów położonych w miastach wojewódzkich - w oparciu o istniejącą bazę biurowo-materiałową.</w:t>
      </w:r>
    </w:p>
    <w:p w:rsidR="000339D2" w:rsidRDefault="000D454D">
      <w:pPr>
        <w:pStyle w:val="Bodytext10"/>
        <w:spacing w:after="160"/>
        <w:ind w:firstLine="720"/>
        <w:jc w:val="both"/>
      </w:pPr>
      <w:r>
        <w:rPr>
          <w:rStyle w:val="Bodytext1"/>
        </w:rPr>
        <w:t>Spowoduje to przede wszystkim uwolnienie możliwości delegowania części spraw z</w:t>
      </w:r>
      <w:r w:rsidR="008C4D4E">
        <w:rPr>
          <w:rStyle w:val="Bodytext1"/>
        </w:rPr>
        <w:t> </w:t>
      </w:r>
      <w:r>
        <w:rPr>
          <w:rStyle w:val="Bodytext1"/>
        </w:rPr>
        <w:t>niewspółmiernie obciążonych orzeczników w kolegiach położonych w dużych ośrodkach miejskich (miastach wojewódzkich), co jest główną przyczyną powstawania przewlekłości postępowania oraz lepsze wykorzystanie zasobu kadrowego w postaci etatowych i pozaetatowych członków.</w:t>
      </w:r>
    </w:p>
    <w:p w:rsidR="000339D2" w:rsidRDefault="000D454D">
      <w:pPr>
        <w:pStyle w:val="Bodytext10"/>
        <w:spacing w:after="160" w:line="295" w:lineRule="auto"/>
        <w:ind w:firstLine="720"/>
        <w:jc w:val="both"/>
      </w:pPr>
      <w:r>
        <w:rPr>
          <w:rStyle w:val="Bodytext1"/>
        </w:rPr>
        <w:t>Zdaniem NIK, przy tak znacznym zróżnicowaniu w zakresie wskaźnika wydajności, wielkości wpływu spraw oraz kosztu rozpatrzenia jednej sprawy pomiędzy kolegiami w miastach wojewódzkich, a</w:t>
      </w:r>
      <w:r w:rsidR="008C4D4E">
        <w:rPr>
          <w:rStyle w:val="Bodytext1"/>
        </w:rPr>
        <w:t> </w:t>
      </w:r>
      <w:r>
        <w:rPr>
          <w:rStyle w:val="Bodytext1"/>
        </w:rPr>
        <w:t>pozostałymi kolegiami, należałoby rozważyć zasadność utrzymywania obecnej sieci kolegiów poza miastami wojewódzkimi. Należy zauważyć, że przy względnie niewielkim wpływie spraw w tych właśnie kolegiach, w porównaniu do wpływu spraw w SKO w miastach wojewódzkich, obecna alokacja zasobów kadrowych nie jest w pełni proporcjonalna do wpływu spraw.</w:t>
      </w:r>
    </w:p>
    <w:p w:rsidR="000339D2" w:rsidRDefault="000D454D">
      <w:pPr>
        <w:pStyle w:val="Bodytext10"/>
        <w:ind w:firstLine="720"/>
        <w:jc w:val="both"/>
      </w:pPr>
      <w:r>
        <w:rPr>
          <w:rStyle w:val="Bodytext1"/>
        </w:rPr>
        <w:t>Przy czterokrotnie większym średnim wpływie spraw w SKO w miastach wojewódzkich zatrudnionych było średnio tylko dwukrotnie więcej etatowych członków kolegiów i prawie taka</w:t>
      </w:r>
      <w:r>
        <w:rPr>
          <w:rStyle w:val="Bodytext1"/>
        </w:rPr>
        <w:br w:type="page"/>
      </w:r>
      <w:r>
        <w:rPr>
          <w:rStyle w:val="Bodytext1"/>
        </w:rPr>
        <w:lastRenderedPageBreak/>
        <w:t>sama liczba pracowników biur i pozaetatowych członków kolegiów jak w kolegiach poza miastami wojewódzkimi</w:t>
      </w:r>
      <w:r>
        <w:rPr>
          <w:rStyle w:val="Bodytext1"/>
          <w:vertAlign w:val="superscript"/>
        </w:rPr>
        <w:footnoteReference w:id="3"/>
      </w:r>
      <w:r>
        <w:rPr>
          <w:rStyle w:val="Bodytext1"/>
        </w:rPr>
        <w:t>.</w:t>
      </w:r>
    </w:p>
    <w:p w:rsidR="000339D2" w:rsidRDefault="000D454D">
      <w:pPr>
        <w:pStyle w:val="Bodytext10"/>
        <w:spacing w:line="302" w:lineRule="auto"/>
        <w:ind w:firstLine="720"/>
        <w:jc w:val="both"/>
      </w:pPr>
      <w:r>
        <w:rPr>
          <w:rStyle w:val="Bodytext1"/>
        </w:rPr>
        <w:t>Należy też zaznaczyć, że kolegia w miastach wojewódzkich mają zwiększony zakres właściwości rzeczowej w porównaniu do pozostałych kolegów gdyż rozpatrują także odwołania od decyzji podejmowanych przez organy samorządu województwa.</w:t>
      </w:r>
    </w:p>
    <w:p w:rsidR="000339D2" w:rsidRDefault="000D454D">
      <w:pPr>
        <w:pStyle w:val="Bodytext10"/>
        <w:spacing w:line="276" w:lineRule="auto"/>
        <w:ind w:firstLine="720"/>
        <w:jc w:val="both"/>
        <w:rPr>
          <w:sz w:val="22"/>
          <w:szCs w:val="22"/>
        </w:rPr>
      </w:pPr>
      <w:r>
        <w:rPr>
          <w:rStyle w:val="Bodytext1"/>
          <w:b/>
          <w:bCs/>
          <w:sz w:val="22"/>
          <w:szCs w:val="22"/>
        </w:rPr>
        <w:t>W 2009 r. wskaźnik wydajności w SKO w Warszawie był prawie sześciokrotnie wyższy niż w SKO w Krośnie.</w:t>
      </w:r>
    </w:p>
    <w:p w:rsidR="000339D2" w:rsidRDefault="000D454D">
      <w:pPr>
        <w:pStyle w:val="Bodytext10"/>
        <w:spacing w:line="305" w:lineRule="auto"/>
        <w:ind w:firstLine="720"/>
        <w:jc w:val="both"/>
      </w:pPr>
      <w:r>
        <w:rPr>
          <w:rStyle w:val="Bodytext1"/>
        </w:rPr>
        <w:t>Mniejsza liczba kolegiów to też mniejsza liczba prezesów i wiceprezesów kolegiów (łącznie likwidacja 66 etatów prezesów i wiceprezesów), a zatem mniejsze wydatki Skarbu Państwa na ich wynagrodzenie, które jest wyższe od wynagrodzenia członka etatowego (mnożniki: 1,6 oraz 1,4).</w:t>
      </w:r>
    </w:p>
    <w:p w:rsidR="000339D2" w:rsidRDefault="000D454D">
      <w:pPr>
        <w:pStyle w:val="Bodytext10"/>
        <w:spacing w:after="580"/>
        <w:ind w:firstLine="720"/>
        <w:jc w:val="both"/>
      </w:pPr>
      <w:r>
        <w:rPr>
          <w:rStyle w:val="Bodytext1"/>
        </w:rPr>
        <w:t>Postuluje się przy tym pozostawienie dotychczasowej struktury biurowej kolegiów poprzez utworzenie wydziałów zamiejscowych kolegiów z siedzibą w mieście wojewódzkim w dotychczasowych siedzibach przyłączonych kolegiów.</w:t>
      </w:r>
    </w:p>
    <w:p w:rsidR="000339D2" w:rsidRDefault="000D454D">
      <w:pPr>
        <w:pStyle w:val="Heading110"/>
        <w:keepNext/>
        <w:keepLines/>
        <w:numPr>
          <w:ilvl w:val="0"/>
          <w:numId w:val="2"/>
        </w:numPr>
        <w:tabs>
          <w:tab w:val="left" w:pos="731"/>
        </w:tabs>
        <w:spacing w:after="200" w:line="240" w:lineRule="auto"/>
        <w:ind w:left="0" w:firstLine="380"/>
        <w:jc w:val="both"/>
      </w:pPr>
      <w:bookmarkStart w:id="2" w:name="bookmark2"/>
      <w:r>
        <w:rPr>
          <w:rStyle w:val="Heading11"/>
          <w:b/>
          <w:bCs/>
        </w:rPr>
        <w:t>Reforma tzw. członkostwa pozaetatowego</w:t>
      </w:r>
      <w:bookmarkEnd w:id="2"/>
    </w:p>
    <w:p w:rsidR="000339D2" w:rsidRDefault="000D454D">
      <w:pPr>
        <w:pStyle w:val="Bodytext10"/>
        <w:spacing w:line="302" w:lineRule="auto"/>
        <w:ind w:firstLine="720"/>
        <w:jc w:val="both"/>
      </w:pPr>
      <w:r>
        <w:rPr>
          <w:rStyle w:val="Bodytext1"/>
        </w:rPr>
        <w:t>W samorządowym kolegium odwoławczym orzekają dwie kategorie funkcjonariuszy publicznych: członkowie etatowi i pozaetatowi - obie kategorie orzeczników są powoływane przez Prezesa Rady Ministrów. Różnice między członkiem etatowym i pozaetatowym sprowadzają się do możliwości przewodniczenia składowi orzekającemu (tylko członek etatowy), charakterem zatrudnienia (członek etatowy - umowa o pracę, członek pozaetatowy- - umowa zlecenia/o dzieło), możliwością prowadzenia działalności gospodarczej (członek etatowy - zakaz, członek pozaetatowy - dozwolona) oraz wynagrodzeniem (członek pozaetatowym może otrzymać wynagrodzenie nieprzekraczające 60% wynagrodzenia członka etatowego).</w:t>
      </w:r>
    </w:p>
    <w:p w:rsidR="000339D2" w:rsidRDefault="000D454D">
      <w:pPr>
        <w:pStyle w:val="Bodytext10"/>
        <w:ind w:firstLine="720"/>
        <w:jc w:val="both"/>
      </w:pPr>
      <w:r>
        <w:rPr>
          <w:rStyle w:val="Bodytext1"/>
        </w:rPr>
        <w:t>W praktyce członkostwo pozaetatowe jest zajęciem dodatkowym dla osób stale zatrudnionych w</w:t>
      </w:r>
      <w:r w:rsidR="00847B4D">
        <w:rPr>
          <w:rStyle w:val="Bodytext1"/>
        </w:rPr>
        <w:t> </w:t>
      </w:r>
      <w:r>
        <w:rPr>
          <w:rStyle w:val="Bodytext1"/>
        </w:rPr>
        <w:t>innych miejscach pracy. Rodzi to dodatkową trudność w możliwości gospodarowania zasobem kadrowym kolegium, gdyż brak jest odpowiednich instrumentów by wymóc na członkach pozaetatowych określone standardy orzekania jeśli chodzi o ilość pobranych i zakończonych spraw. W takich sytuacjach obciążenie pracą orzeczniczą spada w przeważającej mierze na członków etatowych kolegiów.</w:t>
      </w:r>
    </w:p>
    <w:p w:rsidR="000339D2" w:rsidRDefault="000D454D">
      <w:pPr>
        <w:pStyle w:val="Bodytext10"/>
        <w:spacing w:line="293" w:lineRule="auto"/>
        <w:ind w:firstLine="720"/>
        <w:jc w:val="both"/>
      </w:pPr>
      <w:r>
        <w:rPr>
          <w:rStyle w:val="Bodytext1"/>
        </w:rPr>
        <w:t xml:space="preserve">Za co najmniej wątpliwe rozwiązanie uznać należy przyznanie członkom pozaetatowym czynnego prawa głosowania w sprawach dotyczących wewnętrznych spraw samorządowych kolegiów odwoławczych. Oznacza to bowiem, iż </w:t>
      </w:r>
      <w:r>
        <w:rPr>
          <w:rStyle w:val="Bodytext1"/>
          <w:b/>
          <w:bCs/>
          <w:sz w:val="22"/>
          <w:szCs w:val="22"/>
        </w:rPr>
        <w:t>wpływ na funkcjonowanie struktury administracyjnej odpowiadającej miejscu pracy członka etatowego uzyskują osoby niezwiązane z</w:t>
      </w:r>
      <w:r w:rsidR="008C4D4E">
        <w:rPr>
          <w:rStyle w:val="Bodytext1"/>
          <w:b/>
          <w:bCs/>
          <w:sz w:val="22"/>
          <w:szCs w:val="22"/>
        </w:rPr>
        <w:t> </w:t>
      </w:r>
      <w:r>
        <w:rPr>
          <w:rStyle w:val="Bodytext1"/>
          <w:b/>
          <w:bCs/>
          <w:sz w:val="22"/>
          <w:szCs w:val="22"/>
        </w:rPr>
        <w:t>tą</w:t>
      </w:r>
      <w:r w:rsidR="008C4D4E">
        <w:rPr>
          <w:rStyle w:val="Bodytext1"/>
          <w:b/>
          <w:bCs/>
          <w:sz w:val="22"/>
          <w:szCs w:val="22"/>
        </w:rPr>
        <w:t> </w:t>
      </w:r>
      <w:r>
        <w:rPr>
          <w:rStyle w:val="Bodytext1"/>
          <w:b/>
          <w:bCs/>
          <w:sz w:val="22"/>
          <w:szCs w:val="22"/>
        </w:rPr>
        <w:t xml:space="preserve">strukturą, </w:t>
      </w:r>
      <w:r>
        <w:rPr>
          <w:rStyle w:val="Bodytext1"/>
        </w:rPr>
        <w:t>a ich głos ma taką samą wagę jak członków etatowych - związanych z kolegium umową o pracę. Jest to podobna sytuacja gdyby ławnicy sądowi w sądach powszechnych (którzy również wchodzą do składu orzekającego w sądach) mieli prawo głosu na zgromadzeniu ogólny sędziów tego sądu i wpływali na obsadę organów sądu.</w:t>
      </w:r>
    </w:p>
    <w:p w:rsidR="000339D2" w:rsidRDefault="000D454D">
      <w:pPr>
        <w:pStyle w:val="Bodytext10"/>
        <w:spacing w:after="580"/>
        <w:ind w:firstLine="720"/>
        <w:jc w:val="both"/>
      </w:pPr>
      <w:r>
        <w:rPr>
          <w:rStyle w:val="Bodytext1"/>
        </w:rPr>
        <w:t>Koniecznym zatem wydaje się co najmniej pozbawienie członków pozaetatowych możliwości głosowania w zgromadzeniu ogólnym kolegium, gdyż pozbawione jest podstaw</w:t>
      </w:r>
      <w:r>
        <w:rPr>
          <w:rStyle w:val="Bodytext1"/>
        </w:rPr>
        <w:br w:type="page"/>
      </w:r>
      <w:r>
        <w:rPr>
          <w:rStyle w:val="Bodytext1"/>
        </w:rPr>
        <w:lastRenderedPageBreak/>
        <w:t>umożliwienie podejmowania decyzji kadrowych dotyczących obsady organu kolegium jakim jest Prezes osobom wykonujących zadania orzecznicze jedynie dorywczo, jako kolejne zajęcie zawodowe.</w:t>
      </w:r>
    </w:p>
    <w:p w:rsidR="000339D2" w:rsidRDefault="000D454D">
      <w:pPr>
        <w:pStyle w:val="Heading110"/>
        <w:keepNext/>
        <w:keepLines/>
        <w:numPr>
          <w:ilvl w:val="0"/>
          <w:numId w:val="2"/>
        </w:numPr>
        <w:tabs>
          <w:tab w:val="left" w:pos="711"/>
        </w:tabs>
        <w:spacing w:line="276" w:lineRule="auto"/>
        <w:ind w:left="700" w:hanging="340"/>
        <w:jc w:val="both"/>
      </w:pPr>
      <w:bookmarkStart w:id="3" w:name="bookmark4"/>
      <w:r>
        <w:rPr>
          <w:rStyle w:val="Heading11"/>
          <w:b/>
          <w:bCs/>
        </w:rPr>
        <w:t>Umożliwienie wykonywania członkom etatowym zawodu radcy prawnego</w:t>
      </w:r>
      <w:bookmarkEnd w:id="3"/>
    </w:p>
    <w:p w:rsidR="000339D2" w:rsidRDefault="000D454D">
      <w:pPr>
        <w:pStyle w:val="Bodytext10"/>
        <w:spacing w:after="160" w:line="293" w:lineRule="auto"/>
        <w:ind w:firstLine="720"/>
        <w:jc w:val="both"/>
      </w:pPr>
      <w:r>
        <w:rPr>
          <w:rStyle w:val="Bodytext1"/>
        </w:rPr>
        <w:t xml:space="preserve">Kolejnym elementem wpływającym negatywnie na sytuację w samorządowych kolegiach odwoławczych w miastach wojewódzkich są ograniczenia związane z możliwością wykonywania zawodu zaufania publicznego radcy prawnego przez </w:t>
      </w:r>
      <w:r>
        <w:rPr>
          <w:rStyle w:val="Bodytext1"/>
          <w:b/>
          <w:bCs/>
          <w:sz w:val="22"/>
          <w:szCs w:val="22"/>
        </w:rPr>
        <w:t xml:space="preserve">etatowego </w:t>
      </w:r>
      <w:r>
        <w:rPr>
          <w:rStyle w:val="Bodytext1"/>
        </w:rPr>
        <w:t>członka kolegium.</w:t>
      </w:r>
    </w:p>
    <w:p w:rsidR="000339D2" w:rsidRDefault="000D454D">
      <w:pPr>
        <w:pStyle w:val="Bodytext10"/>
        <w:spacing w:after="160"/>
        <w:ind w:firstLine="720"/>
        <w:jc w:val="both"/>
      </w:pPr>
      <w:r>
        <w:rPr>
          <w:rStyle w:val="Bodytext1"/>
        </w:rPr>
        <w:t>Zgodnie z ustawą z dnia 6 kwietnia 1990 o zmianie ustawy o działalności gospodarczej radcowie prawni zyskali możliwość prowadzenia obsługi prawnej podmiotów gospodarczych w zakresie ich działalności gospodarczej co dało im możliwość tworzenia kancelarii lub spółek z udziałem przedstawicieli wolnych zawodów. Ta sama ustawa równocześnie stanęła na stanowisku, że pomoc prawna wykonywana przez przedstawicieli obu samorządów stanowi działalność gospodarczą.</w:t>
      </w:r>
    </w:p>
    <w:p w:rsidR="000339D2" w:rsidRDefault="000D454D">
      <w:pPr>
        <w:pStyle w:val="Bodytext10"/>
        <w:spacing w:after="160" w:line="290" w:lineRule="auto"/>
        <w:ind w:firstLine="720"/>
        <w:jc w:val="both"/>
        <w:rPr>
          <w:sz w:val="22"/>
          <w:szCs w:val="22"/>
        </w:rPr>
      </w:pPr>
      <w:r>
        <w:rPr>
          <w:rStyle w:val="Bodytext1"/>
        </w:rPr>
        <w:t xml:space="preserve">W 1997 nastąpił odwrót od tej tendencji. Radcowie i adwokaci w skutek zniesienia </w:t>
      </w:r>
      <w:r>
        <w:rPr>
          <w:rStyle w:val="Bodytext1"/>
          <w:lang w:val="en-US" w:eastAsia="en-US" w:bidi="en-US"/>
        </w:rPr>
        <w:t xml:space="preserve">art. </w:t>
      </w:r>
      <w:r>
        <w:rPr>
          <w:rStyle w:val="Bodytext1"/>
        </w:rPr>
        <w:t xml:space="preserve">24 wspomnianej ustawy przestali być traktowani jako przedsiębiorcy, a do ich działalności odnosiły się jedynie przepisy szczegółowe - regulujące wykonywanie ich profesji. Stan taki potwierdziła jeszcze ustawa z dnia 19 listopada 1999 Prawo działalności gospodarczej, która wprost stwierdzała: </w:t>
      </w:r>
      <w:r>
        <w:rPr>
          <w:rStyle w:val="Bodytext1"/>
          <w:b/>
          <w:bCs/>
          <w:sz w:val="22"/>
          <w:szCs w:val="22"/>
        </w:rPr>
        <w:t>„świadczący pomoc prawną nie jest przedsiębiorcą w rozumieniu przepisów niniejszej ustawy".</w:t>
      </w:r>
    </w:p>
    <w:p w:rsidR="000339D2" w:rsidRDefault="000D454D">
      <w:pPr>
        <w:pStyle w:val="Bodytext10"/>
        <w:spacing w:after="160"/>
        <w:ind w:firstLine="720"/>
        <w:jc w:val="both"/>
      </w:pPr>
      <w:r>
        <w:rPr>
          <w:rStyle w:val="Bodytext1"/>
        </w:rPr>
        <w:t xml:space="preserve">W tym samym okresie uchwalono ustawę z dnia 21 sierpnia 1997 r. - o ograniczeniu prowadzenia działalności gospodarczej przez osoby pełniące funkcje publiczne, w której wprowadzono zakaz prowadzenia działalności gospodarczej dla etatowych członków samorządowego kolegium odwoławczego. W chwili wejścia w życie przedmiotowego zakazu - etatowy członek kolegium będący radcą prawnym mógł jednak wykonywać zawód w formie kancelarii lub być wspólnikiem takiej kancelarii, a zatem zakaz ten go nie dotyczył. Co więcej ustawa o samorządowych kolegiach odwoławczych </w:t>
      </w:r>
      <w:r>
        <w:rPr>
          <w:rStyle w:val="Bodytext1"/>
          <w:b/>
          <w:bCs/>
          <w:sz w:val="22"/>
          <w:szCs w:val="22"/>
        </w:rPr>
        <w:t xml:space="preserve">zawiera </w:t>
      </w:r>
      <w:r>
        <w:rPr>
          <w:rStyle w:val="Bodytext1"/>
        </w:rPr>
        <w:t xml:space="preserve">odpowiednie zabezpieczenia wykluczające konflikt interesów w ramach działalności orzeczniczej członka kolegium wykonującego jednocześnie zawód radcy prawnego w formie kancelarii </w:t>
      </w:r>
      <w:r>
        <w:rPr>
          <w:rStyle w:val="Bodytext1"/>
          <w:lang w:val="en-US" w:eastAsia="en-US" w:bidi="en-US"/>
        </w:rPr>
        <w:t xml:space="preserve">(art. </w:t>
      </w:r>
      <w:r>
        <w:rPr>
          <w:rStyle w:val="Bodytext1"/>
        </w:rPr>
        <w:t>18a ustawy o samorządowych kolegiach odwoławczych).</w:t>
      </w:r>
    </w:p>
    <w:p w:rsidR="000339D2" w:rsidRDefault="000D454D">
      <w:pPr>
        <w:pStyle w:val="Bodytext10"/>
        <w:spacing w:after="160"/>
        <w:ind w:firstLine="720"/>
        <w:jc w:val="both"/>
      </w:pPr>
      <w:r>
        <w:rPr>
          <w:rStyle w:val="Bodytext1"/>
        </w:rPr>
        <w:t>Powiązanie statusu przedsiębiorcy z świadczeniem pomocy prawnej radcy prawnego nastąpiło dopiero w dniu wejścia życie.</w:t>
      </w:r>
    </w:p>
    <w:p w:rsidR="000339D2" w:rsidRDefault="000D454D">
      <w:pPr>
        <w:pStyle w:val="Bodytext10"/>
        <w:spacing w:after="160" w:line="298" w:lineRule="auto"/>
        <w:ind w:firstLine="720"/>
        <w:jc w:val="both"/>
      </w:pPr>
      <w:r>
        <w:rPr>
          <w:rStyle w:val="Bodytext1"/>
        </w:rPr>
        <w:t>W tym wypadku może dojść do sytuacji, gdy taka sama rodzajowo (merytorycznie) działalność (świadczenie usług prawnych, świadczenie pomocy prawnej, obsługa prawna) będzie z jednej strony traktowana jako działalność gospodarcza prowadzona przez przedsiębiorcę w rozumieniu Prawa działalności gospodarczej, a z strony taką działalnością nie będzie.</w:t>
      </w:r>
    </w:p>
    <w:p w:rsidR="000339D2" w:rsidRDefault="000D454D">
      <w:pPr>
        <w:pStyle w:val="Bodytext10"/>
        <w:spacing w:after="160"/>
        <w:ind w:firstLine="720"/>
        <w:jc w:val="both"/>
      </w:pPr>
      <w:r>
        <w:rPr>
          <w:rStyle w:val="Bodytext1"/>
        </w:rPr>
        <w:t>Ocenę charakteru działalności usługowej radcy prawnego; jest to działalność zawodowa (profesjonalna), samodzielna, prowadzona w celach zarobkowych na własny rachunek, która może i</w:t>
      </w:r>
      <w:r w:rsidR="008C4D4E">
        <w:rPr>
          <w:rStyle w:val="Bodytext1"/>
        </w:rPr>
        <w:t> </w:t>
      </w:r>
      <w:r>
        <w:rPr>
          <w:rStyle w:val="Bodytext1"/>
        </w:rPr>
        <w:t>powinna być traktowana jako działalność gospodarcza.</w:t>
      </w:r>
      <w:r>
        <w:br w:type="page"/>
      </w:r>
    </w:p>
    <w:p w:rsidR="000339D2" w:rsidRDefault="000D454D">
      <w:pPr>
        <w:pStyle w:val="Bodytext10"/>
        <w:spacing w:line="305" w:lineRule="auto"/>
        <w:ind w:firstLine="720"/>
        <w:jc w:val="both"/>
      </w:pPr>
      <w:r>
        <w:rPr>
          <w:rStyle w:val="Bodytext1"/>
        </w:rPr>
        <w:lastRenderedPageBreak/>
        <w:t>Nie ulega wątpliwości, że w świetle regulacji Kodeksu cywilnego przedsiębiorcami są również osoby wykonujące wolne zawody, czyli osoby świadczące pomoc prawną. Według Kodeksu cywilnego przedsiębiorcami są osoby wykonujące wolne zawody, choćby nie podlegały rejestracji czy to w ewidencji osób prowadzących działalność gospodarczą, czy innym rejestrze gospodarczym.</w:t>
      </w:r>
    </w:p>
    <w:p w:rsidR="000339D2" w:rsidRDefault="000D454D">
      <w:pPr>
        <w:pStyle w:val="Bodytext10"/>
        <w:spacing w:line="302" w:lineRule="auto"/>
        <w:ind w:firstLine="720"/>
        <w:jc w:val="both"/>
      </w:pPr>
      <w:r>
        <w:rPr>
          <w:rStyle w:val="Bodytext1"/>
        </w:rPr>
        <w:t xml:space="preserve">Działalność radcy prawnego polegająca na świadczeniu pomocy prawnej, mimo że radca ten nie jest uznawany za przedsiębiorcę w rozumieniu przepisów Prawa działalności gospodarczej i nie stosuje się do niego tych przepisów (bo podlega on bezpośrednio regulacji wynikającej z ustawy z dnia 6 </w:t>
      </w:r>
      <w:r w:rsidR="008C4D4E">
        <w:rPr>
          <w:rStyle w:val="Bodytext1"/>
        </w:rPr>
        <w:t>lipca</w:t>
      </w:r>
      <w:r>
        <w:rPr>
          <w:rStyle w:val="Bodytext1"/>
        </w:rPr>
        <w:t xml:space="preserve"> 1982 r. o radcach prawnych), bez wątpienia jest działalnością gospodarczą wykonywaną w celach zarobkowych i na własny rachunek.</w:t>
      </w:r>
    </w:p>
    <w:p w:rsidR="000339D2" w:rsidRDefault="000D454D">
      <w:pPr>
        <w:pStyle w:val="Bodytext10"/>
        <w:spacing w:line="302" w:lineRule="auto"/>
        <w:ind w:firstLine="720"/>
        <w:jc w:val="both"/>
      </w:pPr>
      <w:r>
        <w:rPr>
          <w:rStyle w:val="Bodytext1"/>
        </w:rPr>
        <w:t xml:space="preserve">W myśl </w:t>
      </w:r>
      <w:r>
        <w:rPr>
          <w:rStyle w:val="Bodytext1"/>
          <w:lang w:val="en-US" w:eastAsia="en-US" w:bidi="en-US"/>
        </w:rPr>
        <w:t xml:space="preserve">art. </w:t>
      </w:r>
      <w:r>
        <w:rPr>
          <w:rStyle w:val="Bodytext1"/>
        </w:rPr>
        <w:t xml:space="preserve">5b ust. 1 ustawy o podatku dochodowym od osób fizycznych, za pozarolniczą działalność gospodarczą </w:t>
      </w:r>
      <w:r>
        <w:rPr>
          <w:rStyle w:val="Bodytext1"/>
          <w:b/>
          <w:bCs/>
          <w:sz w:val="22"/>
          <w:szCs w:val="22"/>
        </w:rPr>
        <w:t xml:space="preserve">nie uznaje się czynności, </w:t>
      </w:r>
      <w:r>
        <w:rPr>
          <w:rStyle w:val="Bodytext1"/>
        </w:rPr>
        <w:t>jeżeli łącznie spełnione są następujące warunki:</w:t>
      </w:r>
    </w:p>
    <w:p w:rsidR="000339D2" w:rsidRDefault="000D454D">
      <w:pPr>
        <w:pStyle w:val="Bodytext10"/>
        <w:numPr>
          <w:ilvl w:val="0"/>
          <w:numId w:val="3"/>
        </w:numPr>
        <w:tabs>
          <w:tab w:val="left" w:pos="724"/>
        </w:tabs>
        <w:spacing w:after="0" w:line="302" w:lineRule="auto"/>
        <w:ind w:left="700" w:hanging="320"/>
        <w:jc w:val="both"/>
      </w:pPr>
      <w:r>
        <w:rPr>
          <w:rStyle w:val="Bodytext1"/>
        </w:rPr>
        <w:t>odpowiedzialność wobec osób trzecich za rezultat tych czynności oraz ich wykonywanie, z</w:t>
      </w:r>
      <w:r w:rsidR="008C4D4E">
        <w:rPr>
          <w:rStyle w:val="Bodytext1"/>
        </w:rPr>
        <w:t> </w:t>
      </w:r>
      <w:r>
        <w:rPr>
          <w:rStyle w:val="Bodytext1"/>
        </w:rPr>
        <w:t>wyłączeniem odpowiedzialności za popełnienie czynów niedozwolonych, ponosi zlecający wykonanie tych czynności,</w:t>
      </w:r>
    </w:p>
    <w:p w:rsidR="000339D2" w:rsidRDefault="000D454D">
      <w:pPr>
        <w:pStyle w:val="Bodytext10"/>
        <w:numPr>
          <w:ilvl w:val="0"/>
          <w:numId w:val="3"/>
        </w:numPr>
        <w:tabs>
          <w:tab w:val="left" w:pos="724"/>
        </w:tabs>
        <w:spacing w:after="0" w:line="302" w:lineRule="auto"/>
        <w:ind w:left="700" w:hanging="320"/>
        <w:jc w:val="both"/>
      </w:pPr>
      <w:r>
        <w:rPr>
          <w:rStyle w:val="Bodytext1"/>
        </w:rPr>
        <w:t>są one wykonywane pod kierownictwem oraz w miejscu i czasie wyznaczonych przez zlecającego te czynności,</w:t>
      </w:r>
    </w:p>
    <w:p w:rsidR="000339D2" w:rsidRDefault="000D454D">
      <w:pPr>
        <w:pStyle w:val="Bodytext10"/>
        <w:numPr>
          <w:ilvl w:val="0"/>
          <w:numId w:val="3"/>
        </w:numPr>
        <w:tabs>
          <w:tab w:val="left" w:pos="724"/>
        </w:tabs>
        <w:spacing w:line="302" w:lineRule="auto"/>
        <w:ind w:left="700" w:hanging="320"/>
        <w:jc w:val="both"/>
      </w:pPr>
      <w:r>
        <w:rPr>
          <w:rStyle w:val="Bodytext1"/>
        </w:rPr>
        <w:t>wykonujący te czynności nie ponosi ryzyka gospodarczego związanego z prowadzoną działalnością.</w:t>
      </w:r>
    </w:p>
    <w:p w:rsidR="000339D2" w:rsidRDefault="000D454D">
      <w:pPr>
        <w:pStyle w:val="Bodytext10"/>
        <w:ind w:firstLine="720"/>
        <w:jc w:val="both"/>
      </w:pPr>
      <w:r>
        <w:rPr>
          <w:rStyle w:val="Bodytext1"/>
        </w:rPr>
        <w:t xml:space="preserve">Dla stwierdzenia, że podatnik nie wykonuje pozarolniczej działalności gospodarczej w rozumieniu ww. ustawy konieczne jest zatem wystąpienie łącznie wszystkich przesłanek określonych w </w:t>
      </w:r>
      <w:r>
        <w:rPr>
          <w:rStyle w:val="Bodytext1"/>
          <w:lang w:val="en-US" w:eastAsia="en-US" w:bidi="en-US"/>
        </w:rPr>
        <w:t xml:space="preserve">art. </w:t>
      </w:r>
      <w:r>
        <w:rPr>
          <w:rStyle w:val="Bodytext1"/>
        </w:rPr>
        <w:t>5b ust. 1-3. Zatem niespełnienie chociażby jednej z-nich-powoduje,</w:t>
      </w:r>
      <w:r w:rsidR="008C4D4E">
        <w:rPr>
          <w:rStyle w:val="Bodytext1"/>
        </w:rPr>
        <w:t xml:space="preserve"> </w:t>
      </w:r>
      <w:r>
        <w:rPr>
          <w:rStyle w:val="Bodytext1"/>
        </w:rPr>
        <w:t>iż wykonywane czynności należy uznać za</w:t>
      </w:r>
      <w:r w:rsidR="008C4D4E">
        <w:rPr>
          <w:rStyle w:val="Bodytext1"/>
        </w:rPr>
        <w:t> </w:t>
      </w:r>
      <w:r>
        <w:rPr>
          <w:rStyle w:val="Bodytext1"/>
        </w:rPr>
        <w:t>działalność gospodarczą. Na podkreślenie zasługuje także fakt, iż wykonywanie zawodu radcy prawnego jest nieodłącznie związane z osobistą odpowiedzialnością (dyscyplinarną, cywilną).</w:t>
      </w:r>
    </w:p>
    <w:p w:rsidR="000339D2" w:rsidRDefault="000D454D">
      <w:pPr>
        <w:pStyle w:val="Bodytext10"/>
        <w:spacing w:line="302" w:lineRule="auto"/>
        <w:ind w:firstLine="720"/>
        <w:jc w:val="both"/>
      </w:pPr>
      <w:r>
        <w:rPr>
          <w:rStyle w:val="Bodytext1"/>
        </w:rPr>
        <w:t>Dochodzi zatem do sytuacji, iż świadczenie pomocy prawnej przez radcę prawnego będącego członkiem etatowym kolegium - może zostać uznane w świetle ww. przepisów za prowadzenie działalności gospodarczej.</w:t>
      </w:r>
    </w:p>
    <w:p w:rsidR="000339D2" w:rsidRDefault="000D454D">
      <w:pPr>
        <w:pStyle w:val="Bodytext10"/>
        <w:spacing w:line="290" w:lineRule="auto"/>
        <w:ind w:firstLine="720"/>
        <w:jc w:val="both"/>
      </w:pPr>
      <w:r>
        <w:rPr>
          <w:rStyle w:val="Bodytext1"/>
        </w:rPr>
        <w:t xml:space="preserve">Przedmiotowa sytuacja jest o tyle kuriozalna, że zakaz prowadzenia działalności gospodarczej </w:t>
      </w:r>
      <w:r>
        <w:rPr>
          <w:rStyle w:val="Bodytext1"/>
          <w:b/>
          <w:bCs/>
          <w:sz w:val="22"/>
          <w:szCs w:val="22"/>
        </w:rPr>
        <w:t xml:space="preserve">nie dotyczy członków pozaetatowych samorządowych kolegiów odwoławczych, </w:t>
      </w:r>
      <w:r>
        <w:rPr>
          <w:rStyle w:val="Bodytext1"/>
        </w:rPr>
        <w:t>których liczba jest podobna jak członków etatowych.</w:t>
      </w:r>
    </w:p>
    <w:p w:rsidR="000339D2" w:rsidRDefault="000D454D">
      <w:pPr>
        <w:pStyle w:val="Bodytext10"/>
        <w:spacing w:line="283" w:lineRule="auto"/>
        <w:ind w:firstLine="720"/>
        <w:jc w:val="both"/>
        <w:rPr>
          <w:sz w:val="22"/>
          <w:szCs w:val="22"/>
        </w:rPr>
      </w:pPr>
      <w:r>
        <w:rPr>
          <w:rStyle w:val="Bodytext1"/>
          <w:b/>
          <w:bCs/>
          <w:sz w:val="22"/>
          <w:szCs w:val="22"/>
        </w:rPr>
        <w:t xml:space="preserve">Tym samym dochodzi do nierównego traktowania osób wykonujących takie same funkcje publiczne. </w:t>
      </w:r>
      <w:r>
        <w:rPr>
          <w:rStyle w:val="Bodytext1"/>
        </w:rPr>
        <w:t>Zdarza się bowiem, iż w trzyosobowym składzie orzekającym</w:t>
      </w:r>
      <w:r>
        <w:rPr>
          <w:rStyle w:val="Bodytext1"/>
          <w:vertAlign w:val="superscript"/>
        </w:rPr>
        <w:footnoteReference w:id="4"/>
      </w:r>
      <w:r>
        <w:rPr>
          <w:rStyle w:val="Bodytext1"/>
          <w:vertAlign w:val="superscript"/>
        </w:rPr>
        <w:t xml:space="preserve"> </w:t>
      </w:r>
      <w:r>
        <w:rPr>
          <w:rStyle w:val="Bodytext1"/>
        </w:rPr>
        <w:t xml:space="preserve">znajduje się dwóch członków pozaetatowych, którzy podczas posiedzenia przed wydaniem decyzji mogą przegłosować członka etatowego w zakresie rozstrzygnięcia. </w:t>
      </w:r>
      <w:r>
        <w:rPr>
          <w:rStyle w:val="Bodytext1"/>
          <w:b/>
          <w:bCs/>
          <w:sz w:val="22"/>
          <w:szCs w:val="22"/>
        </w:rPr>
        <w:t>Ograniczenie to zatem w ogóle nie spełnia swojej funkcji, a prowadzi do dyskryminacji członków etatowych.</w:t>
      </w:r>
    </w:p>
    <w:p w:rsidR="000339D2" w:rsidRDefault="000D454D">
      <w:pPr>
        <w:pStyle w:val="Bodytext10"/>
        <w:spacing w:line="293" w:lineRule="auto"/>
        <w:ind w:firstLine="720"/>
        <w:jc w:val="both"/>
      </w:pPr>
      <w:r>
        <w:rPr>
          <w:rStyle w:val="Bodytext1"/>
        </w:rPr>
        <w:t>Ograniczenie to jest również nieproporcjonalne, gdyż nadmiernie ingeruje konstytucyjne w prawo do wykonywania zawodu zaufania publicznego jakim jest zawód radcy</w:t>
      </w:r>
      <w:r>
        <w:rPr>
          <w:rStyle w:val="Bodytext1"/>
        </w:rPr>
        <w:br w:type="page"/>
      </w:r>
      <w:r>
        <w:rPr>
          <w:rStyle w:val="Bodytext1"/>
        </w:rPr>
        <w:lastRenderedPageBreak/>
        <w:t>prawnego, przy istnieniu jednocześnie innych instrumentów umożliwiających usunięcie kolizji z</w:t>
      </w:r>
      <w:r w:rsidR="008C4D4E">
        <w:rPr>
          <w:rStyle w:val="Bodytext1"/>
        </w:rPr>
        <w:t> </w:t>
      </w:r>
      <w:r>
        <w:rPr>
          <w:rStyle w:val="Bodytext1"/>
        </w:rPr>
        <w:t xml:space="preserve">wykonywanym zawodem oraz funkcją członka etatowego samorządowego kolegium odwoławczego (por. </w:t>
      </w:r>
      <w:r>
        <w:rPr>
          <w:rStyle w:val="Bodytext1"/>
          <w:lang w:val="en-US" w:eastAsia="en-US" w:bidi="en-US"/>
        </w:rPr>
        <w:t xml:space="preserve">art. 18a </w:t>
      </w:r>
      <w:r>
        <w:rPr>
          <w:rStyle w:val="Bodytext1"/>
        </w:rPr>
        <w:t>ustawy o samorządowych kolegiach odwoławczych).</w:t>
      </w:r>
    </w:p>
    <w:p w:rsidR="000339D2" w:rsidRDefault="000D454D">
      <w:pPr>
        <w:pStyle w:val="Bodytext10"/>
        <w:ind w:firstLine="720"/>
        <w:jc w:val="both"/>
      </w:pPr>
      <w:r>
        <w:rPr>
          <w:rStyle w:val="Bodytext1"/>
        </w:rPr>
        <w:t>W wyroku z dnia 18 lutego 2004 r.</w:t>
      </w:r>
      <w:r>
        <w:rPr>
          <w:rStyle w:val="Bodytext1"/>
          <w:vertAlign w:val="superscript"/>
        </w:rPr>
        <w:footnoteReference w:id="5"/>
      </w:r>
      <w:r>
        <w:rPr>
          <w:rStyle w:val="Bodytext1"/>
        </w:rPr>
        <w:t xml:space="preserve"> Trybunał Konstytucyjny uznał, że „zawody zaufania publicznego" wykonywane są - zgodnie z ich konstytucyjnym określeniem - w sposób założony i</w:t>
      </w:r>
      <w:r w:rsidR="008C4D4E">
        <w:rPr>
          <w:rStyle w:val="Bodytext1"/>
        </w:rPr>
        <w:t> </w:t>
      </w:r>
      <w:r>
        <w:rPr>
          <w:rStyle w:val="Bodytext1"/>
        </w:rPr>
        <w:t>społecznie aprobowany, o ile ich wykonywaniu towarzyszy realne „zaufanie publiczne". Na zaufanie to</w:t>
      </w:r>
      <w:r w:rsidR="008C4D4E">
        <w:rPr>
          <w:rStyle w:val="Bodytext1"/>
        </w:rPr>
        <w:t> </w:t>
      </w:r>
      <w:r>
        <w:rPr>
          <w:rStyle w:val="Bodytext1"/>
        </w:rPr>
        <w:t>składa się szereg czynników, wśród których na pierwszy plan wysuwają się: przekonanie o zachowaniu przez wykonującego ten zawód dobrej woli, właściwych motywacji, należytej staranności zawodowej oraz wiara w przestrzeganie wartości istotnych dla profilu danego zawodu.</w:t>
      </w:r>
    </w:p>
    <w:p w:rsidR="000339D2" w:rsidRDefault="000D454D">
      <w:pPr>
        <w:pStyle w:val="Bodytext10"/>
        <w:ind w:firstLine="720"/>
        <w:jc w:val="both"/>
      </w:pPr>
      <w:r>
        <w:rPr>
          <w:rStyle w:val="Bodytext1"/>
        </w:rPr>
        <w:t>Koncentrując się z kolei na kwestii dopuszczalności prowadzenia działalności gospodarczej przez radców prawnych zatrudnionych w strukturach administracji publicznej w oparciu o reguły wykładni systemowej, należy zwrócić uwagę na dwojaki charakter wolności działalności gospodarczej. Po</w:t>
      </w:r>
      <w:r w:rsidR="008C4D4E">
        <w:rPr>
          <w:rStyle w:val="Bodytext1"/>
        </w:rPr>
        <w:t> </w:t>
      </w:r>
      <w:r>
        <w:rPr>
          <w:rStyle w:val="Bodytext1"/>
        </w:rPr>
        <w:t xml:space="preserve">pierwsze, jest ona konstytucyjną zasadą ustrojową, stanowiącą jeden z fundamentów społecznej gospodarki rynkowej, na której - zgodnie z </w:t>
      </w:r>
      <w:r>
        <w:rPr>
          <w:rStyle w:val="Bodytext1"/>
          <w:lang w:val="en-US" w:eastAsia="en-US" w:bidi="en-US"/>
        </w:rPr>
        <w:t xml:space="preserve">art. </w:t>
      </w:r>
      <w:r>
        <w:rPr>
          <w:rStyle w:val="Bodytext1"/>
        </w:rPr>
        <w:t>20 Konstytucji - opiera się ustrój gospodarczy Rzeczypospolitej Polskiej.</w:t>
      </w:r>
    </w:p>
    <w:p w:rsidR="000339D2" w:rsidRDefault="000D454D">
      <w:pPr>
        <w:pStyle w:val="Bodytext10"/>
        <w:ind w:firstLine="720"/>
        <w:jc w:val="both"/>
      </w:pPr>
      <w:r>
        <w:rPr>
          <w:rStyle w:val="Bodytext1"/>
        </w:rPr>
        <w:t xml:space="preserve">Po drugie, jest również prawem podmiotowym jednostki, a wszelkie jej ograniczenia dopuszczalne są tylko w drodze ustawy i tylko ze względu na ważny interes publiczny </w:t>
      </w:r>
      <w:r>
        <w:rPr>
          <w:rStyle w:val="Bodytext1"/>
          <w:lang w:val="en-US" w:eastAsia="en-US" w:bidi="en-US"/>
        </w:rPr>
        <w:t xml:space="preserve">(art. </w:t>
      </w:r>
      <w:r>
        <w:rPr>
          <w:rStyle w:val="Bodytext1"/>
        </w:rPr>
        <w:t>22 Konstytucji). Ustawodawca nie ma jednak pełnej swobody w kwestii decydowania o sposobie i zakresie owych ograniczeń. Odwołując się do utrwalonego stanowiska Trybunału Konstytucyjnego wskazać należy, że</w:t>
      </w:r>
      <w:r w:rsidR="008C4D4E">
        <w:rPr>
          <w:rStyle w:val="Bodytext1"/>
        </w:rPr>
        <w:t> </w:t>
      </w:r>
      <w:r>
        <w:rPr>
          <w:rStyle w:val="Bodytext1"/>
        </w:rPr>
        <w:t>ustawodawca nie może ustanawiać ograniczeń przekraczających pewien stopień uciążliwości, a</w:t>
      </w:r>
      <w:r w:rsidR="008C4D4E">
        <w:rPr>
          <w:rStyle w:val="Bodytext1"/>
        </w:rPr>
        <w:t> </w:t>
      </w:r>
      <w:r>
        <w:rPr>
          <w:rStyle w:val="Bodytext1"/>
        </w:rPr>
        <w:t xml:space="preserve">zwłaszcza zaburzających proporcje pomiędzy stopniem naruszenia uprawnień jednostki ą rangą interesu publicznego, który ma w ten sposób podlegać ochronie84. Z kolei w procesie stosowania prawa, z zasady wolności działalności gospodarczej wynika powinność rozstrzygania problemów kolizyjnych pomiędzy normami ustawowymi oraz dokonywania wykładni ich przepisów na rzecz tej zasady, zgodnie z formułą </w:t>
      </w:r>
      <w:r>
        <w:rPr>
          <w:rStyle w:val="Bodytext1"/>
          <w:i/>
          <w:iCs/>
          <w:lang w:val="en-US" w:eastAsia="en-US" w:bidi="en-US"/>
        </w:rPr>
        <w:t xml:space="preserve">in </w:t>
      </w:r>
      <w:r>
        <w:rPr>
          <w:rStyle w:val="Bodytext1"/>
          <w:i/>
          <w:iCs/>
        </w:rPr>
        <w:t xml:space="preserve">dubio pro </w:t>
      </w:r>
      <w:proofErr w:type="spellStart"/>
      <w:r w:rsidR="008C4D4E">
        <w:rPr>
          <w:rStyle w:val="Bodytext1"/>
          <w:i/>
          <w:iCs/>
        </w:rPr>
        <w:t>li</w:t>
      </w:r>
      <w:r>
        <w:rPr>
          <w:rStyle w:val="Bodytext1"/>
          <w:i/>
          <w:iCs/>
        </w:rPr>
        <w:t>bertate</w:t>
      </w:r>
      <w:proofErr w:type="spellEnd"/>
      <w:r>
        <w:rPr>
          <w:rStyle w:val="Bodytext1"/>
          <w:i/>
          <w:iCs/>
        </w:rPr>
        <w:t>.</w:t>
      </w:r>
    </w:p>
    <w:p w:rsidR="000339D2" w:rsidRDefault="000D454D">
      <w:pPr>
        <w:pStyle w:val="Bodytext10"/>
        <w:spacing w:line="298" w:lineRule="auto"/>
        <w:ind w:firstLine="720"/>
        <w:jc w:val="both"/>
      </w:pPr>
      <w:r>
        <w:rPr>
          <w:rStyle w:val="Bodytext1"/>
        </w:rPr>
        <w:t xml:space="preserve">Jednoznacznemu rozstrzygnięciu problemu relacji pomiędzy </w:t>
      </w:r>
      <w:r>
        <w:rPr>
          <w:rStyle w:val="Bodytext1"/>
          <w:lang w:val="en-US" w:eastAsia="en-US" w:bidi="en-US"/>
        </w:rPr>
        <w:t xml:space="preserve">art. </w:t>
      </w:r>
      <w:r>
        <w:rPr>
          <w:rStyle w:val="Bodytext1"/>
        </w:rPr>
        <w:t xml:space="preserve">17 ustawy o radcach prawnych a wskazanymi przepisami ustaw służy również odwołanie się </w:t>
      </w:r>
      <w:r>
        <w:rPr>
          <w:rStyle w:val="Bodytext1"/>
          <w:lang w:val="en-US" w:eastAsia="en-US" w:bidi="en-US"/>
        </w:rPr>
        <w:t xml:space="preserve">do art. </w:t>
      </w:r>
      <w:r>
        <w:rPr>
          <w:rStyle w:val="Bodytext1"/>
        </w:rPr>
        <w:t>31 ust. 3 Konstytucji i wyrażonej w</w:t>
      </w:r>
      <w:r w:rsidR="008C4D4E">
        <w:rPr>
          <w:rStyle w:val="Bodytext1"/>
        </w:rPr>
        <w:t> </w:t>
      </w:r>
      <w:r>
        <w:rPr>
          <w:rStyle w:val="Bodytext1"/>
        </w:rPr>
        <w:t>nim zasady proporcjonalności, zgodnie z którą ograniczenia w zakresie korzystania z konstytucyjnych wolności i praw mogą być ustanawiane tylko w ustawie i tylko wtedy, gdy są konieczne w demokratycznym państwie dla jego bezpieczeństwa lub porządku publicznego, bądź dla ochrony środowiska, zdrowia i</w:t>
      </w:r>
      <w:r w:rsidR="008C4D4E">
        <w:rPr>
          <w:rStyle w:val="Bodytext1"/>
        </w:rPr>
        <w:t> </w:t>
      </w:r>
      <w:r>
        <w:rPr>
          <w:rStyle w:val="Bodytext1"/>
        </w:rPr>
        <w:t xml:space="preserve">moralności publicznej, albo wolności i praw innych osób. Ograniczenia te nie mogą naruszać istoty wolności i praw. Jak już zostało uprzednio podniesione, istota prawa radcy prawnego do wykonywania zawodu wyrażona jest w przepisach ustawy o radcach prawnych. Jej </w:t>
      </w:r>
      <w:r>
        <w:rPr>
          <w:rStyle w:val="Bodytext1"/>
          <w:lang w:val="en-US" w:eastAsia="en-US" w:bidi="en-US"/>
        </w:rPr>
        <w:t xml:space="preserve">art. </w:t>
      </w:r>
      <w:r>
        <w:rPr>
          <w:rStyle w:val="Bodytext1"/>
        </w:rPr>
        <w:t>4 stanowi, że wykonywanie zawodu radcy prawnego polega na świadczeniu pomocy prawnej.</w:t>
      </w:r>
    </w:p>
    <w:p w:rsidR="000339D2" w:rsidRDefault="000D454D">
      <w:pPr>
        <w:pStyle w:val="Bodytext10"/>
        <w:spacing w:line="317" w:lineRule="auto"/>
        <w:ind w:firstLine="720"/>
        <w:jc w:val="both"/>
      </w:pPr>
      <w:r>
        <w:rPr>
          <w:rStyle w:val="Bodytext1"/>
        </w:rPr>
        <w:t xml:space="preserve">Zgodnie z </w:t>
      </w:r>
      <w:r>
        <w:rPr>
          <w:rStyle w:val="Bodytext1"/>
          <w:lang w:val="en-US" w:eastAsia="en-US" w:bidi="en-US"/>
        </w:rPr>
        <w:t xml:space="preserve">art. </w:t>
      </w:r>
      <w:r>
        <w:rPr>
          <w:rStyle w:val="Bodytext1"/>
        </w:rPr>
        <w:t xml:space="preserve">6 ust. 1 ustawy o radcach prawnych świadczenie to obejmuje szereg </w:t>
      </w:r>
      <w:proofErr w:type="spellStart"/>
      <w:r>
        <w:rPr>
          <w:rStyle w:val="Bodytext1"/>
        </w:rPr>
        <w:t>zachowań</w:t>
      </w:r>
      <w:proofErr w:type="spellEnd"/>
      <w:r>
        <w:rPr>
          <w:rStyle w:val="Bodytext1"/>
        </w:rPr>
        <w:t>, które nie wykluczają się wzajemnie, tj. udzielanie porad i konsultacji prawnych, sporządzanie opinii prawnych, opracowywanie projektów aktów prawnych oraz występowanie przed urzędami i sądami w</w:t>
      </w:r>
      <w:r w:rsidR="008C4D4E">
        <w:rPr>
          <w:rStyle w:val="Bodytext1"/>
        </w:rPr>
        <w:t> </w:t>
      </w:r>
      <w:r>
        <w:rPr>
          <w:rStyle w:val="Bodytext1"/>
        </w:rPr>
        <w:t>charakterze pełnomocnika lub obrońcy. Bynajmniej nie oznacza to, że w okresie, w którym, np. sporządza opinię prawną dla osoby fizycznej, osoby prawnej lub jednostki organizacyjnej, radca prawny traci możliwość świadczenia pomocy prawnej na rzecz</w:t>
      </w:r>
      <w:r>
        <w:rPr>
          <w:rStyle w:val="Bodytext1"/>
        </w:rPr>
        <w:br w:type="page"/>
      </w:r>
      <w:r>
        <w:rPr>
          <w:rStyle w:val="Bodytext1"/>
        </w:rPr>
        <w:lastRenderedPageBreak/>
        <w:t>innych podmiotów, o ile nie będzie to prowadzić do konfliktu interesów. Jest to tym bardziej oczywiste, że</w:t>
      </w:r>
      <w:r w:rsidR="008C4D4E">
        <w:rPr>
          <w:rStyle w:val="Bodytext1"/>
        </w:rPr>
        <w:t> </w:t>
      </w:r>
      <w:r>
        <w:rPr>
          <w:rStyle w:val="Bodytext1"/>
        </w:rPr>
        <w:t xml:space="preserve">ustawa o radcach prawnych obliguje radcę do udzielania pomocy prawnej, której może on odmówić wyłącznie z ważnych powodów </w:t>
      </w:r>
      <w:r>
        <w:rPr>
          <w:rStyle w:val="Bodytext1"/>
          <w:lang w:val="en-US" w:eastAsia="en-US" w:bidi="en-US"/>
        </w:rPr>
        <w:t xml:space="preserve">(art. </w:t>
      </w:r>
      <w:r>
        <w:rPr>
          <w:rStyle w:val="Bodytext1"/>
        </w:rPr>
        <w:t>22 ust. 1). W odniesieniu do radców prawnych, zatrudnionych w</w:t>
      </w:r>
      <w:r w:rsidR="008C4D4E">
        <w:rPr>
          <w:rStyle w:val="Bodytext1"/>
        </w:rPr>
        <w:t> </w:t>
      </w:r>
      <w:r>
        <w:rPr>
          <w:rStyle w:val="Bodytext1"/>
        </w:rPr>
        <w:t xml:space="preserve">urzędach państwowych, wyłączenie możliwości świadczenia obsługi prawnej w jej różnorakich formach poza urzędem stanowiłoby jednocześnie naruszenie fundamentalnej, z punktu widzenia etosu zawodowego radcy prawnego, zasady niezależności i wolności od wpływów, o której stanowi </w:t>
      </w:r>
      <w:r>
        <w:rPr>
          <w:rStyle w:val="Bodytext1"/>
          <w:lang w:val="en-US" w:eastAsia="en-US" w:bidi="en-US"/>
        </w:rPr>
        <w:t xml:space="preserve">art. </w:t>
      </w:r>
      <w:r>
        <w:rPr>
          <w:rStyle w:val="Bodytext1"/>
        </w:rPr>
        <w:t>2 ust. 1 Kodeksu Etyki Prawników Europejskich, przyjętego 28 października 1988 r, w Brukseli przez Radę Adwokatur i Stowarzyszeń Prawniczych Europy (CCBE).</w:t>
      </w:r>
    </w:p>
    <w:p w:rsidR="000339D2" w:rsidRDefault="000D454D">
      <w:pPr>
        <w:pStyle w:val="Bodytext10"/>
        <w:spacing w:line="319" w:lineRule="auto"/>
        <w:ind w:firstLine="700"/>
        <w:jc w:val="both"/>
      </w:pPr>
      <w:r>
        <w:rPr>
          <w:rStyle w:val="Bodytext1"/>
        </w:rPr>
        <w:t>Tak rozumiana specyfika prawa do wykonywania zawodu radcy prawnego znalazła również odzwierciedlenie w treści pisma Departamentu Służby Cywilnej Kancelarii Prezesa Rady Ministrów z</w:t>
      </w:r>
      <w:r w:rsidR="00847B4D">
        <w:rPr>
          <w:rStyle w:val="Bodytext1"/>
        </w:rPr>
        <w:t> </w:t>
      </w:r>
      <w:r>
        <w:rPr>
          <w:rStyle w:val="Bodytext1"/>
        </w:rPr>
        <w:t>2</w:t>
      </w:r>
      <w:r w:rsidR="00847B4D">
        <w:rPr>
          <w:rStyle w:val="Bodytext1"/>
        </w:rPr>
        <w:t> </w:t>
      </w:r>
      <w:r>
        <w:rPr>
          <w:rStyle w:val="Bodytext1"/>
        </w:rPr>
        <w:t xml:space="preserve">grudnia 2009 r., w którym wskazano, że przepisy </w:t>
      </w:r>
      <w:r>
        <w:rPr>
          <w:rStyle w:val="Bodytext1"/>
          <w:lang w:val="en-US" w:eastAsia="en-US" w:bidi="en-US"/>
        </w:rPr>
        <w:t xml:space="preserve">art. </w:t>
      </w:r>
      <w:r>
        <w:rPr>
          <w:rStyle w:val="Bodytext1"/>
        </w:rPr>
        <w:t>80 ustawy o służbie cywilnej nie uniemożliwiają radcom prawnym - członkom korpusu służby cywilnej kontynuowania lub podjęcia dodatkowego zatrudnienia, o ile zatrudnienie to nie koliduje z zadaniem korpusu służby cywilnej, jakim jest zapewnienie zawodowego, rzetelnego, bezstronnego i neutralnego politycznie wykonywania zadań państwa. Dopuszczenie możliwości prowadzenia działalności gospodarczej w formie kancelarii przez radców prawnych - członków korpusu służby cywilnej, jak również możliwość podejmowania przez nich jednocześnie innego zatrudnienia nie koliduje z wartościami, w oparciu o które funkcjonuje służba cywilna. Nie implikuje również zagrożeń dla szeroko pojmowanego interesu publicznego, w tym związanych z</w:t>
      </w:r>
      <w:r w:rsidR="008C4D4E">
        <w:rPr>
          <w:rStyle w:val="Bodytext1"/>
        </w:rPr>
        <w:t> </w:t>
      </w:r>
      <w:r>
        <w:rPr>
          <w:rStyle w:val="Bodytext1"/>
        </w:rPr>
        <w:t xml:space="preserve">potencjalnym konfliktem interesów pomiędzy obsługą urzędu, a działalnością radcy w ramach prowadzonej przez niego kancelarii czy też u innego pracodawcy. Obowiązujące regulacje prawne zawierają bowiem wystarczające gwarancje - zarówno formalne,-jak-i-materialne - które powstawaniu takich konfliktów skutecznie zapobiegają. Zgodnie z </w:t>
      </w:r>
      <w:r>
        <w:rPr>
          <w:rStyle w:val="Bodytext1"/>
          <w:lang w:val="en-US" w:eastAsia="en-US" w:bidi="en-US"/>
        </w:rPr>
        <w:t xml:space="preserve">art. </w:t>
      </w:r>
      <w:r>
        <w:rPr>
          <w:rStyle w:val="Bodytext1"/>
        </w:rPr>
        <w:t>15 ustawy o radcach prawnych, radca prawny obowiązany jest wyłączyć się od wykonania czynności zawodowych we własnej sprawie lub jeżeli przeciwnikiem jednostki organizacyjnej udzielającej mu pełnomocnictwa jest inna zatrudniająca go</w:t>
      </w:r>
      <w:r w:rsidR="008C4D4E">
        <w:rPr>
          <w:rStyle w:val="Bodytext1"/>
        </w:rPr>
        <w:t> </w:t>
      </w:r>
      <w:r>
        <w:rPr>
          <w:rStyle w:val="Bodytext1"/>
        </w:rPr>
        <w:t>jednostka organizacyjna albo jeżeli sprawa dotyczy osoby, z którą pozostaje on w takim stosunku, że</w:t>
      </w:r>
      <w:r w:rsidR="008C4D4E">
        <w:rPr>
          <w:rStyle w:val="Bodytext1"/>
        </w:rPr>
        <w:t> </w:t>
      </w:r>
      <w:r>
        <w:rPr>
          <w:rStyle w:val="Bodytext1"/>
        </w:rPr>
        <w:t xml:space="preserve">może to oddziaływać na wynik sprawy. Dodatkową gwarancję w tym względzie stanowi przepis </w:t>
      </w:r>
      <w:r>
        <w:rPr>
          <w:rStyle w:val="Bodytext1"/>
          <w:lang w:val="en-US" w:eastAsia="en-US" w:bidi="en-US"/>
        </w:rPr>
        <w:t xml:space="preserve">art. </w:t>
      </w:r>
      <w:r>
        <w:rPr>
          <w:rStyle w:val="Bodytext1"/>
        </w:rPr>
        <w:t xml:space="preserve">8 KERP, zgodnie z którym świadcząc pomoc prawną, radca prawny obowiązany jest postępować lojalnie, kierując się dobrem klienta w celu ochrony jego praw. Formuła ta jednoznacznie nakazuje zatem radcy prawnemu unikania konfliktu interesów w realizacji prawa do wykonywania zawodu, co znajduje szczegółowe rozwinięcie w </w:t>
      </w:r>
      <w:r>
        <w:rPr>
          <w:rStyle w:val="Bodytext1"/>
          <w:lang w:val="en-US" w:eastAsia="en-US" w:bidi="en-US"/>
        </w:rPr>
        <w:t xml:space="preserve">art. </w:t>
      </w:r>
      <w:r>
        <w:rPr>
          <w:rStyle w:val="Bodytext1"/>
        </w:rPr>
        <w:t xml:space="preserve">25 - 30 Kodeksu. Równie istotnym instrumentem o charakterze gwarancyjnym jest ujęta zarówno w ustawie o radcach prawnych </w:t>
      </w:r>
      <w:r>
        <w:rPr>
          <w:rStyle w:val="Bodytext1"/>
          <w:lang w:val="en-US" w:eastAsia="en-US" w:bidi="en-US"/>
        </w:rPr>
        <w:t xml:space="preserve">(art. </w:t>
      </w:r>
      <w:r>
        <w:rPr>
          <w:rStyle w:val="Bodytext1"/>
        </w:rPr>
        <w:t xml:space="preserve">3 ust. 3 - 5), jak i w Kodeksie Etyki Radców Prawnych </w:t>
      </w:r>
      <w:r>
        <w:rPr>
          <w:rStyle w:val="Bodytext1"/>
          <w:lang w:val="en-US" w:eastAsia="en-US" w:bidi="en-US"/>
        </w:rPr>
        <w:t xml:space="preserve">(art. </w:t>
      </w:r>
      <w:r>
        <w:rPr>
          <w:rStyle w:val="Bodytext1"/>
        </w:rPr>
        <w:t>15 - 24) zasada zachowania nieograniczonej w czasie tajemnicy zawodowej, co</w:t>
      </w:r>
      <w:r w:rsidR="008C4D4E">
        <w:rPr>
          <w:rStyle w:val="Bodytext1"/>
        </w:rPr>
        <w:t> </w:t>
      </w:r>
      <w:r>
        <w:rPr>
          <w:rStyle w:val="Bodytext1"/>
        </w:rPr>
        <w:t>do wszelkich informacji, które pozyskał radca prawny w związku z udzielaniem pomocy prawnej.</w:t>
      </w:r>
    </w:p>
    <w:p w:rsidR="000339D2" w:rsidRDefault="000D454D">
      <w:pPr>
        <w:pStyle w:val="Bodytext10"/>
        <w:spacing w:after="180" w:line="305" w:lineRule="auto"/>
        <w:ind w:firstLine="700"/>
        <w:jc w:val="both"/>
        <w:rPr>
          <w:sz w:val="22"/>
          <w:szCs w:val="22"/>
        </w:rPr>
      </w:pPr>
      <w:r>
        <w:rPr>
          <w:rStyle w:val="Bodytext1"/>
        </w:rPr>
        <w:t>Powyższe rozważania prowadzą zatem do wniosku, że dotychczasowe przepisy ustawy regulujące działanie samorządowych kolegiów odwoławczych oraz ustawy - Kodeks postępowania administracyjnego nie stanowią przeszkody prawnej dla podejmowania dodatkowego zatrudnienia na</w:t>
      </w:r>
      <w:r w:rsidR="00847B4D">
        <w:rPr>
          <w:rStyle w:val="Bodytext1"/>
        </w:rPr>
        <w:t> </w:t>
      </w:r>
      <w:r>
        <w:rPr>
          <w:rStyle w:val="Bodytext1"/>
        </w:rPr>
        <w:t xml:space="preserve">podstawie umowy cywilnoprawnej przez radców prawnych. </w:t>
      </w:r>
      <w:r>
        <w:rPr>
          <w:rStyle w:val="Bodytext1"/>
          <w:b/>
          <w:bCs/>
          <w:sz w:val="22"/>
          <w:szCs w:val="22"/>
        </w:rPr>
        <w:t>Wiązanie etatowego zatrudnienia radcy prawnego w urzędzie państwowym z zakazem prowadzenia działalności gospodarczej w formie kancelarii czy też z zakazem podejmowania dodatkowego zatrudnienia stanowiłoby naruszenie</w:t>
      </w:r>
      <w:r>
        <w:rPr>
          <w:rStyle w:val="Bodytext1"/>
          <w:b/>
          <w:bCs/>
          <w:sz w:val="22"/>
          <w:szCs w:val="22"/>
        </w:rPr>
        <w:br w:type="page"/>
      </w:r>
      <w:r>
        <w:rPr>
          <w:rStyle w:val="Bodytext1"/>
          <w:b/>
          <w:bCs/>
          <w:sz w:val="22"/>
          <w:szCs w:val="22"/>
        </w:rPr>
        <w:lastRenderedPageBreak/>
        <w:t xml:space="preserve">zasady wolności działalności gospodarczej wyrażonej w </w:t>
      </w:r>
      <w:r>
        <w:rPr>
          <w:rStyle w:val="Bodytext1"/>
          <w:b/>
          <w:bCs/>
          <w:sz w:val="22"/>
          <w:szCs w:val="22"/>
          <w:lang w:val="en-US" w:eastAsia="en-US" w:bidi="en-US"/>
        </w:rPr>
        <w:t xml:space="preserve">art. </w:t>
      </w:r>
      <w:r>
        <w:rPr>
          <w:rStyle w:val="Bodytext1"/>
          <w:b/>
          <w:bCs/>
          <w:sz w:val="22"/>
          <w:szCs w:val="22"/>
        </w:rPr>
        <w:t xml:space="preserve">22 w zw. z </w:t>
      </w:r>
      <w:r>
        <w:rPr>
          <w:rStyle w:val="Bodytext1"/>
          <w:b/>
          <w:bCs/>
          <w:sz w:val="22"/>
          <w:szCs w:val="22"/>
          <w:lang w:val="en-US" w:eastAsia="en-US" w:bidi="en-US"/>
        </w:rPr>
        <w:t xml:space="preserve">art. </w:t>
      </w:r>
      <w:r>
        <w:rPr>
          <w:rStyle w:val="Bodytext1"/>
          <w:b/>
          <w:bCs/>
          <w:sz w:val="22"/>
          <w:szCs w:val="22"/>
        </w:rPr>
        <w:t>31 ust. 3 Konstytucji.</w:t>
      </w:r>
    </w:p>
    <w:p w:rsidR="000339D2" w:rsidRDefault="000D454D">
      <w:pPr>
        <w:pStyle w:val="Bodytext10"/>
        <w:spacing w:after="180" w:line="317" w:lineRule="auto"/>
        <w:ind w:firstLine="720"/>
        <w:jc w:val="both"/>
      </w:pPr>
      <w:r>
        <w:rPr>
          <w:rStyle w:val="Bodytext1"/>
        </w:rPr>
        <w:t xml:space="preserve">Zakaz możliwości prowadzenia kancelarii przez radcę prawnego - członka etatowego samorządowego kolegium odwoławczego oznacza ograniczenie niezależności wykonywania zawodu radcy prawnego, wyrażonej w </w:t>
      </w:r>
      <w:r>
        <w:rPr>
          <w:rStyle w:val="Bodytext1"/>
          <w:lang w:val="en-US" w:eastAsia="en-US" w:bidi="en-US"/>
        </w:rPr>
        <w:t xml:space="preserve">art. </w:t>
      </w:r>
      <w:r>
        <w:rPr>
          <w:rStyle w:val="Bodytext1"/>
        </w:rPr>
        <w:t xml:space="preserve">17 ust. 2 Konstytucji, w </w:t>
      </w:r>
      <w:r>
        <w:rPr>
          <w:rStyle w:val="Bodytext1"/>
          <w:lang w:val="en-US" w:eastAsia="en-US" w:bidi="en-US"/>
        </w:rPr>
        <w:t xml:space="preserve">art. </w:t>
      </w:r>
      <w:r>
        <w:rPr>
          <w:rStyle w:val="Bodytext1"/>
        </w:rPr>
        <w:t>2 ust. 1 Kodeksu Etyki Prawników Europejskich, przyjętego przez CCBE, a gwarantowanej zarówno przepisami ustawy o radcach prawnych, jak i Kodeks Etyki Radcy Prawnego.</w:t>
      </w:r>
    </w:p>
    <w:p w:rsidR="000339D2" w:rsidRDefault="000D454D">
      <w:pPr>
        <w:pStyle w:val="Bodytext10"/>
        <w:spacing w:after="180" w:line="319" w:lineRule="auto"/>
        <w:ind w:firstLine="720"/>
        <w:jc w:val="both"/>
        <w:rPr>
          <w:rStyle w:val="Bodytext1"/>
        </w:rPr>
      </w:pPr>
      <w:r>
        <w:rPr>
          <w:rStyle w:val="Bodytext1"/>
        </w:rPr>
        <w:t xml:space="preserve">Mając powyższe na uwadze, postuluje się skreślenie z </w:t>
      </w:r>
      <w:r>
        <w:rPr>
          <w:rStyle w:val="Bodytext1"/>
          <w:lang w:val="en-US" w:eastAsia="en-US" w:bidi="en-US"/>
        </w:rPr>
        <w:t xml:space="preserve">art. </w:t>
      </w:r>
      <w:r>
        <w:rPr>
          <w:rStyle w:val="Bodytext1"/>
        </w:rPr>
        <w:t xml:space="preserve">5 </w:t>
      </w:r>
      <w:proofErr w:type="spellStart"/>
      <w:r>
        <w:rPr>
          <w:rStyle w:val="Bodytext1"/>
          <w:lang w:val="en-US" w:eastAsia="en-US" w:bidi="en-US"/>
        </w:rPr>
        <w:t>pkt</w:t>
      </w:r>
      <w:proofErr w:type="spellEnd"/>
      <w:r>
        <w:rPr>
          <w:rStyle w:val="Bodytext1"/>
          <w:lang w:val="en-US" w:eastAsia="en-US" w:bidi="en-US"/>
        </w:rPr>
        <w:t xml:space="preserve"> </w:t>
      </w:r>
      <w:r>
        <w:rPr>
          <w:rStyle w:val="Bodytext1"/>
        </w:rPr>
        <w:t xml:space="preserve">5 </w:t>
      </w:r>
      <w:r>
        <w:rPr>
          <w:rStyle w:val="Bodytext1"/>
          <w:i/>
          <w:iCs/>
          <w:lang w:val="en-US" w:eastAsia="en-US" w:bidi="en-US"/>
        </w:rPr>
        <w:t>in fine</w:t>
      </w:r>
      <w:r>
        <w:rPr>
          <w:rStyle w:val="Bodytext1"/>
          <w:lang w:val="en-US" w:eastAsia="en-US" w:bidi="en-US"/>
        </w:rPr>
        <w:t xml:space="preserve"> </w:t>
      </w:r>
      <w:r>
        <w:rPr>
          <w:rStyle w:val="Bodytext1"/>
        </w:rPr>
        <w:t>ustawy z dnia 21 sierpnia 1997 r. o ograniczeniu prowadzenia działalności gospodarczej przez osoby pełniące funkcje publiczne, sformułowania: „etatowego członka kolegium".</w:t>
      </w:r>
    </w:p>
    <w:p w:rsidR="008C4D4E" w:rsidRDefault="008C4D4E">
      <w:pPr>
        <w:pStyle w:val="Bodytext10"/>
        <w:spacing w:after="180" w:line="319" w:lineRule="auto"/>
        <w:ind w:firstLine="720"/>
        <w:jc w:val="both"/>
        <w:rPr>
          <w:rStyle w:val="Bodytext1"/>
        </w:rPr>
      </w:pPr>
    </w:p>
    <w:p w:rsidR="008C4D4E" w:rsidRDefault="008C4D4E">
      <w:pPr>
        <w:pStyle w:val="Bodytext10"/>
        <w:spacing w:after="180" w:line="319" w:lineRule="auto"/>
        <w:ind w:firstLine="720"/>
        <w:jc w:val="both"/>
      </w:pPr>
    </w:p>
    <w:p w:rsidR="006631C8" w:rsidRDefault="006631C8">
      <w:pPr>
        <w:pStyle w:val="Bodytext10"/>
        <w:spacing w:after="180" w:line="319" w:lineRule="auto"/>
        <w:ind w:firstLine="720"/>
        <w:jc w:val="both"/>
      </w:pPr>
    </w:p>
    <w:p w:rsidR="006631C8" w:rsidRDefault="006631C8">
      <w:pPr>
        <w:pStyle w:val="Bodytext10"/>
        <w:spacing w:after="180" w:line="319" w:lineRule="auto"/>
        <w:ind w:firstLine="720"/>
        <w:jc w:val="both"/>
      </w:pPr>
    </w:p>
    <w:p w:rsidR="006631C8" w:rsidRDefault="006631C8">
      <w:pPr>
        <w:pStyle w:val="Bodytext10"/>
        <w:spacing w:after="180" w:line="319" w:lineRule="auto"/>
        <w:ind w:firstLine="720"/>
        <w:jc w:val="both"/>
      </w:pPr>
    </w:p>
    <w:p w:rsidR="000339D2" w:rsidRDefault="000339D2">
      <w:pPr>
        <w:jc w:val="center"/>
        <w:rPr>
          <w:sz w:val="2"/>
          <w:szCs w:val="2"/>
        </w:rPr>
      </w:pPr>
    </w:p>
    <w:sectPr w:rsidR="000339D2">
      <w:type w:val="continuous"/>
      <w:pgSz w:w="11900" w:h="16840"/>
      <w:pgMar w:top="1163" w:right="1310" w:bottom="1335" w:left="1369" w:header="0" w:footer="3" w:gutter="0"/>
      <w:cols w:space="720"/>
      <w:noEndnote/>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3BB" w:rsidRDefault="006D73BB">
      <w:r>
        <w:separator/>
      </w:r>
    </w:p>
  </w:endnote>
  <w:endnote w:type="continuationSeparator" w:id="0">
    <w:p w:rsidR="006D73BB" w:rsidRDefault="006D7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9D2" w:rsidRDefault="000D454D">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3764915</wp:posOffset>
              </wp:positionH>
              <wp:positionV relativeFrom="page">
                <wp:posOffset>9913620</wp:posOffset>
              </wp:positionV>
              <wp:extent cx="59055" cy="86360"/>
              <wp:effectExtent l="0" t="0" r="0" b="0"/>
              <wp:wrapNone/>
              <wp:docPr id="1" name="Shape 1"/>
              <wp:cNvGraphicFramePr/>
              <a:graphic xmlns:a="http://schemas.openxmlformats.org/drawingml/2006/main">
                <a:graphicData uri="http://schemas.microsoft.com/office/word/2010/wordprocessingShape">
                  <wps:wsp>
                    <wps:cNvSpPr txBox="1"/>
                    <wps:spPr>
                      <a:xfrm>
                        <a:off x="0" y="0"/>
                        <a:ext cx="59055" cy="86360"/>
                      </a:xfrm>
                      <a:prstGeom prst="rect">
                        <a:avLst/>
                      </a:prstGeom>
                      <a:noFill/>
                    </wps:spPr>
                    <wps:txbx>
                      <w:txbxContent>
                        <w:p w:rsidR="000339D2" w:rsidRDefault="000D454D">
                          <w:pPr>
                            <w:pStyle w:val="Headerorfooter20"/>
                            <w:rPr>
                              <w:sz w:val="18"/>
                              <w:szCs w:val="18"/>
                            </w:rPr>
                          </w:pPr>
                          <w:r>
                            <w:fldChar w:fldCharType="begin"/>
                          </w:r>
                          <w:r>
                            <w:instrText xml:space="preserve"> PAGE \* MERGEFORMAT </w:instrText>
                          </w:r>
                          <w:r>
                            <w:fldChar w:fldCharType="separate"/>
                          </w:r>
                          <w:r w:rsidR="002C7702" w:rsidRPr="002C7702">
                            <w:rPr>
                              <w:rStyle w:val="Headerorfooter2"/>
                              <w:rFonts w:ascii="Arial" w:eastAsia="Arial" w:hAnsi="Arial" w:cs="Arial"/>
                              <w:noProof/>
                              <w:sz w:val="18"/>
                              <w:szCs w:val="18"/>
                            </w:rPr>
                            <w:t>8</w:t>
                          </w:r>
                          <w:r>
                            <w:rPr>
                              <w:rStyle w:val="Headerorfooter2"/>
                              <w:rFonts w:ascii="Arial" w:eastAsia="Arial" w:hAnsi="Arial" w:cs="Arial"/>
                              <w:sz w:val="18"/>
                              <w:szCs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296.45pt;margin-top:780.6pt;width:4.65pt;height:6.8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" filled="f" stroked="f">
              <v:textbox style="mso-fit-shape-to-text:t" inset="0,0,0,0">
                <w:txbxContent>
                  <w:p w:rsidR="000339D2" w:rsidRDefault="000D454D">
                    <w:pPr>
                      <w:pStyle w:val="Headerorfooter20"/>
                      <w:rPr>
                        <w:sz w:val="18"/>
                        <w:szCs w:val="18"/>
                      </w:rPr>
                    </w:pPr>
                    <w:r>
                      <w:fldChar w:fldCharType="begin"/>
                    </w:r>
                    <w:r>
                      <w:instrText xml:space="preserve"> PAGE \* MERGEFORMAT </w:instrText>
                    </w:r>
                    <w:r>
                      <w:fldChar w:fldCharType="separate"/>
                    </w:r>
                    <w:r w:rsidR="002C7702" w:rsidRPr="002C7702">
                      <w:rPr>
                        <w:rStyle w:val="Headerorfooter2"/>
                        <w:rFonts w:ascii="Arial" w:eastAsia="Arial" w:hAnsi="Arial" w:cs="Arial"/>
                        <w:noProof/>
                        <w:sz w:val="18"/>
                        <w:szCs w:val="18"/>
                      </w:rPr>
                      <w:t>8</w:t>
                    </w:r>
                    <w:r>
                      <w:rPr>
                        <w:rStyle w:val="Headerorfooter2"/>
                        <w:rFonts w:ascii="Arial" w:eastAsia="Arial" w:hAnsi="Arial" w:cs="Arial"/>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9D2" w:rsidRDefault="000339D2">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3BB" w:rsidRDefault="006D73BB">
      <w:r>
        <w:separator/>
      </w:r>
    </w:p>
  </w:footnote>
  <w:footnote w:type="continuationSeparator" w:id="0">
    <w:p w:rsidR="006D73BB" w:rsidRDefault="006D73BB">
      <w:r>
        <w:continuationSeparator/>
      </w:r>
    </w:p>
  </w:footnote>
  <w:footnote w:id="1">
    <w:p w:rsidR="000339D2" w:rsidRDefault="000D454D">
      <w:pPr>
        <w:pStyle w:val="Footnote10"/>
        <w:spacing w:line="276" w:lineRule="auto"/>
        <w:jc w:val="both"/>
      </w:pPr>
      <w:r>
        <w:rPr>
          <w:rStyle w:val="Footnote1"/>
          <w:vertAlign w:val="superscript"/>
        </w:rPr>
        <w:footnoteRef/>
      </w:r>
      <w:r>
        <w:rPr>
          <w:rStyle w:val="Footnote1"/>
        </w:rPr>
        <w:t xml:space="preserve"> por. </w:t>
      </w:r>
      <w:proofErr w:type="spellStart"/>
      <w:r>
        <w:rPr>
          <w:rStyle w:val="Footnote1"/>
        </w:rPr>
        <w:t>Etel</w:t>
      </w:r>
      <w:proofErr w:type="spellEnd"/>
      <w:r>
        <w:rPr>
          <w:rStyle w:val="Footnote1"/>
        </w:rPr>
        <w:t xml:space="preserve"> L, Komentarz </w:t>
      </w:r>
      <w:r>
        <w:rPr>
          <w:rStyle w:val="Footnote1"/>
          <w:lang w:val="en-US" w:eastAsia="en-US" w:bidi="en-US"/>
        </w:rPr>
        <w:t xml:space="preserve">do art. </w:t>
      </w:r>
      <w:r>
        <w:rPr>
          <w:rStyle w:val="Footnote1"/>
        </w:rPr>
        <w:t xml:space="preserve">67a ustawy - Ordynacja podatkowa (w:) </w:t>
      </w:r>
      <w:proofErr w:type="spellStart"/>
      <w:r>
        <w:rPr>
          <w:rStyle w:val="Footnote1"/>
        </w:rPr>
        <w:t>Dowgier</w:t>
      </w:r>
      <w:proofErr w:type="spellEnd"/>
      <w:r>
        <w:rPr>
          <w:rStyle w:val="Footnote1"/>
        </w:rPr>
        <w:t xml:space="preserve"> R., </w:t>
      </w:r>
      <w:proofErr w:type="spellStart"/>
      <w:r>
        <w:rPr>
          <w:rStyle w:val="Footnote1"/>
        </w:rPr>
        <w:t>Etel</w:t>
      </w:r>
      <w:proofErr w:type="spellEnd"/>
      <w:r>
        <w:rPr>
          <w:rStyle w:val="Footnote1"/>
        </w:rPr>
        <w:t xml:space="preserve"> L, Kosikowski C., Pietrasz P., Popławski M., </w:t>
      </w:r>
      <w:proofErr w:type="spellStart"/>
      <w:r>
        <w:rPr>
          <w:rStyle w:val="Footnote1"/>
        </w:rPr>
        <w:t>Presnarowicz</w:t>
      </w:r>
      <w:proofErr w:type="spellEnd"/>
      <w:r>
        <w:rPr>
          <w:rStyle w:val="Footnote1"/>
        </w:rPr>
        <w:t xml:space="preserve"> S. Ordynacja podatkowa. Komentarz. </w:t>
      </w:r>
      <w:r>
        <w:rPr>
          <w:rStyle w:val="Footnote1"/>
          <w:lang w:val="en-US" w:eastAsia="en-US" w:bidi="en-US"/>
        </w:rPr>
        <w:t xml:space="preserve">LEX, </w:t>
      </w:r>
      <w:r>
        <w:rPr>
          <w:rStyle w:val="Footnote1"/>
        </w:rPr>
        <w:t>2011, wyrok NSA z 17 września 2014 r. II FSK 2264/12, CBOSA</w:t>
      </w:r>
    </w:p>
  </w:footnote>
  <w:footnote w:id="2">
    <w:p w:rsidR="000339D2" w:rsidRDefault="000D454D">
      <w:pPr>
        <w:pStyle w:val="Footnote10"/>
        <w:spacing w:line="276" w:lineRule="auto"/>
        <w:rPr>
          <w:sz w:val="18"/>
          <w:szCs w:val="18"/>
        </w:rPr>
      </w:pPr>
      <w:r>
        <w:rPr>
          <w:rStyle w:val="Footnote1"/>
          <w:sz w:val="18"/>
          <w:szCs w:val="18"/>
          <w:vertAlign w:val="superscript"/>
        </w:rPr>
        <w:footnoteRef/>
      </w:r>
      <w:r>
        <w:rPr>
          <w:rStyle w:val="Footnote1"/>
          <w:sz w:val="18"/>
          <w:szCs w:val="18"/>
        </w:rPr>
        <w:t xml:space="preserve"> Najwyższa Izba Kontroli Departament Administracji Publicznej. Informacja o wynikach kontroli działalności samorządowych kolegiów odwoławczych Warszawa marzec 2011 r., Nr </w:t>
      </w:r>
      <w:proofErr w:type="spellStart"/>
      <w:r>
        <w:rPr>
          <w:rStyle w:val="Footnote1"/>
          <w:sz w:val="18"/>
          <w:szCs w:val="18"/>
        </w:rPr>
        <w:t>ewid</w:t>
      </w:r>
      <w:proofErr w:type="spellEnd"/>
      <w:r>
        <w:rPr>
          <w:rStyle w:val="Footnote1"/>
          <w:sz w:val="18"/>
          <w:szCs w:val="18"/>
        </w:rPr>
        <w:t>.: 9/2011/P/10/003/KAP, strona 48</w:t>
      </w:r>
    </w:p>
  </w:footnote>
  <w:footnote w:id="3">
    <w:p w:rsidR="000339D2" w:rsidRDefault="000D454D">
      <w:pPr>
        <w:pStyle w:val="Footnote10"/>
        <w:pBdr>
          <w:top w:val="single" w:sz="4" w:space="0" w:color="auto"/>
        </w:pBdr>
        <w:spacing w:line="240" w:lineRule="auto"/>
        <w:rPr>
          <w:sz w:val="18"/>
          <w:szCs w:val="18"/>
        </w:rPr>
      </w:pPr>
      <w:r>
        <w:rPr>
          <w:rStyle w:val="Footnote1"/>
          <w:i/>
          <w:iCs/>
          <w:sz w:val="18"/>
          <w:szCs w:val="18"/>
          <w:vertAlign w:val="superscript"/>
        </w:rPr>
        <w:footnoteRef/>
      </w:r>
      <w:r>
        <w:rPr>
          <w:rStyle w:val="Footnote1"/>
          <w:i/>
          <w:iCs/>
          <w:sz w:val="18"/>
          <w:szCs w:val="18"/>
        </w:rPr>
        <w:t xml:space="preserve"> Ibidem,</w:t>
      </w:r>
      <w:r>
        <w:rPr>
          <w:rStyle w:val="Footnote1"/>
          <w:sz w:val="18"/>
          <w:szCs w:val="18"/>
        </w:rPr>
        <w:t xml:space="preserve"> strona 14 i 15</w:t>
      </w:r>
    </w:p>
  </w:footnote>
  <w:footnote w:id="4">
    <w:p w:rsidR="000339D2" w:rsidRDefault="000D454D">
      <w:pPr>
        <w:pStyle w:val="Footnote10"/>
        <w:spacing w:line="269" w:lineRule="auto"/>
        <w:jc w:val="both"/>
      </w:pPr>
      <w:r>
        <w:rPr>
          <w:rStyle w:val="Footnote1"/>
        </w:rPr>
        <w:footnoteRef/>
      </w:r>
      <w:r>
        <w:rPr>
          <w:rStyle w:val="Footnote1"/>
        </w:rPr>
        <w:t xml:space="preserve"> Zgodnie z </w:t>
      </w:r>
      <w:r>
        <w:rPr>
          <w:rStyle w:val="Footnote1"/>
          <w:lang w:val="en-US" w:eastAsia="en-US" w:bidi="en-US"/>
        </w:rPr>
        <w:t xml:space="preserve">art. </w:t>
      </w:r>
      <w:r>
        <w:rPr>
          <w:rStyle w:val="Footnote1"/>
        </w:rPr>
        <w:t>18 ust. 1 ustawy o samorządowych kolegiach odwoławczych, kolegium orzeka w składzie trzyosobowym, chyba że przepisy szczególne stanowią inaczej. Składowi orzekającemu przewodniczy prezes lub etatowy członek kolegium.</w:t>
      </w:r>
    </w:p>
  </w:footnote>
  <w:footnote w:id="5">
    <w:p w:rsidR="000339D2" w:rsidRDefault="000D454D">
      <w:pPr>
        <w:pStyle w:val="Footnote10"/>
        <w:spacing w:line="240" w:lineRule="auto"/>
      </w:pPr>
      <w:r>
        <w:rPr>
          <w:rStyle w:val="Footnote1"/>
          <w:vertAlign w:val="superscript"/>
        </w:rPr>
        <w:footnoteRef/>
      </w:r>
      <w:r>
        <w:rPr>
          <w:rStyle w:val="Footnote1"/>
        </w:rPr>
        <w:t xml:space="preserve"> P 21/02; OTK-A 2004/2/9, Dz.U.2004/34/303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E4F81"/>
    <w:multiLevelType w:val="multilevel"/>
    <w:tmpl w:val="94D2A96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B5694B"/>
    <w:multiLevelType w:val="multilevel"/>
    <w:tmpl w:val="3B3CD670"/>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2E22DB"/>
    <w:multiLevelType w:val="multilevel"/>
    <w:tmpl w:val="B46C3CC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D2"/>
    <w:rsid w:val="000339D2"/>
    <w:rsid w:val="000D454D"/>
    <w:rsid w:val="002C7702"/>
    <w:rsid w:val="00337F2B"/>
    <w:rsid w:val="006631C8"/>
    <w:rsid w:val="006D73BB"/>
    <w:rsid w:val="00753EB9"/>
    <w:rsid w:val="00847B4D"/>
    <w:rsid w:val="008C4D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1D5CB4-8F85-4B9F-B7E4-0C1CB890B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otnote1">
    <w:name w:val="Footnote|1_"/>
    <w:basedOn w:val="Domylnaczcionkaakapitu"/>
    <w:link w:val="Footnote10"/>
    <w:rPr>
      <w:rFonts w:ascii="Arial" w:eastAsia="Arial" w:hAnsi="Arial" w:cs="Arial"/>
      <w:b w:val="0"/>
      <w:bCs w:val="0"/>
      <w:i w:val="0"/>
      <w:iCs w:val="0"/>
      <w:smallCaps w:val="0"/>
      <w:strike w:val="0"/>
      <w:sz w:val="19"/>
      <w:szCs w:val="19"/>
      <w:u w:val="none"/>
    </w:rPr>
  </w:style>
  <w:style w:type="character" w:customStyle="1" w:styleId="Bodytext1">
    <w:name w:val="Body text|1_"/>
    <w:basedOn w:val="Domylnaczcionkaakapitu"/>
    <w:link w:val="Bodytext10"/>
    <w:rPr>
      <w:rFonts w:ascii="Arial" w:eastAsia="Arial" w:hAnsi="Arial" w:cs="Arial"/>
      <w:b w:val="0"/>
      <w:bCs w:val="0"/>
      <w:i w:val="0"/>
      <w:iCs w:val="0"/>
      <w:smallCaps w:val="0"/>
      <w:strike w:val="0"/>
      <w:sz w:val="20"/>
      <w:szCs w:val="20"/>
      <w:u w:val="none"/>
    </w:rPr>
  </w:style>
  <w:style w:type="character" w:customStyle="1" w:styleId="Bodytext2">
    <w:name w:val="Body text|2_"/>
    <w:basedOn w:val="Domylnaczcionkaakapitu"/>
    <w:link w:val="Bodytext20"/>
    <w:rPr>
      <w:rFonts w:ascii="Arial" w:eastAsia="Arial" w:hAnsi="Arial" w:cs="Arial"/>
      <w:b/>
      <w:bCs/>
      <w:i w:val="0"/>
      <w:iCs w:val="0"/>
      <w:smallCaps w:val="0"/>
      <w:strike w:val="0"/>
      <w:u w:val="none"/>
    </w:rPr>
  </w:style>
  <w:style w:type="character" w:customStyle="1" w:styleId="Headerorfooter2">
    <w:name w:val="Header or footer|2_"/>
    <w:basedOn w:val="Domylnaczcionkaakapitu"/>
    <w:link w:val="Headerorfooter20"/>
    <w:rPr>
      <w:b w:val="0"/>
      <w:bCs w:val="0"/>
      <w:i w:val="0"/>
      <w:iCs w:val="0"/>
      <w:smallCaps w:val="0"/>
      <w:strike w:val="0"/>
      <w:sz w:val="20"/>
      <w:szCs w:val="20"/>
      <w:u w:val="none"/>
    </w:rPr>
  </w:style>
  <w:style w:type="character" w:customStyle="1" w:styleId="Heading11">
    <w:name w:val="Heading #1|1_"/>
    <w:basedOn w:val="Domylnaczcionkaakapitu"/>
    <w:link w:val="Heading110"/>
    <w:rPr>
      <w:rFonts w:ascii="Arial" w:eastAsia="Arial" w:hAnsi="Arial" w:cs="Arial"/>
      <w:b/>
      <w:bCs/>
      <w:i w:val="0"/>
      <w:iCs w:val="0"/>
      <w:smallCaps w:val="0"/>
      <w:strike w:val="0"/>
      <w:u w:val="none"/>
    </w:rPr>
  </w:style>
  <w:style w:type="character" w:customStyle="1" w:styleId="Picturecaption1">
    <w:name w:val="Picture caption|1_"/>
    <w:basedOn w:val="Domylnaczcionkaakapitu"/>
    <w:link w:val="Picturecaption10"/>
    <w:rPr>
      <w:rFonts w:ascii="Arial" w:eastAsia="Arial" w:hAnsi="Arial" w:cs="Arial"/>
      <w:b w:val="0"/>
      <w:bCs w:val="0"/>
      <w:i w:val="0"/>
      <w:iCs w:val="0"/>
      <w:smallCaps w:val="0"/>
      <w:strike w:val="0"/>
      <w:sz w:val="20"/>
      <w:szCs w:val="20"/>
      <w:u w:val="none"/>
    </w:rPr>
  </w:style>
  <w:style w:type="paragraph" w:customStyle="1" w:styleId="Footnote10">
    <w:name w:val="Footnote|1"/>
    <w:basedOn w:val="Normalny"/>
    <w:link w:val="Footnote1"/>
    <w:pPr>
      <w:spacing w:line="271" w:lineRule="auto"/>
    </w:pPr>
    <w:rPr>
      <w:rFonts w:ascii="Arial" w:eastAsia="Arial" w:hAnsi="Arial" w:cs="Arial"/>
      <w:sz w:val="19"/>
      <w:szCs w:val="19"/>
    </w:rPr>
  </w:style>
  <w:style w:type="paragraph" w:customStyle="1" w:styleId="Bodytext10">
    <w:name w:val="Body text|1"/>
    <w:basedOn w:val="Normalny"/>
    <w:link w:val="Bodytext1"/>
    <w:pPr>
      <w:spacing w:after="140" w:line="300" w:lineRule="auto"/>
      <w:ind w:firstLine="400"/>
    </w:pPr>
    <w:rPr>
      <w:rFonts w:ascii="Arial" w:eastAsia="Arial" w:hAnsi="Arial" w:cs="Arial"/>
      <w:sz w:val="20"/>
      <w:szCs w:val="20"/>
    </w:rPr>
  </w:style>
  <w:style w:type="paragraph" w:customStyle="1" w:styleId="Bodytext20">
    <w:name w:val="Body text|2"/>
    <w:basedOn w:val="Normalny"/>
    <w:link w:val="Bodytext2"/>
    <w:pPr>
      <w:spacing w:after="460" w:line="276" w:lineRule="auto"/>
      <w:ind w:left="4240" w:firstLine="20"/>
    </w:pPr>
    <w:rPr>
      <w:rFonts w:ascii="Arial" w:eastAsia="Arial" w:hAnsi="Arial" w:cs="Arial"/>
      <w:b/>
      <w:bCs/>
    </w:rPr>
  </w:style>
  <w:style w:type="paragraph" w:customStyle="1" w:styleId="Headerorfooter20">
    <w:name w:val="Header or footer|2"/>
    <w:basedOn w:val="Normalny"/>
    <w:link w:val="Headerorfooter2"/>
    <w:rPr>
      <w:sz w:val="20"/>
      <w:szCs w:val="20"/>
    </w:rPr>
  </w:style>
  <w:style w:type="paragraph" w:customStyle="1" w:styleId="Heading110">
    <w:name w:val="Heading #1|1"/>
    <w:basedOn w:val="Normalny"/>
    <w:link w:val="Heading11"/>
    <w:pPr>
      <w:spacing w:after="160" w:line="271" w:lineRule="auto"/>
      <w:ind w:left="690" w:hanging="300"/>
      <w:outlineLvl w:val="0"/>
    </w:pPr>
    <w:rPr>
      <w:rFonts w:ascii="Arial" w:eastAsia="Arial" w:hAnsi="Arial" w:cs="Arial"/>
      <w:b/>
      <w:bCs/>
    </w:rPr>
  </w:style>
  <w:style w:type="paragraph" w:customStyle="1" w:styleId="Picturecaption10">
    <w:name w:val="Picture caption|1"/>
    <w:basedOn w:val="Normalny"/>
    <w:link w:val="Picturecaption1"/>
    <w:rPr>
      <w:rFonts w:ascii="Arial" w:eastAsia="Arial" w:hAnsi="Arial" w:cs="Arial"/>
      <w:sz w:val="20"/>
      <w:szCs w:val="20"/>
    </w:rPr>
  </w:style>
  <w:style w:type="paragraph" w:styleId="Nagwek">
    <w:name w:val="header"/>
    <w:basedOn w:val="Normalny"/>
    <w:link w:val="NagwekZnak"/>
    <w:uiPriority w:val="99"/>
    <w:unhideWhenUsed/>
    <w:rsid w:val="008C4D4E"/>
    <w:pPr>
      <w:tabs>
        <w:tab w:val="center" w:pos="4536"/>
        <w:tab w:val="right" w:pos="9072"/>
      </w:tabs>
    </w:pPr>
  </w:style>
  <w:style w:type="character" w:customStyle="1" w:styleId="NagwekZnak">
    <w:name w:val="Nagłówek Znak"/>
    <w:basedOn w:val="Domylnaczcionkaakapitu"/>
    <w:link w:val="Nagwek"/>
    <w:uiPriority w:val="99"/>
    <w:rsid w:val="008C4D4E"/>
    <w:rPr>
      <w:color w:val="000000"/>
    </w:rPr>
  </w:style>
  <w:style w:type="paragraph" w:styleId="Stopka">
    <w:name w:val="footer"/>
    <w:basedOn w:val="Normalny"/>
    <w:link w:val="StopkaZnak"/>
    <w:uiPriority w:val="99"/>
    <w:unhideWhenUsed/>
    <w:rsid w:val="008C4D4E"/>
    <w:pPr>
      <w:tabs>
        <w:tab w:val="center" w:pos="4536"/>
        <w:tab w:val="right" w:pos="9072"/>
      </w:tabs>
    </w:pPr>
  </w:style>
  <w:style w:type="character" w:customStyle="1" w:styleId="StopkaZnak">
    <w:name w:val="Stopka Znak"/>
    <w:basedOn w:val="Domylnaczcionkaakapitu"/>
    <w:link w:val="Stopka"/>
    <w:uiPriority w:val="99"/>
    <w:rsid w:val="008C4D4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2980</Words>
  <Characters>17882</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20821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Tymczyszyn Paweł</dc:creator>
  <cp:lastModifiedBy>Kolasinski Jakub</cp:lastModifiedBy>
  <cp:revision>2</cp:revision>
  <dcterms:created xsi:type="dcterms:W3CDTF">2025-02-28T16:00:00Z</dcterms:created>
  <dcterms:modified xsi:type="dcterms:W3CDTF">2025-02-28T16:00:00Z</dcterms:modified>
</cp:coreProperties>
</file>