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6C" w:rsidRPr="00A52384" w:rsidRDefault="00651B6C" w:rsidP="0034729C">
      <w:pPr>
        <w:spacing w:line="360" w:lineRule="auto"/>
        <w:jc w:val="right"/>
        <w:rPr>
          <w:i/>
          <w:sz w:val="22"/>
        </w:rPr>
      </w:pPr>
      <w:r w:rsidRPr="00A52384">
        <w:rPr>
          <w:i/>
          <w:sz w:val="22"/>
        </w:rPr>
        <w:t>Projekt z 14-05-2009 r.</w:t>
      </w:r>
    </w:p>
    <w:p w:rsidR="00651B6C" w:rsidRPr="00A52384" w:rsidRDefault="00651B6C" w:rsidP="0034729C">
      <w:pPr>
        <w:spacing w:line="360" w:lineRule="auto"/>
        <w:jc w:val="center"/>
        <w:rPr>
          <w:b/>
        </w:rPr>
      </w:pPr>
      <w:r w:rsidRPr="00A52384">
        <w:rPr>
          <w:b/>
        </w:rPr>
        <w:t>USTAWA</w:t>
      </w:r>
    </w:p>
    <w:p w:rsidR="00651B6C" w:rsidRPr="00A52384" w:rsidRDefault="00651B6C" w:rsidP="0034729C">
      <w:pPr>
        <w:spacing w:line="360" w:lineRule="auto"/>
        <w:jc w:val="center"/>
        <w:rPr>
          <w:b/>
        </w:rPr>
      </w:pPr>
      <w:r w:rsidRPr="00A52384">
        <w:rPr>
          <w:b/>
        </w:rPr>
        <w:t>z dnia ...................................</w:t>
      </w:r>
    </w:p>
    <w:p w:rsidR="00651B6C" w:rsidRPr="00A52384" w:rsidRDefault="00651B6C" w:rsidP="0034729C">
      <w:pPr>
        <w:spacing w:line="360" w:lineRule="auto"/>
        <w:jc w:val="center"/>
        <w:rPr>
          <w:b/>
        </w:rPr>
      </w:pPr>
      <w:r w:rsidRPr="00A52384">
        <w:rPr>
          <w:b/>
        </w:rPr>
        <w:t>o zmianie ustawy – Kodeks cywilny</w:t>
      </w:r>
    </w:p>
    <w:p w:rsidR="00651B6C" w:rsidRPr="00A52384" w:rsidRDefault="00651B6C" w:rsidP="0034729C">
      <w:pPr>
        <w:spacing w:line="360" w:lineRule="auto"/>
        <w:rPr>
          <w:b/>
        </w:rPr>
      </w:pPr>
    </w:p>
    <w:p w:rsidR="00651B6C" w:rsidRPr="00A52384" w:rsidRDefault="00651B6C" w:rsidP="0034729C">
      <w:pPr>
        <w:spacing w:line="360" w:lineRule="auto"/>
        <w:jc w:val="both"/>
      </w:pPr>
      <w:r w:rsidRPr="00A52384">
        <w:rPr>
          <w:b/>
          <w:bCs/>
        </w:rPr>
        <w:tab/>
        <w:t>Art. 1.</w:t>
      </w:r>
      <w:r w:rsidRPr="00A52384">
        <w:rPr>
          <w:bCs/>
        </w:rPr>
        <w:t xml:space="preserve"> W ustawie z dnia 23 kwietnia 1964 r. – K</w:t>
      </w:r>
      <w:r w:rsidRPr="00A52384">
        <w:rPr>
          <w:bCs/>
        </w:rPr>
        <w:t>o</w:t>
      </w:r>
      <w:r w:rsidRPr="00A52384">
        <w:rPr>
          <w:bCs/>
        </w:rPr>
        <w:t>deks cywilny (Dz. U. Nr 16, poz. 93</w:t>
      </w:r>
      <w:r>
        <w:rPr>
          <w:bCs/>
        </w:rPr>
        <w:t>, z późn. zm.</w:t>
      </w:r>
      <w:r w:rsidRPr="00A52384">
        <w:rPr>
          <w:rStyle w:val="FootnoteReference"/>
        </w:rPr>
        <w:footnoteReference w:id="1"/>
      </w:r>
      <w:r w:rsidRPr="00A52384">
        <w:rPr>
          <w:bCs/>
        </w:rPr>
        <w:t>) w</w:t>
      </w:r>
      <w:r w:rsidRPr="00A52384">
        <w:t>prowadza się następujące zmiany:</w:t>
      </w:r>
    </w:p>
    <w:p w:rsidR="00651B6C" w:rsidRPr="00A52384" w:rsidRDefault="00651B6C" w:rsidP="0034729C">
      <w:pPr>
        <w:spacing w:line="360" w:lineRule="auto"/>
        <w:jc w:val="both"/>
        <w:rPr>
          <w:bCs/>
        </w:rPr>
      </w:pPr>
    </w:p>
    <w:p w:rsidR="00651B6C" w:rsidRPr="00A52384" w:rsidRDefault="00651B6C" w:rsidP="00EA1DB6">
      <w:pPr>
        <w:tabs>
          <w:tab w:val="left" w:pos="360"/>
        </w:tabs>
        <w:spacing w:line="360" w:lineRule="auto"/>
        <w:jc w:val="both"/>
      </w:pPr>
      <w:r w:rsidRPr="00A52384">
        <w:t xml:space="preserve">1) </w:t>
      </w:r>
      <w:r w:rsidRPr="00A52384">
        <w:tab/>
        <w:t>art. 49 otrzymuje brzmienie:</w:t>
      </w:r>
    </w:p>
    <w:p w:rsidR="00651B6C" w:rsidRPr="00A52384" w:rsidRDefault="00651B6C" w:rsidP="0034729C">
      <w:pPr>
        <w:spacing w:line="360" w:lineRule="auto"/>
        <w:ind w:firstLine="720"/>
        <w:jc w:val="both"/>
      </w:pPr>
      <w:r w:rsidRPr="00A52384">
        <w:t>„Art. 49. § 1. Urządzenia służące do doprowadzania lub odprowadz</w:t>
      </w:r>
      <w:r w:rsidRPr="00A52384">
        <w:t>a</w:t>
      </w:r>
      <w:r w:rsidRPr="00A52384">
        <w:t>nia płynów, pary, gazów, energii elektrycznej, a także urządzenia linii tra</w:t>
      </w:r>
      <w:r w:rsidRPr="00A52384">
        <w:t>m</w:t>
      </w:r>
      <w:r w:rsidRPr="00A52384">
        <w:t>wajowych, transportu linowego i linowo-terenowego, linii trolejbusowych oraz inne urządzenia podobne nie należą do części składowych nieruchomości, jeżeli wchodzą w skład przedsi</w:t>
      </w:r>
      <w:r w:rsidRPr="00A52384">
        <w:t>ę</w:t>
      </w:r>
      <w:r w:rsidRPr="00A52384">
        <w:t>biorstwa.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2. Urządzenia, o których mowa w §1 wchodzą w skład przedsi</w:t>
      </w:r>
      <w:r w:rsidRPr="00A52384">
        <w:t>ę</w:t>
      </w:r>
      <w:r w:rsidRPr="00A52384">
        <w:t>biorstwa z chwilą, gdy przedsiębiorca przyłączył je w sposób trwały do swojej sieci.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3. Jeżeli koszty budowy urządzeń, o których mowa w § 1 poniósł przedsiębiorca, to stanowią one jego własność, także po trwałym poł</w:t>
      </w:r>
      <w:r w:rsidRPr="00A52384">
        <w:t>ą</w:t>
      </w:r>
      <w:r w:rsidRPr="00A52384">
        <w:t>czeniu z cudzą nieruchomością, a przed przyłączeniem ich do sieci</w:t>
      </w:r>
      <w:r w:rsidRPr="00A52384">
        <w:rPr>
          <w:b/>
          <w:i/>
        </w:rPr>
        <w:t xml:space="preserve"> </w:t>
      </w:r>
      <w:r w:rsidRPr="00A52384">
        <w:t>prze</w:t>
      </w:r>
      <w:r w:rsidRPr="00A52384">
        <w:t>d</w:t>
      </w:r>
      <w:r w:rsidRPr="00A52384">
        <w:t>siębiorcy.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4. Jeżeli koszty budowy urządzeń, o których mowa w § 1 p</w:t>
      </w:r>
      <w:r w:rsidRPr="00A52384">
        <w:t>o</w:t>
      </w:r>
      <w:r w:rsidRPr="00A52384">
        <w:t>niósł właściciel nier</w:t>
      </w:r>
      <w:r w:rsidRPr="00A52384">
        <w:t>u</w:t>
      </w:r>
      <w:r w:rsidRPr="00A52384">
        <w:t>chomości, z którą trwale je połączono, może on żądać, aby przedsiębiorca nabył ich własność za odpowiednim wynagrodzeniem z chwilą, gdy urządzenia te weszły w skład przedsiębio</w:t>
      </w:r>
      <w:r w:rsidRPr="00A52384">
        <w:t>r</w:t>
      </w:r>
      <w:r w:rsidRPr="00A52384">
        <w:t>stwa, chyba że w umowie strony postanowiły inaczej. Z żądaniem przeniesienia własności tych urządzeń może wystąpić także przedsiębiorca.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5. Jeżeli koszty budowy urządzeń, o których mowa w § 1 poniosła inna osoba, niż wymieniona w § 3 lub § 4, to urządzenia te stanowią jej wł</w:t>
      </w:r>
      <w:r w:rsidRPr="00A52384">
        <w:t>a</w:t>
      </w:r>
      <w:r w:rsidRPr="00A52384">
        <w:t>sność, mimo trwałego połączenia z cudzą nieruchomością. Osoba ta może ż</w:t>
      </w:r>
      <w:r w:rsidRPr="00A52384">
        <w:t>ą</w:t>
      </w:r>
      <w:r w:rsidRPr="00A52384">
        <w:t>dać, aby podmiot prowadzący przedsiębiorstwo, w którego skład w</w:t>
      </w:r>
      <w:r w:rsidRPr="00A52384">
        <w:t>e</w:t>
      </w:r>
      <w:r w:rsidRPr="00A52384">
        <w:t>szły te urządzenia nabył ich własność za odpowiednim wynagrodzeniem, chyba że w umowie strony postanowiły inaczej. Z żądaniem przeniesi</w:t>
      </w:r>
      <w:r w:rsidRPr="00A52384">
        <w:t>e</w:t>
      </w:r>
      <w:r w:rsidRPr="00A52384">
        <w:t>nia własności tych urządzeń może w</w:t>
      </w:r>
      <w:r w:rsidRPr="00A52384">
        <w:t>y</w:t>
      </w:r>
      <w:r w:rsidRPr="00A52384">
        <w:t xml:space="preserve">stąpić także przedsiębiorca. 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6. Budynki i budowle służące wyłącznie do korzystania z urządzeń, o których mowa w § 1, wzniesione przez przedsiębiorcę na nieruchomości obciążonej służebnością przesyłu, stanowią jego własność.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7. Jeżeli budynki i budowle, o których mowa w § 6 zostały wzniesione na nieruchomości obciążonej służebnością przesyłu przez jej właściciela lub inną osobę, właściciel nieruchomości może ż</w:t>
      </w:r>
      <w:r w:rsidRPr="00A52384">
        <w:t>ą</w:t>
      </w:r>
      <w:r w:rsidRPr="00A52384">
        <w:t>dać, aby przedsiębiorca nabył ich własność za odpowiednim wynagrodz</w:t>
      </w:r>
      <w:r w:rsidRPr="00A52384">
        <w:t>e</w:t>
      </w:r>
      <w:r w:rsidRPr="00A52384">
        <w:t>niem, chyba że w umowie strony postanowiły inaczej. Z żąd</w:t>
      </w:r>
      <w:r w:rsidRPr="00A52384">
        <w:t>a</w:t>
      </w:r>
      <w:r w:rsidRPr="00A52384">
        <w:t>niem przeniesienia własności takich budynków i budowli może wyst</w:t>
      </w:r>
      <w:r w:rsidRPr="00A52384">
        <w:t>ą</w:t>
      </w:r>
      <w:r w:rsidRPr="00A52384">
        <w:t>pić także przedsiębiorca.”;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</w:p>
    <w:p w:rsidR="00651B6C" w:rsidRPr="00A52384" w:rsidRDefault="00651B6C" w:rsidP="00EA1DB6">
      <w:pPr>
        <w:widowControl w:val="0"/>
        <w:numPr>
          <w:ilvl w:val="0"/>
          <w:numId w:val="5"/>
        </w:numPr>
        <w:tabs>
          <w:tab w:val="clear" w:pos="1224"/>
          <w:tab w:val="num" w:pos="360"/>
        </w:tabs>
        <w:autoSpaceDE w:val="0"/>
        <w:autoSpaceDN w:val="0"/>
        <w:spacing w:line="360" w:lineRule="auto"/>
        <w:ind w:left="360"/>
        <w:jc w:val="both"/>
      </w:pPr>
      <w:r w:rsidRPr="00A52384">
        <w:t>dotychczasową treść art. 241 oznacza się jako § 1 i dodaje się § 2 w brzmieniu: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„§ 2</w:t>
      </w:r>
      <w:r>
        <w:t>.</w:t>
      </w:r>
      <w:r w:rsidRPr="00A52384">
        <w:t xml:space="preserve"> Służebność drogi koniecznej, służebność przesyłu oraz sł</w:t>
      </w:r>
      <w:r w:rsidRPr="00A52384">
        <w:t>u</w:t>
      </w:r>
      <w:r w:rsidRPr="00A52384">
        <w:t>żebność ustan</w:t>
      </w:r>
      <w:r w:rsidRPr="00A52384">
        <w:t>o</w:t>
      </w:r>
      <w:r w:rsidRPr="00A52384">
        <w:t>wiona w związku z przekroczeniem granicy przy wznoszeniu budowli lub innego urz</w:t>
      </w:r>
      <w:r w:rsidRPr="00A52384">
        <w:t>ą</w:t>
      </w:r>
      <w:r w:rsidRPr="00A52384">
        <w:t>dzenia pozostają w mocy.”;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</w:p>
    <w:p w:rsidR="00651B6C" w:rsidRPr="00A52384" w:rsidRDefault="00651B6C" w:rsidP="00EA1DB6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spacing w:line="360" w:lineRule="auto"/>
        <w:ind w:left="360"/>
        <w:jc w:val="both"/>
      </w:pPr>
      <w:r w:rsidRPr="00A52384">
        <w:t>po art. 285 dodaje się art. 285¹ w brzmi</w:t>
      </w:r>
      <w:r w:rsidRPr="00A52384">
        <w:t>e</w:t>
      </w:r>
      <w:r w:rsidRPr="00A52384">
        <w:t>niu: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„Art. 285¹. Służebność gruntową może ustanowić użytkownik wi</w:t>
      </w:r>
      <w:r w:rsidRPr="00A52384">
        <w:t>e</w:t>
      </w:r>
      <w:r w:rsidRPr="00A52384">
        <w:t>czysty; służebność taka może być ustanowiona na rzecz uży</w:t>
      </w:r>
      <w:r w:rsidRPr="00A52384">
        <w:t>t</w:t>
      </w:r>
      <w:r w:rsidRPr="00A52384">
        <w:t>kownika wieczystego.”;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ind w:firstLine="720"/>
        <w:jc w:val="both"/>
      </w:pPr>
    </w:p>
    <w:p w:rsidR="00651B6C" w:rsidRPr="00A52384" w:rsidRDefault="00651B6C" w:rsidP="00EA1DB6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spacing w:line="360" w:lineRule="auto"/>
        <w:ind w:left="360"/>
        <w:jc w:val="both"/>
      </w:pPr>
      <w:r w:rsidRPr="00A52384">
        <w:t>dotychczasową treść art. 305</w:t>
      </w:r>
      <w:r w:rsidRPr="00A52384">
        <w:rPr>
          <w:vertAlign w:val="superscript"/>
        </w:rPr>
        <w:t>1</w:t>
      </w:r>
      <w:r w:rsidRPr="00A52384">
        <w:t xml:space="preserve"> oznacza się jako § 1 i dodaje się § 2 w brzmieniu: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jc w:val="both"/>
      </w:pPr>
      <w:r w:rsidRPr="00A52384">
        <w:tab/>
        <w:t>„§ 2. Służebność przesyłu może mieć j</w:t>
      </w:r>
      <w:r w:rsidRPr="00A52384">
        <w:t>e</w:t>
      </w:r>
      <w:r w:rsidRPr="00A52384">
        <w:t>dynie na celu zwiększenie użyteczności przedsiębiorstwa.”;</w:t>
      </w:r>
    </w:p>
    <w:p w:rsidR="00651B6C" w:rsidRPr="00A52384" w:rsidRDefault="00651B6C" w:rsidP="00EA1DB6">
      <w:pPr>
        <w:widowControl w:val="0"/>
        <w:autoSpaceDE w:val="0"/>
        <w:autoSpaceDN w:val="0"/>
        <w:spacing w:line="360" w:lineRule="auto"/>
        <w:jc w:val="both"/>
      </w:pPr>
    </w:p>
    <w:p w:rsidR="00651B6C" w:rsidRPr="00A52384" w:rsidRDefault="00651B6C" w:rsidP="00EA1DB6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spacing w:line="360" w:lineRule="auto"/>
        <w:ind w:left="360"/>
        <w:jc w:val="both"/>
      </w:pPr>
      <w:r>
        <w:t>w</w:t>
      </w:r>
      <w:r w:rsidRPr="00A52384">
        <w:t xml:space="preserve"> art. 305</w:t>
      </w:r>
      <w:r w:rsidRPr="00A52384">
        <w:rPr>
          <w:vertAlign w:val="superscript"/>
        </w:rPr>
        <w:t>2</w:t>
      </w:r>
      <w:r w:rsidRPr="00A52384">
        <w:t xml:space="preserve"> dodaje się § 3 i 4 w brzmi</w:t>
      </w:r>
      <w:r w:rsidRPr="00A52384">
        <w:t>e</w:t>
      </w:r>
      <w:r w:rsidRPr="00A52384">
        <w:t>niu:</w:t>
      </w:r>
    </w:p>
    <w:p w:rsidR="00651B6C" w:rsidRPr="00A52384" w:rsidRDefault="00651B6C" w:rsidP="002314C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„§ 3. Ustanowienie służebności przesyłu nastąpi z uwzględnieniem przeznaczenia nieruchomości oraz uzasadnio</w:t>
      </w:r>
      <w:r>
        <w:t>nych interesów jej właściciela.</w:t>
      </w:r>
    </w:p>
    <w:p w:rsidR="00651B6C" w:rsidRPr="00A52384" w:rsidRDefault="00651B6C" w:rsidP="002314C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§ 4. Odpowiednie wynagrodzenie, o którym mowa w § 1 i 2, okr</w:t>
      </w:r>
      <w:r w:rsidRPr="00A52384">
        <w:t>e</w:t>
      </w:r>
      <w:r w:rsidRPr="00A52384">
        <w:t>śla się uwzględniając wysokość wynagrodzeń ustalanych</w:t>
      </w:r>
      <w:r w:rsidRPr="00A52384">
        <w:rPr>
          <w:b/>
          <w:i/>
        </w:rPr>
        <w:t xml:space="preserve"> </w:t>
      </w:r>
      <w:r w:rsidRPr="00A52384">
        <w:t>w dr</w:t>
      </w:r>
      <w:r w:rsidRPr="00A52384">
        <w:t>o</w:t>
      </w:r>
      <w:r w:rsidRPr="00A52384">
        <w:t>dze umowy za podobne obciążenia w zbliżonych okolicznościach, a w ich braku – obniżenie użyteczności lub wartości obciążonej nieruch</w:t>
      </w:r>
      <w:r w:rsidRPr="00A52384">
        <w:t>o</w:t>
      </w:r>
      <w:r w:rsidRPr="00A52384">
        <w:t>mości.”;</w:t>
      </w:r>
    </w:p>
    <w:p w:rsidR="00651B6C" w:rsidRPr="00A52384" w:rsidRDefault="00651B6C" w:rsidP="002314C6">
      <w:pPr>
        <w:widowControl w:val="0"/>
        <w:autoSpaceDE w:val="0"/>
        <w:autoSpaceDN w:val="0"/>
        <w:spacing w:line="360" w:lineRule="auto"/>
        <w:ind w:firstLine="720"/>
        <w:jc w:val="both"/>
      </w:pPr>
    </w:p>
    <w:p w:rsidR="00651B6C" w:rsidRPr="00A52384" w:rsidRDefault="00651B6C" w:rsidP="002314C6">
      <w:pPr>
        <w:widowControl w:val="0"/>
        <w:numPr>
          <w:ilvl w:val="0"/>
          <w:numId w:val="5"/>
        </w:numPr>
        <w:tabs>
          <w:tab w:val="clear" w:pos="1224"/>
          <w:tab w:val="num" w:pos="360"/>
        </w:tabs>
        <w:autoSpaceDE w:val="0"/>
        <w:autoSpaceDN w:val="0"/>
        <w:spacing w:line="360" w:lineRule="auto"/>
        <w:ind w:left="360"/>
        <w:jc w:val="both"/>
      </w:pPr>
      <w:r>
        <w:t>w a</w:t>
      </w:r>
      <w:r w:rsidRPr="00A52384">
        <w:t>rt. 305</w:t>
      </w:r>
      <w:r w:rsidRPr="00A52384">
        <w:rPr>
          <w:vertAlign w:val="superscript"/>
        </w:rPr>
        <w:t>3</w:t>
      </w:r>
      <w:r w:rsidRPr="00A52384">
        <w:t xml:space="preserve"> § 2 otrzymuje brzmienie:</w:t>
      </w:r>
    </w:p>
    <w:p w:rsidR="00651B6C" w:rsidRPr="00A52384" w:rsidRDefault="00651B6C" w:rsidP="002314C6">
      <w:pPr>
        <w:widowControl w:val="0"/>
        <w:autoSpaceDE w:val="0"/>
        <w:autoSpaceDN w:val="0"/>
        <w:spacing w:line="360" w:lineRule="auto"/>
        <w:ind w:firstLine="720"/>
        <w:jc w:val="both"/>
      </w:pPr>
      <w:r w:rsidRPr="00A52384">
        <w:t>„§ 2. Służebność przesyłu wygasa najpóźniej wraz z zakończeniem l</w:t>
      </w:r>
      <w:r w:rsidRPr="00A52384">
        <w:t>i</w:t>
      </w:r>
      <w:r w:rsidRPr="00A52384">
        <w:t>kwidacji przedsi</w:t>
      </w:r>
      <w:r w:rsidRPr="00A52384">
        <w:t>ę</w:t>
      </w:r>
      <w:r w:rsidRPr="00A52384">
        <w:t>biorcy.”.</w:t>
      </w:r>
    </w:p>
    <w:p w:rsidR="00651B6C" w:rsidRPr="00A52384" w:rsidRDefault="00651B6C" w:rsidP="002314C6">
      <w:pPr>
        <w:widowControl w:val="0"/>
        <w:autoSpaceDE w:val="0"/>
        <w:autoSpaceDN w:val="0"/>
        <w:spacing w:line="360" w:lineRule="auto"/>
        <w:ind w:firstLine="720"/>
        <w:jc w:val="both"/>
      </w:pP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  <w:r w:rsidRPr="00A52384">
        <w:rPr>
          <w:b/>
        </w:rPr>
        <w:t>Art. 2.</w:t>
      </w:r>
      <w:r w:rsidRPr="00A52384">
        <w:t xml:space="preserve"> § 1. Urządzenia, o których mowa w art. 49 § 1 Kodeksu cywi</w:t>
      </w:r>
      <w:r w:rsidRPr="00A52384">
        <w:t>l</w:t>
      </w:r>
      <w:r w:rsidRPr="00A52384">
        <w:t>nego istniejące w dniu wejścia w życie niniejszej ustawy, stanowią wł</w:t>
      </w:r>
      <w:r w:rsidRPr="00A52384">
        <w:t>a</w:t>
      </w:r>
      <w:r w:rsidRPr="00A52384">
        <w:t>sność przedsiębiorcy, jeżeli poniósł on koszty ich budowy. J</w:t>
      </w:r>
      <w:r w:rsidRPr="00A52384">
        <w:t>e</w:t>
      </w:r>
      <w:r w:rsidRPr="00A52384">
        <w:t>żeli koszty te poniosła inna osoba i jest ich właścicielem, to może żądać, aby podmiot pr</w:t>
      </w:r>
      <w:r w:rsidRPr="00A52384">
        <w:t>o</w:t>
      </w:r>
      <w:r w:rsidRPr="00A52384">
        <w:t>wadzący przedsiębiorstwo, w którego skład w</w:t>
      </w:r>
      <w:r w:rsidRPr="00A52384">
        <w:t>e</w:t>
      </w:r>
      <w:r w:rsidRPr="00A52384">
        <w:t>szły te urządzenia, nabył ich własność za odpowiednim wynagrodzeniem, chyba że w umowie strony p</w:t>
      </w:r>
      <w:r w:rsidRPr="00A52384">
        <w:t>o</w:t>
      </w:r>
      <w:r w:rsidRPr="00A52384">
        <w:t>stanowiły inaczej. Z żądaniem przeniesienia własności tych urządzeń, może w</w:t>
      </w:r>
      <w:r w:rsidRPr="00A52384">
        <w:t>y</w:t>
      </w:r>
      <w:r w:rsidRPr="00A52384">
        <w:t>stąpić także przedsiębio</w:t>
      </w:r>
      <w:r w:rsidRPr="00A52384">
        <w:t>r</w:t>
      </w:r>
      <w:r w:rsidRPr="00A52384">
        <w:t>ca.</w:t>
      </w: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  <w:r w:rsidRPr="00A52384">
        <w:t>§ 2. Własność budynków i budowli służących wyłącznie do korzyst</w:t>
      </w:r>
      <w:r w:rsidRPr="00A52384">
        <w:t>a</w:t>
      </w:r>
      <w:r w:rsidRPr="00A52384">
        <w:t>nia z urządzeń, o których mowa w art. 49 § 1 Kodeksu cywilnego, wzniesionych na ni</w:t>
      </w:r>
      <w:r w:rsidRPr="00A52384">
        <w:t>e</w:t>
      </w:r>
      <w:r w:rsidRPr="00A52384">
        <w:t>ruchomości przed wejściem w życie niniejszej ustawy, może być przeni</w:t>
      </w:r>
      <w:r w:rsidRPr="00A52384">
        <w:t>e</w:t>
      </w:r>
      <w:r w:rsidRPr="00A52384">
        <w:t>siona przez właściciela nieruchomości na przedsiębiorcę, w umowie o ustan</w:t>
      </w:r>
      <w:r w:rsidRPr="00A52384">
        <w:t>o</w:t>
      </w:r>
      <w:r w:rsidRPr="00A52384">
        <w:t>wienie służebności przesyłu. Jeżeli koszty ich budowy poniósł przedsiębiorca przeni</w:t>
      </w:r>
      <w:r w:rsidRPr="00A52384">
        <w:t>e</w:t>
      </w:r>
      <w:r w:rsidRPr="00A52384">
        <w:t>sienie następuje nieodpłatnie. W braku porozumienia stronom przysługuje ros</w:t>
      </w:r>
      <w:r w:rsidRPr="00A52384">
        <w:t>z</w:t>
      </w:r>
      <w:r w:rsidRPr="00A52384">
        <w:t>czenie o przeniesienie własności. Jeżeli ustanowienie służebności przesyłu n</w:t>
      </w:r>
      <w:r w:rsidRPr="00A52384">
        <w:t>a</w:t>
      </w:r>
      <w:r w:rsidRPr="00A52384">
        <w:t>stępuje na podstawie orzeczenia sądowego, o przeniesieniu na rzecz przedsi</w:t>
      </w:r>
      <w:r w:rsidRPr="00A52384">
        <w:t>ę</w:t>
      </w:r>
      <w:r w:rsidRPr="00A52384">
        <w:t>biorcy własności takich budynków i budowli, orzeka sąd w tym postan</w:t>
      </w:r>
      <w:r w:rsidRPr="00A52384">
        <w:t>o</w:t>
      </w:r>
      <w:r w:rsidRPr="00A52384">
        <w:t>wieniu.</w:t>
      </w: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  <w:r w:rsidRPr="00A52384">
        <w:rPr>
          <w:b/>
        </w:rPr>
        <w:t>Art. 3.</w:t>
      </w:r>
      <w:r w:rsidRPr="00A52384">
        <w:t xml:space="preserve"> Do zasiedzenia służebności przesyłu, którego bieg rozpoczął się przed jej ustawowym uregulowaniem, wlicza się dotychczasowy okres posi</w:t>
      </w:r>
      <w:r w:rsidRPr="00A52384">
        <w:t>a</w:t>
      </w:r>
      <w:r w:rsidRPr="00A52384">
        <w:t>dania służebności, który uzasadniał nabycie służebności gruntowej o treści odpowiad</w:t>
      </w:r>
      <w:r w:rsidRPr="00A52384">
        <w:t>a</w:t>
      </w:r>
      <w:r w:rsidRPr="00A52384">
        <w:t>jącej służebności przesyłu.</w:t>
      </w: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  <w:r w:rsidRPr="00A52384">
        <w:rPr>
          <w:b/>
        </w:rPr>
        <w:t>Art. 4.</w:t>
      </w:r>
      <w:r w:rsidRPr="00A52384">
        <w:t xml:space="preserve"> Bieg przedawnienia roszczeń, o kt</w:t>
      </w:r>
      <w:r w:rsidRPr="00A52384">
        <w:t>ó</w:t>
      </w:r>
      <w:r w:rsidRPr="00A52384">
        <w:t>rych mowa w art. 49 § 4, § 5 i § 7 oraz w art. 305</w:t>
      </w:r>
      <w:r w:rsidRPr="00A52384">
        <w:rPr>
          <w:vertAlign w:val="superscript"/>
        </w:rPr>
        <w:t>2</w:t>
      </w:r>
      <w:r w:rsidRPr="00A52384">
        <w:t>, Kodeksu cywilnego, rozpoczyna się z dniem wejścia w życie ustawy z dnia 30 maja 2008 r. o zmianie ustawy – Kodeks cywilny oraz niekt</w:t>
      </w:r>
      <w:r w:rsidRPr="00A52384">
        <w:t>ó</w:t>
      </w:r>
      <w:r w:rsidRPr="00A52384">
        <w:t>rych i</w:t>
      </w:r>
      <w:r w:rsidRPr="00A52384">
        <w:t>n</w:t>
      </w:r>
      <w:r w:rsidRPr="00A52384">
        <w:t>nych ustaw (Dz. U. Nr 116, poz. 731).</w:t>
      </w: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  <w:r w:rsidRPr="00A52384">
        <w:rPr>
          <w:b/>
        </w:rPr>
        <w:t>Art. 5.</w:t>
      </w:r>
      <w:r w:rsidRPr="00A52384">
        <w:t xml:space="preserve"> Bieg przedawnienia roszczeń, o których stanowi art. 2 rozp</w:t>
      </w:r>
      <w:r w:rsidRPr="00A52384">
        <w:t>o</w:t>
      </w:r>
      <w:r w:rsidRPr="00A52384">
        <w:t>czyna się z dniem wejścia w życie niniejszej ustawy.</w:t>
      </w: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</w:p>
    <w:p w:rsidR="00651B6C" w:rsidRPr="00A52384" w:rsidRDefault="00651B6C" w:rsidP="0034729C">
      <w:pPr>
        <w:widowControl w:val="0"/>
        <w:autoSpaceDE w:val="0"/>
        <w:autoSpaceDN w:val="0"/>
        <w:spacing w:line="360" w:lineRule="auto"/>
        <w:ind w:firstLine="864"/>
        <w:jc w:val="both"/>
      </w:pPr>
      <w:r w:rsidRPr="00A52384">
        <w:rPr>
          <w:b/>
        </w:rPr>
        <w:t>Art. 6.</w:t>
      </w:r>
      <w:r w:rsidRPr="00A52384">
        <w:t xml:space="preserve"> Ustawa wchodzi w życie z dniem ……</w:t>
      </w:r>
    </w:p>
    <w:p w:rsidR="00651B6C" w:rsidRPr="00A52384" w:rsidRDefault="00651B6C" w:rsidP="002314C6">
      <w:pPr>
        <w:widowControl w:val="0"/>
        <w:autoSpaceDE w:val="0"/>
        <w:autoSpaceDN w:val="0"/>
        <w:spacing w:line="360" w:lineRule="auto"/>
        <w:jc w:val="center"/>
        <w:rPr>
          <w:b/>
          <w:caps/>
        </w:rPr>
      </w:pPr>
      <w:r w:rsidRPr="00A52384">
        <w:br w:type="page"/>
      </w:r>
      <w:r w:rsidRPr="00A52384">
        <w:rPr>
          <w:b/>
          <w:caps/>
        </w:rPr>
        <w:t>Uzasadnienie</w:t>
      </w:r>
    </w:p>
    <w:p w:rsidR="00651B6C" w:rsidRPr="00A52384" w:rsidRDefault="00651B6C" w:rsidP="0034729C">
      <w:pPr>
        <w:spacing w:line="360" w:lineRule="auto"/>
        <w:jc w:val="both"/>
      </w:pP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1. Ustawą z dnia 30 maja 2008 r. o zmianie ustawy – Kodeks cywilny oraz niektórych innych ustaw (Dz.</w:t>
      </w:r>
      <w:r>
        <w:t xml:space="preserve"> </w:t>
      </w:r>
      <w:r w:rsidRPr="00A52384">
        <w:t>U. Nr 116, poz. 731) dokonano m.in. zmiany art. 49 K</w:t>
      </w:r>
      <w:r w:rsidRPr="00A52384">
        <w:t>o</w:t>
      </w:r>
      <w:r w:rsidRPr="00A52384">
        <w:t>deksu cywilnego, który reguluje status prawny tzw. urządzeń przesyłowych. Zasadn</w:t>
      </w:r>
      <w:r w:rsidRPr="00A52384">
        <w:t>i</w:t>
      </w:r>
      <w:r w:rsidRPr="00A52384">
        <w:t>czym celem tej zmiany było stworzenie podstawy prawnej umożliwiającej uzyskanie przez przedsiębiorcę przesyłowego tytułu prawnego do korzystania z urządzeń, kt</w:t>
      </w:r>
      <w:r w:rsidRPr="00A52384">
        <w:t>ó</w:t>
      </w:r>
      <w:r w:rsidRPr="00A52384">
        <w:t>rych koszty budowy poniosła inna osoba. Cel ten zrealizowano przez dodanie par</w:t>
      </w:r>
      <w:r w:rsidRPr="00A52384">
        <w:t>a</w:t>
      </w:r>
      <w:r w:rsidRPr="00A52384">
        <w:t>grafu 2 do art. 49 Kodeksu cywilnego. W przepisie tym przyjęto, że podstawowym instrumentem, który pozwala określić tytuł prawny do korzystania przez przedsiębio</w:t>
      </w:r>
      <w:r w:rsidRPr="00A52384">
        <w:t>r</w:t>
      </w:r>
      <w:r w:rsidRPr="00A52384">
        <w:t>cę z urządzeń sfinansowanych przez inną osobę – jest umowa zawarta między prze</w:t>
      </w:r>
      <w:r w:rsidRPr="00A52384">
        <w:t>d</w:t>
      </w:r>
      <w:r w:rsidRPr="00A52384">
        <w:t>siębiorcą a podmiotem, który poniósł koszty budowy urządzeń i ubiega się o przyłączenie do sieci. Strony umowy decydują o tytule prawnym, na podstawie któr</w:t>
      </w:r>
      <w:r w:rsidRPr="00A52384">
        <w:t>e</w:t>
      </w:r>
      <w:r w:rsidRPr="00A52384">
        <w:t>go przedsiębiorca będzie korzystał z takich urządzeń. Chodzi przede wszystkim o przeniesienie własności na warunkach uzgodnionych w umowie (odpłatnie lub nieo</w:t>
      </w:r>
      <w:r w:rsidRPr="00A52384">
        <w:t>d</w:t>
      </w:r>
      <w:r w:rsidRPr="00A52384">
        <w:t>płatnie); możliwe jest też ustanowienie innego tytułu prawnorzeczowego (użytkow</w:t>
      </w:r>
      <w:r w:rsidRPr="00A52384">
        <w:t>a</w:t>
      </w:r>
      <w:r w:rsidRPr="00A52384">
        <w:t xml:space="preserve">nie) bądź obligacyjnego (najem, leasing). Przeniesienie własności urządzeń, które w świetle art. 49 </w:t>
      </w:r>
      <w:r>
        <w:t>k.c.</w:t>
      </w:r>
      <w:r w:rsidRPr="00A52384">
        <w:t>, należy uznać za rzeczy ruchome, lub okr</w:t>
      </w:r>
      <w:r w:rsidRPr="00A52384">
        <w:t>e</w:t>
      </w:r>
      <w:r w:rsidRPr="00A52384">
        <w:t>ślenie innego tytułu prawnego do korzystania z nich, n</w:t>
      </w:r>
      <w:r w:rsidRPr="00A52384">
        <w:t>a</w:t>
      </w:r>
      <w:r w:rsidRPr="00A52384">
        <w:t xml:space="preserve">stępuje na rzecz przedsiębiorcy zdefiniowanego w art. 43¹ </w:t>
      </w:r>
      <w:r>
        <w:t>k.c.</w:t>
      </w:r>
      <w:r w:rsidRPr="00A52384">
        <w:t xml:space="preserve"> z tym, że z chwilą zawarcia umowy prawa do tych urz</w:t>
      </w:r>
      <w:r w:rsidRPr="00A52384">
        <w:t>ą</w:t>
      </w:r>
      <w:r w:rsidRPr="00A52384">
        <w:t xml:space="preserve">dzeń stają się składnikiem przedsiębiorstwa w rozumieniu art. 55¹ </w:t>
      </w:r>
      <w:r>
        <w:t>k.c</w:t>
      </w:r>
      <w:r w:rsidRPr="00A52384">
        <w:t>. W razie odmowy zawarcia takiej umowy przez przedsiębiorcę, osobie, która poniosła koszty budowy urządzeń i jest ich właścicielem, przysługuje roszczenie o nabycie własności tych urządzeń przez przedsiębiorcę za odpowiednim wynagrodzeniem. Odpowiednio takie roszcz</w:t>
      </w:r>
      <w:r w:rsidRPr="00A52384">
        <w:t>e</w:t>
      </w:r>
      <w:r w:rsidRPr="00A52384">
        <w:t>nie przysługuje przedsiębiorcy, jeżeli zawarcia umowy odmawia osoba, która poni</w:t>
      </w:r>
      <w:r w:rsidRPr="00A52384">
        <w:t>o</w:t>
      </w:r>
      <w:r w:rsidRPr="00A52384">
        <w:t>sła koszty budowy urządzeń.</w:t>
      </w:r>
    </w:p>
    <w:p w:rsidR="00651B6C" w:rsidRPr="00A52384" w:rsidRDefault="00651B6C" w:rsidP="0034729C">
      <w:pPr>
        <w:spacing w:line="360" w:lineRule="auto"/>
        <w:jc w:val="both"/>
      </w:pP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2. Pierwsze doświadczenia wynikające ze stosow</w:t>
      </w:r>
      <w:r w:rsidRPr="00A52384">
        <w:t>a</w:t>
      </w:r>
      <w:r w:rsidRPr="00A52384">
        <w:t>nia tego przepisu wskazują na konieczność jego uszczegółowienia. W praktyce występują bowiem bardzo zró</w:t>
      </w:r>
      <w:r w:rsidRPr="00A52384">
        <w:t>ż</w:t>
      </w:r>
      <w:r w:rsidRPr="00A52384">
        <w:t>nicowane i złożone stany faktyczne, co do których zastos</w:t>
      </w:r>
      <w:r w:rsidRPr="00A52384">
        <w:t>o</w:t>
      </w:r>
      <w:r w:rsidRPr="00A52384">
        <w:t xml:space="preserve">wanie art. 49 </w:t>
      </w:r>
      <w:r>
        <w:t>k.c.</w:t>
      </w:r>
      <w:r w:rsidRPr="00A52384">
        <w:t xml:space="preserve"> wywołuje wątpliwości.</w:t>
      </w: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W pierwszej kolejności należało rozważyć potrzebę rozszerzenia zakresu st</w:t>
      </w:r>
      <w:r w:rsidRPr="00A52384">
        <w:t>o</w:t>
      </w:r>
      <w:r w:rsidRPr="00A52384">
        <w:t xml:space="preserve">sowania art. 49 § 1 </w:t>
      </w:r>
      <w:r>
        <w:t>k.c.</w:t>
      </w:r>
      <w:r w:rsidRPr="00A52384">
        <w:t xml:space="preserve"> w odni</w:t>
      </w:r>
      <w:r w:rsidRPr="00A52384">
        <w:t>e</w:t>
      </w:r>
      <w:r w:rsidRPr="00A52384">
        <w:t>sieniu do urządzeń linii kolejowych, tramwajowych i trole</w:t>
      </w:r>
      <w:r w:rsidRPr="00A52384">
        <w:t>j</w:t>
      </w:r>
      <w:r w:rsidRPr="00A52384">
        <w:t>busowych. Zagadnienie to ma bardzo ważne znaczenie praktyczne z punktu widzenia np. statusu prawnego ró</w:t>
      </w:r>
      <w:r w:rsidRPr="00A52384">
        <w:t>ż</w:t>
      </w:r>
      <w:r w:rsidRPr="00A52384">
        <w:t>nych urządzeń infrastruktury miast i wsi w sensie podstawowych urządzeń nieodzownych do prawidłowego fun</w:t>
      </w:r>
      <w:r w:rsidRPr="00A52384">
        <w:t>k</w:t>
      </w:r>
      <w:r w:rsidRPr="00A52384">
        <w:t>cjonowania gospodarki komunalnej i terenów zabudowanych, w szczególności uzbrojenia terenów, komun</w:t>
      </w:r>
      <w:r w:rsidRPr="00A52384">
        <w:t>i</w:t>
      </w:r>
      <w:r w:rsidRPr="00A52384">
        <w:t>kacji i transportu. Urządzenia te służą celom publicznym i są lokalizowane na nier</w:t>
      </w:r>
      <w:r w:rsidRPr="00A52384">
        <w:t>u</w:t>
      </w:r>
      <w:r w:rsidRPr="00A52384">
        <w:t>chomościach z reguły nie będących przedmiotem własności lub innego prawa rz</w:t>
      </w:r>
      <w:r w:rsidRPr="00A52384">
        <w:t>e</w:t>
      </w:r>
      <w:r w:rsidRPr="00A52384">
        <w:t>czowego eksploatującego je przedsiębiorstwa lub zakładu. Przykł</w:t>
      </w:r>
      <w:r w:rsidRPr="00A52384">
        <w:t>a</w:t>
      </w:r>
      <w:r w:rsidRPr="00A52384">
        <w:t>dem mogą być tory i urządzenia trakcji tramwajowej lub trolejbusowej. W obowiązującym stanie prawnym brak jest przepisu określającego prawo do tego rodzaju urządzeń, wobec czego pytanie o dopuszczalność odpowiednio sz</w:t>
      </w:r>
      <w:r w:rsidRPr="00A52384">
        <w:t>e</w:t>
      </w:r>
      <w:r w:rsidRPr="00A52384">
        <w:t xml:space="preserve">rokiego rozumienia hipotezy art. 49 </w:t>
      </w:r>
      <w:r>
        <w:t>k.c.</w:t>
      </w:r>
      <w:r w:rsidRPr="00A52384">
        <w:t xml:space="preserve"> nabiera szczególnej wagi. Trudno bowiem byłoby uznać za prawidłową w</w:t>
      </w:r>
      <w:r w:rsidRPr="00A52384">
        <w:t>y</w:t>
      </w:r>
      <w:r w:rsidRPr="00A52384">
        <w:t>kładnię, w wyniku której wchodzące np. w skład przedsi</w:t>
      </w:r>
      <w:r w:rsidRPr="00A52384">
        <w:t>ę</w:t>
      </w:r>
      <w:r w:rsidRPr="00A52384">
        <w:t xml:space="preserve">biorstwa kanalizacyjnego studzienki kanalizacyjne i rury odprowadzające ścieki nie należą do części składowej gruntu, a urządzenia trakcji tramwajowej wchodzące w skład zakładu budżetowego miasta, mogłaby stanowić część składową gruntu (art. 48 </w:t>
      </w:r>
      <w:r>
        <w:t>k.c.</w:t>
      </w:r>
      <w:r w:rsidRPr="00A52384">
        <w:t>). Wniosek taki prow</w:t>
      </w:r>
      <w:r w:rsidRPr="00A52384">
        <w:t>a</w:t>
      </w:r>
      <w:r w:rsidRPr="00A52384">
        <w:t>dziłby do wyników niemożliwych do zaakceptowania z punktu widzenia prawidłowej wykładni. Problemu nie ro</w:t>
      </w:r>
      <w:r w:rsidRPr="00A52384">
        <w:t>z</w:t>
      </w:r>
      <w:r w:rsidRPr="00A52384">
        <w:t>wiązuje użycie w treści art. 49 § 1 sformułowania „inne urządzenia podobne”, gdyż chodzi o podobieństwo do urządzeń przesyłowych. W orzecznictwie Sądu Najwyższego zastosowano to określenie jedynie przy kwalifik</w:t>
      </w:r>
      <w:r w:rsidRPr="00A52384">
        <w:t>o</w:t>
      </w:r>
      <w:r w:rsidRPr="00A52384">
        <w:t xml:space="preserve">waniu urządzeń sieci telewizji kablowej jako urządzeń, o których stanowi art. 49 § 1 </w:t>
      </w:r>
      <w:r>
        <w:t>k.c.</w:t>
      </w:r>
      <w:r w:rsidRPr="00A52384">
        <w:t xml:space="preserve"> (por. wyroki SN z dnia 3.12.1998 r. II CKN 216/98 i z dnia 3.12.2004 r. IV CK 347/04, niepublik.).</w:t>
      </w:r>
    </w:p>
    <w:p w:rsidR="00651B6C" w:rsidRPr="00A52384" w:rsidRDefault="00651B6C" w:rsidP="0034729C">
      <w:pPr>
        <w:spacing w:line="360" w:lineRule="auto"/>
        <w:jc w:val="both"/>
      </w:pP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3. W pierwszej kolejności należy rozważyć potrzebę objęcia zakresem stos</w:t>
      </w:r>
      <w:r w:rsidRPr="00A52384">
        <w:t>o</w:t>
      </w:r>
      <w:r w:rsidRPr="00A52384">
        <w:t xml:space="preserve">wania art. 49 § 1 </w:t>
      </w:r>
      <w:r>
        <w:t>k.c.</w:t>
      </w:r>
      <w:r w:rsidRPr="00A52384">
        <w:t xml:space="preserve"> urządzeń linii kolejowych. W art. 4 pkt 2 ustawy z dnia 28.03.2003 r. o transporcie kolejowym (Dz. U. Nr 86, poz. 789 ze zm.) zawarta jest ustawowa definicja „linii kolejowej”. Zgodnie z tym przepisem przez linię kolejową należy rozumieć tory kolejowe wraz z zajętymi pod nie gruntami oraz przyległy pas gruntu, a także budynki, budowle i urządzenia prz</w:t>
      </w:r>
      <w:r w:rsidRPr="00A52384">
        <w:t>e</w:t>
      </w:r>
      <w:r w:rsidRPr="00A52384">
        <w:t>znaczone do prowadzenia ruchu kolejowego, wraz z zaj</w:t>
      </w:r>
      <w:r w:rsidRPr="00A52384">
        <w:t>ę</w:t>
      </w:r>
      <w:r w:rsidRPr="00A52384">
        <w:t xml:space="preserve">tymi pod nie gruntami. W ustawie tej zdefiniowano także: „pas gruntu pod linię kolejową” </w:t>
      </w:r>
      <w:r>
        <w:t>–</w:t>
      </w:r>
      <w:r w:rsidRPr="00A52384">
        <w:t xml:space="preserve"> jako powierzchnię gruntu wykorzystywaną do b</w:t>
      </w:r>
      <w:r w:rsidRPr="00A52384">
        <w:t>u</w:t>
      </w:r>
      <w:r w:rsidRPr="00A52384">
        <w:t>dowy lub przebudowy linii kolejowej określoną w decyzji o ustaleniu lokalizacji linii kol</w:t>
      </w:r>
      <w:r w:rsidRPr="00A52384">
        <w:t>e</w:t>
      </w:r>
      <w:r w:rsidRPr="00A52384">
        <w:t xml:space="preserve">jowych; „przyległy pas gruntu” </w:t>
      </w:r>
      <w:r>
        <w:t>–</w:t>
      </w:r>
      <w:r w:rsidRPr="00A52384">
        <w:t xml:space="preserve"> jako grunty wzdłuż linii kolejowych, usytuowane po obu ich stronach, przeznaczone do bezpośredniego prowadzenia szlaku kolej</w:t>
      </w:r>
      <w:r w:rsidRPr="00A52384">
        <w:t>o</w:t>
      </w:r>
      <w:r w:rsidRPr="00A52384">
        <w:t>wego. W ustawie tej zdefiniowano także pojęcie „infrastruktury kolejowej” jako linie kolejowe oraz inne budowle, budynki i urządzenia wraz z zajętymi pod nie gruntami, usytuowane na obszarze kolejowym, przeznaczone do zarządzania, obsługi przew</w:t>
      </w:r>
      <w:r w:rsidRPr="00A52384">
        <w:t>o</w:t>
      </w:r>
      <w:r w:rsidRPr="00A52384">
        <w:t>zu osób i rzeczy, a także niezbędnego w tym celu majątku zarządcy infrastruktury. Brak jest nat</w:t>
      </w:r>
      <w:r w:rsidRPr="00A52384">
        <w:t>o</w:t>
      </w:r>
      <w:r w:rsidRPr="00A52384">
        <w:t>miast definicji „urządzeń linii kolejowej”.</w:t>
      </w: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Z uwagi na to, że ustawowa definicja linii kolejowej zawarta w ustawie o tran</w:t>
      </w:r>
      <w:r w:rsidRPr="00A52384">
        <w:t>s</w:t>
      </w:r>
      <w:r w:rsidRPr="00A52384">
        <w:t xml:space="preserve">porcie kolejowym obejmuje nie tylko tory kolejowe, lecz również zajęty pod nie grunt oraz przyległy pas gruntu, nie jest możliwe odwołanie się w art. 49 § 1 </w:t>
      </w:r>
      <w:r>
        <w:t>k.c.</w:t>
      </w:r>
      <w:r w:rsidRPr="00A52384">
        <w:t xml:space="preserve"> do określ</w:t>
      </w:r>
      <w:r w:rsidRPr="00A52384">
        <w:t>e</w:t>
      </w:r>
      <w:r w:rsidRPr="00A52384">
        <w:t>nia „linii kolejowej”. Grunt zajęty pod torami nie może być uznany za „urządzenie”. Można więc rozważyć posłużenie się określeniem „urządzenia linii kolejowej”, co o</w:t>
      </w:r>
      <w:r w:rsidRPr="00A52384">
        <w:t>d</w:t>
      </w:r>
      <w:r w:rsidRPr="00A52384">
        <w:t>powiada przyjętej w art. 49 § 1 konwencji urządzenia rozumianego jako rodzaj m</w:t>
      </w:r>
      <w:r w:rsidRPr="00A52384">
        <w:t>e</w:t>
      </w:r>
      <w:r w:rsidRPr="00A52384">
        <w:t>chanizmów lub zespół elementów służących do wykonywania określ</w:t>
      </w:r>
      <w:r w:rsidRPr="00A52384">
        <w:t>o</w:t>
      </w:r>
      <w:r w:rsidRPr="00A52384">
        <w:t>nych czynności. Przez urządzenia linii kolejowych należałoby więc rozumieć tory (szyny), sygnalizat</w:t>
      </w:r>
      <w:r w:rsidRPr="00A52384">
        <w:t>o</w:t>
      </w:r>
      <w:r w:rsidRPr="00A52384">
        <w:t>ry, sieć trakcy</w:t>
      </w:r>
      <w:r w:rsidRPr="00A52384">
        <w:t>j</w:t>
      </w:r>
      <w:r w:rsidRPr="00A52384">
        <w:t>ną, zwrotnice itp., a nie grunty zajęte pod torami. Rzecz jednak w tym, że w wyniku uwłaszczenia PKP (obecnie PKP S.A.) grunty te stały się przedmiotem użytkowania wieczystego tego podmiotu, a budynki i inne urządzenia znajdujące się na tych gruntach stały się z mocy prawa jego własnością (por. art. 34, 35, 37a ustawy z dnia 8.09.2000 r. o komercjalizacji, restrukturyzacji i prywatyz</w:t>
      </w:r>
      <w:r w:rsidRPr="00A52384">
        <w:t>a</w:t>
      </w:r>
      <w:r w:rsidRPr="00A52384">
        <w:t>cji przedsiębiorstwa państwowego „Polskie Koleje Państwowe” (Dz.U. Nr 84, poz. 948 ze zm.). W tej s</w:t>
      </w:r>
      <w:r w:rsidRPr="00A52384">
        <w:t>y</w:t>
      </w:r>
      <w:r w:rsidRPr="00A52384">
        <w:t xml:space="preserve">tuacji zgodnie z art. 235 § 2 </w:t>
      </w:r>
      <w:r>
        <w:t>k.c.</w:t>
      </w:r>
      <w:r w:rsidRPr="00A52384">
        <w:t xml:space="preserve"> przysługująca wieczystemu uży</w:t>
      </w:r>
      <w:r w:rsidRPr="00A52384">
        <w:t>t</w:t>
      </w:r>
      <w:r w:rsidRPr="00A52384">
        <w:t>kownikowi własność budynków i urządzeń na użytkowanym gruncie jest prawem związanym z użytkow</w:t>
      </w:r>
      <w:r w:rsidRPr="00A52384">
        <w:t>a</w:t>
      </w:r>
      <w:r w:rsidRPr="00A52384">
        <w:t>niem wieczystym. Oznacza to, że własność urządzeń linii kol</w:t>
      </w:r>
      <w:r w:rsidRPr="00A52384">
        <w:t>e</w:t>
      </w:r>
      <w:r w:rsidRPr="00A52384">
        <w:t>jowych jest prawem związanym z użytkowaniem wiecz</w:t>
      </w:r>
      <w:r w:rsidRPr="00A52384">
        <w:t>y</w:t>
      </w:r>
      <w:r w:rsidRPr="00A52384">
        <w:t xml:space="preserve">stym gruntów, a więc urządzenia te nie stanowią części składowej gruntu. Stosowanie art. 49 § 1 </w:t>
      </w:r>
      <w:r>
        <w:t>k.c.</w:t>
      </w:r>
      <w:r w:rsidRPr="00A52384">
        <w:t xml:space="preserve"> jest więc be</w:t>
      </w:r>
      <w:r w:rsidRPr="00A52384">
        <w:t>z</w:t>
      </w:r>
      <w:r w:rsidRPr="00A52384">
        <w:t>przedmiotowe.</w:t>
      </w:r>
    </w:p>
    <w:p w:rsidR="00651B6C" w:rsidRPr="00A52384" w:rsidRDefault="00651B6C" w:rsidP="0034729C">
      <w:pPr>
        <w:spacing w:line="360" w:lineRule="auto"/>
        <w:jc w:val="both"/>
      </w:pP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4. Odmiennie należy natomiast podejść do urządzeń linii tramwajowych, urz</w:t>
      </w:r>
      <w:r w:rsidRPr="00A52384">
        <w:t>ą</w:t>
      </w:r>
      <w:r w:rsidRPr="00A52384">
        <w:t>dzeń transportu linowego i linowo-terenowego, które nie są objęte przepisami ustawy z dnia 28.03.2003 r. o transporcie kolejowym (art. 3). Ust</w:t>
      </w:r>
      <w:r w:rsidRPr="00A52384">
        <w:t>a</w:t>
      </w:r>
      <w:r w:rsidRPr="00A52384">
        <w:t>wa ta – co oczywiste – nie dotyczy też urządzeń linii trole</w:t>
      </w:r>
      <w:r w:rsidRPr="00A52384">
        <w:t>j</w:t>
      </w:r>
      <w:r w:rsidRPr="00A52384">
        <w:t xml:space="preserve">busowych. Zastosowanie do nich art. 49 § 1 </w:t>
      </w:r>
      <w:r>
        <w:t>k.c.</w:t>
      </w:r>
      <w:r w:rsidRPr="00A52384">
        <w:t xml:space="preserve"> jest w pełni uzasadnione, skoro urządzenia służące do tego transportu z reguły nie są p</w:t>
      </w:r>
      <w:r w:rsidRPr="00A52384">
        <w:t>o</w:t>
      </w:r>
      <w:r w:rsidRPr="00A52384">
        <w:t xml:space="preserve">sadowione na gruntach stanowiących własność przedsiębiorców świadczących te usługi. </w:t>
      </w:r>
    </w:p>
    <w:p w:rsidR="00651B6C" w:rsidRPr="00A52384" w:rsidRDefault="00651B6C" w:rsidP="0034729C">
      <w:pPr>
        <w:spacing w:line="360" w:lineRule="auto"/>
        <w:ind w:firstLine="708"/>
        <w:jc w:val="both"/>
      </w:pPr>
      <w:r w:rsidRPr="00A52384">
        <w:t xml:space="preserve">W art. 49 § 1 </w:t>
      </w:r>
      <w:r>
        <w:t>k.c.</w:t>
      </w:r>
      <w:r w:rsidRPr="00A52384">
        <w:t xml:space="preserve"> proponuje się utrzymać sformułowanie „inne urządzenia p</w:t>
      </w:r>
      <w:r w:rsidRPr="00A52384">
        <w:t>o</w:t>
      </w:r>
      <w:r w:rsidRPr="00A52384">
        <w:t>dobne”, co umożliwia niezbę</w:t>
      </w:r>
      <w:r w:rsidRPr="00A52384">
        <w:t>d</w:t>
      </w:r>
      <w:r w:rsidRPr="00A52384">
        <w:t>ną elastyczność przy wykładni tego przepisu.</w:t>
      </w:r>
    </w:p>
    <w:p w:rsidR="00651B6C" w:rsidRPr="00A52384" w:rsidRDefault="00651B6C" w:rsidP="0034729C">
      <w:pPr>
        <w:spacing w:line="360" w:lineRule="auto"/>
        <w:ind w:firstLine="708"/>
        <w:jc w:val="both"/>
      </w:pPr>
      <w:r w:rsidRPr="00A52384">
        <w:t xml:space="preserve">5. W § 2 art. 49 </w:t>
      </w:r>
      <w:r>
        <w:t>k.c.</w:t>
      </w:r>
      <w:r w:rsidRPr="00A52384">
        <w:t xml:space="preserve"> wyjaśniono, co oznacza użyte w § 1 sformułowanie „jeżeli wchodzą w skład przedsiębiorstwa”. Przyjęto tu wykładnię Trybunału Konstytucyjn</w:t>
      </w:r>
      <w:r w:rsidRPr="00A52384">
        <w:t>e</w:t>
      </w:r>
      <w:r w:rsidRPr="00A52384">
        <w:t>go zawartą w uchwale z dnia 4.12.1991 r. W 4/91 (OTK 1991, nr 1, poz. 21) oraz S</w:t>
      </w:r>
      <w:r w:rsidRPr="00A52384">
        <w:t>ą</w:t>
      </w:r>
      <w:r w:rsidRPr="00A52384">
        <w:t>du Najwyższego zawartą w uchwale 7 sędziów z dnia 8.03.2006 r. III CZP 105/05 (OSNC 2006, nr 10, poz. 159), powszechnie aprobowaną.</w:t>
      </w:r>
    </w:p>
    <w:p w:rsidR="00651B6C" w:rsidRPr="00A52384" w:rsidRDefault="00651B6C" w:rsidP="0034729C">
      <w:pPr>
        <w:spacing w:line="360" w:lineRule="auto"/>
        <w:jc w:val="both"/>
      </w:pP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 xml:space="preserve">6. Proponowana treść art. 49 § 3, 4 i 5 </w:t>
      </w:r>
      <w:r>
        <w:t>k.c.</w:t>
      </w:r>
      <w:r w:rsidRPr="00A52384">
        <w:t xml:space="preserve"> dotyczy szczegółowego uregulow</w:t>
      </w:r>
      <w:r w:rsidRPr="00A52384">
        <w:t>a</w:t>
      </w:r>
      <w:r w:rsidRPr="00A52384">
        <w:t xml:space="preserve">nia statusu prawnego urządzeń, o których stanowi art. 49 § 1 </w:t>
      </w:r>
      <w:r>
        <w:t>k.c.</w:t>
      </w:r>
      <w:r w:rsidRPr="00A52384">
        <w:t>, w szczególności w aspekcie ich własności. Prawidłowe rozstrzygnięcie tego zaga</w:t>
      </w:r>
      <w:r w:rsidRPr="00A52384">
        <w:t>d</w:t>
      </w:r>
      <w:r w:rsidRPr="00A52384">
        <w:t>nienia wymaga przede wszystkim określenia statusu prawnego tych urządzeń w świetle prawa rz</w:t>
      </w:r>
      <w:r w:rsidRPr="00A52384">
        <w:t>e</w:t>
      </w:r>
      <w:r w:rsidRPr="00A52384">
        <w:t>czowego.</w:t>
      </w: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Urządzenie jest niewątpliwie rzeczą ruchomą, która połączona w sposób trw</w:t>
      </w:r>
      <w:r w:rsidRPr="00A52384">
        <w:t>a</w:t>
      </w:r>
      <w:r w:rsidRPr="00A52384">
        <w:t xml:space="preserve">ły z nieruchomością (z reguły nie będącą własnością przedsiębiorcy) uzyskuje status części składowej nieruchomości z mocy art. 191 </w:t>
      </w:r>
      <w:r>
        <w:t>k.c</w:t>
      </w:r>
      <w:r w:rsidRPr="00A52384">
        <w:t xml:space="preserve">. Dotyczy to okresu między ich wybudowaniem (posadowieniem) a chwilą, gdy „wchodzą w skład przedsiębiorstwa”. Pojęcie „wejście w skład przedsiębiorstwa” oznacza </w:t>
      </w:r>
      <w:r>
        <w:t>–</w:t>
      </w:r>
      <w:r w:rsidRPr="00A52384">
        <w:t xml:space="preserve"> zgodnie z uchwałą Trybunału Konstytucyjnego z dnia 4.12.1991 r. W 4/91 (OTK nr 1 z 1991, poz. 22) oraz uchwałą (7) Sądu Najwyższego z dnia 8.03.2006 r. III CZP 105/05 (OSNC 2006, nr 10, poz. 139) </w:t>
      </w:r>
      <w:r>
        <w:t>–</w:t>
      </w:r>
      <w:r w:rsidRPr="00A52384">
        <w:t xml:space="preserve"> faktyczne (fizyczne przyłączenie urządzenia do sieci. To stanowisko nie jest obecnie kw</w:t>
      </w:r>
      <w:r w:rsidRPr="00A52384">
        <w:t>e</w:t>
      </w:r>
      <w:r w:rsidRPr="00A52384">
        <w:t>stionowane, jak również panuje zgoda co do tego, że sformułowanie „wchodzą w skład przedsiębiorstwa” nie oznacza, że przedsiębiorcy przysługuje względem urz</w:t>
      </w:r>
      <w:r w:rsidRPr="00A52384">
        <w:t>ą</w:t>
      </w:r>
      <w:r w:rsidRPr="00A52384">
        <w:t>dzeń prawo własności. Przeciwnie, urządzenie które wchodzi skład przedsiębiorstwa uzyskuje ponownie status rzeczy ruchomej. Status prawny tej rz</w:t>
      </w:r>
      <w:r w:rsidRPr="00A52384">
        <w:t>e</w:t>
      </w:r>
      <w:r w:rsidRPr="00A52384">
        <w:t>czy ruchomej wzbudzał wątpliwości. Sąd Najwyższy w powołanej uchwale przyjął, że jeśli urządzenia są tak ściśle fizycznie i funkcjonalnie powiązane z instalacją, że ich odłączenie uniemożliwia jej prawidłowe funkcjonowanie, to wówczas urządzenia te stają się częścią składową instalacji, a tym samym własność urządzenia przechodzi na przedsiębio</w:t>
      </w:r>
      <w:r w:rsidRPr="00A52384">
        <w:t>r</w:t>
      </w:r>
      <w:r w:rsidRPr="00A52384">
        <w:t xml:space="preserve">cę jako właściciela instalacji będącej składnikiem sieci. Pogląd ten sformułowano przed nowelizacją art. 49 </w:t>
      </w:r>
      <w:r>
        <w:t>k.c</w:t>
      </w:r>
      <w:r w:rsidRPr="00A52384">
        <w:t xml:space="preserve">. Wydaje się, że pogląd ten trudno obronić na tle obecnego brzmienia art. 49 </w:t>
      </w:r>
      <w:r>
        <w:t>k.c</w:t>
      </w:r>
      <w:r w:rsidRPr="00A52384">
        <w:t>. z następujących powodów: Po pier</w:t>
      </w:r>
      <w:r w:rsidRPr="00A52384">
        <w:t>w</w:t>
      </w:r>
      <w:r w:rsidRPr="00A52384">
        <w:t xml:space="preserve">sze, w przepisie tym wg obecnej treści występuje pojęcie „urządzenie” i „sieć”, przy czym sieć jest niewątpliwie </w:t>
      </w:r>
      <w:r>
        <w:t>–</w:t>
      </w:r>
      <w:r w:rsidRPr="00A52384">
        <w:t xml:space="preserve"> z jurydycznego punktu widzenia </w:t>
      </w:r>
      <w:r>
        <w:t>–</w:t>
      </w:r>
      <w:r w:rsidRPr="00A52384">
        <w:t xml:space="preserve"> zbiorem rzeczy. Ozn</w:t>
      </w:r>
      <w:r w:rsidRPr="00A52384">
        <w:t>a</w:t>
      </w:r>
      <w:r w:rsidRPr="00A52384">
        <w:t>cza to z jednej strony, że nie sposób konstruować określenia „część składowa zbioru rz</w:t>
      </w:r>
      <w:r w:rsidRPr="00A52384">
        <w:t>e</w:t>
      </w:r>
      <w:r w:rsidRPr="00A52384">
        <w:t>czy”, z drugiej zaś strony zbiór rzeczy mogą tworzyć rzeczy ruchome należące do różnych podmiotów. Po drugie, wskazane przez Sąd Na</w:t>
      </w:r>
      <w:r w:rsidRPr="00A52384">
        <w:t>j</w:t>
      </w:r>
      <w:r w:rsidRPr="00A52384">
        <w:t>wyższy kryterium uznania, że urządzenie jest częścią składową instalacji tj. gdy odłączenie uniemożliwia praw</w:t>
      </w:r>
      <w:r w:rsidRPr="00A52384">
        <w:t>i</w:t>
      </w:r>
      <w:r w:rsidRPr="00A52384">
        <w:t>dłowe funkcjonowanie instalacji należącej do sieci, jest nieprzydatne z praktycznego punktu widzenia. Można bowiem twierdzić, że jeżeli odłączenie urządzenia spowod</w:t>
      </w:r>
      <w:r w:rsidRPr="00A52384">
        <w:t>u</w:t>
      </w:r>
      <w:r w:rsidRPr="00A52384">
        <w:t>je wadliwą pracę lub brak pracy innych urządzeń wchodzących w skład sieci, wó</w:t>
      </w:r>
      <w:r w:rsidRPr="00A52384">
        <w:t>w</w:t>
      </w:r>
      <w:r w:rsidRPr="00A52384">
        <w:t>czas należy przyjąć, że doszło do zakłócenia w funkcjonowaniu sieci. W konsekwe</w:t>
      </w:r>
      <w:r w:rsidRPr="00A52384">
        <w:t>n</w:t>
      </w:r>
      <w:r w:rsidRPr="00A52384">
        <w:t>cji można dojść do wniosku, że niemal każde urządzenie jest częścią składową inst</w:t>
      </w:r>
      <w:r w:rsidRPr="00A52384">
        <w:t>a</w:t>
      </w:r>
      <w:r w:rsidRPr="00A52384">
        <w:t xml:space="preserve">lacji, ponieważ jego odłączenie wpływa niekorzystnie na funkcjonowanie sieci. Po trzecie, problemu nie rozwiązuje także odwołanie się do art. 193 </w:t>
      </w:r>
      <w:r>
        <w:t>k.c.</w:t>
      </w:r>
      <w:r w:rsidRPr="00A52384">
        <w:t xml:space="preserve"> (połączenia rz</w:t>
      </w:r>
      <w:r w:rsidRPr="00A52384">
        <w:t>e</w:t>
      </w:r>
      <w:r w:rsidRPr="00A52384">
        <w:t>czy ruchomych). Wcale nie jest bowiem oczywiste, że wartość instalacji, do której przyłączone jest urządzenie, będzie zawsze większa od wartości urządzenia. W t</w:t>
      </w:r>
      <w:r w:rsidRPr="00A52384">
        <w:t>a</w:t>
      </w:r>
      <w:r w:rsidRPr="00A52384">
        <w:t>kim przypadku powstanie współwłasność.</w:t>
      </w:r>
    </w:p>
    <w:p w:rsidR="00651B6C" w:rsidRPr="00A52384" w:rsidRDefault="00651B6C" w:rsidP="0034729C">
      <w:pPr>
        <w:spacing w:line="360" w:lineRule="auto"/>
        <w:jc w:val="both"/>
      </w:pP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 xml:space="preserve">7. Dotychczasowa treść § 2 art. 49 </w:t>
      </w:r>
      <w:r>
        <w:t>k.c.</w:t>
      </w:r>
      <w:r w:rsidRPr="00A52384">
        <w:t xml:space="preserve"> wiąże własność urządzenia z poniesi</w:t>
      </w:r>
      <w:r w:rsidRPr="00A52384">
        <w:t>e</w:t>
      </w:r>
      <w:r w:rsidRPr="00A52384">
        <w:t>niem kosztów jego budowy. Taka formuła okazała się jednak niewystarczająca dla ro</w:t>
      </w:r>
      <w:r w:rsidRPr="00A52384">
        <w:t>z</w:t>
      </w:r>
      <w:r w:rsidRPr="00A52384">
        <w:t>strzygnięcia kwestii własności urządzeń, których koszty budowy mogli ponieść odpowiednio:</w:t>
      </w:r>
    </w:p>
    <w:p w:rsidR="00651B6C" w:rsidRPr="00A52384" w:rsidRDefault="00651B6C" w:rsidP="0034729C">
      <w:pPr>
        <w:numPr>
          <w:ilvl w:val="0"/>
          <w:numId w:val="1"/>
        </w:numPr>
        <w:spacing w:line="360" w:lineRule="auto"/>
        <w:jc w:val="both"/>
      </w:pPr>
      <w:r w:rsidRPr="00A52384">
        <w:t>przedsiębiorca, lub</w:t>
      </w:r>
    </w:p>
    <w:p w:rsidR="00651B6C" w:rsidRPr="00A52384" w:rsidRDefault="00651B6C" w:rsidP="0034729C">
      <w:pPr>
        <w:numPr>
          <w:ilvl w:val="0"/>
          <w:numId w:val="1"/>
        </w:numPr>
        <w:spacing w:line="360" w:lineRule="auto"/>
        <w:jc w:val="both"/>
      </w:pPr>
      <w:r w:rsidRPr="00A52384">
        <w:t>właściciel nieruchomości albo</w:t>
      </w:r>
    </w:p>
    <w:p w:rsidR="00651B6C" w:rsidRPr="00A52384" w:rsidRDefault="00651B6C" w:rsidP="0034729C">
      <w:pPr>
        <w:numPr>
          <w:ilvl w:val="0"/>
          <w:numId w:val="1"/>
        </w:numPr>
        <w:spacing w:line="360" w:lineRule="auto"/>
        <w:jc w:val="both"/>
      </w:pPr>
      <w:r w:rsidRPr="00A52384">
        <w:t>inna osoba.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Wątpliwości – z punktu widzenia uregulowań prawa rzeczowego – związane są z tym, że przed posadowieniem na gruncie urządzenie jest rzeczą ruchomą i ni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wątpliwie jest własnością osoby, która poniosła koszty jego budowy. Z chwilą trwał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go połączenia z gruntem urządzenie uz</w:t>
      </w:r>
      <w:r w:rsidRPr="00A52384">
        <w:rPr>
          <w:sz w:val="24"/>
          <w:szCs w:val="24"/>
        </w:rPr>
        <w:t>y</w:t>
      </w:r>
      <w:r w:rsidRPr="00A52384">
        <w:rPr>
          <w:sz w:val="24"/>
          <w:szCs w:val="24"/>
        </w:rPr>
        <w:t xml:space="preserve">skuje status części składowej nieruchomości i z mocy art. 191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staje się własnością właściciela nieruchomości. Status części składowej nieruchomości urządzenie traci – na podstawie art. 49 § 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– z chwilą, gdy wchodzi w skład przedsiębiorstwa, czyli z chwilą trwałego, fizycznego poł</w:t>
      </w:r>
      <w:r w:rsidRPr="00A52384">
        <w:rPr>
          <w:sz w:val="24"/>
          <w:szCs w:val="24"/>
        </w:rPr>
        <w:t>ą</w:t>
      </w:r>
      <w:r w:rsidRPr="00A52384">
        <w:rPr>
          <w:sz w:val="24"/>
          <w:szCs w:val="24"/>
        </w:rPr>
        <w:t xml:space="preserve">czenia urządzenia z siecią. Art. 49 § 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nie wskazuje podstawy prawnej, która uzasadnia „odzyskanie” własn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ści urządzenia, które ponownie staje się rzeczą ruchomą przez podmiot, który poniósł koszty jego budowy.</w:t>
      </w:r>
    </w:p>
    <w:p w:rsidR="00651B6C" w:rsidRPr="00A52384" w:rsidRDefault="00651B6C" w:rsidP="0034729C">
      <w:pPr>
        <w:spacing w:line="360" w:lineRule="auto"/>
        <w:jc w:val="both"/>
      </w:pPr>
      <w:r w:rsidRPr="00A52384">
        <w:tab/>
        <w:t>Rozstrzygając te kwestie proponuje się jednoznac</w:t>
      </w:r>
      <w:r w:rsidRPr="00A52384">
        <w:t>z</w:t>
      </w:r>
      <w:r w:rsidRPr="00A52384">
        <w:t>nie uregulować:</w:t>
      </w:r>
    </w:p>
    <w:p w:rsidR="00651B6C" w:rsidRPr="00A52384" w:rsidRDefault="00651B6C" w:rsidP="0034729C">
      <w:pPr>
        <w:numPr>
          <w:ilvl w:val="0"/>
          <w:numId w:val="1"/>
        </w:numPr>
        <w:spacing w:line="360" w:lineRule="auto"/>
        <w:jc w:val="both"/>
      </w:pPr>
      <w:r w:rsidRPr="00A52384">
        <w:t xml:space="preserve">własność urządzeń sfinansowanych przez przedsiębiorcę, przyjmując – na  zasadzie wyjątku od art. 191 </w:t>
      </w:r>
      <w:r>
        <w:t>k.c.</w:t>
      </w:r>
      <w:r w:rsidRPr="00A52384">
        <w:t xml:space="preserve"> – że urządzenia te pozostają własnością przedsiębiorcy, także po trwałym połączeniu ich z cudzą nieruchomością, a przed przyłączeniem ich do swojej sieci; po przyłączeniu do sieci urządzenia te – z mocy art. 49 § 1 </w:t>
      </w:r>
      <w:r>
        <w:t>k.c.</w:t>
      </w:r>
      <w:r w:rsidRPr="00A52384">
        <w:t xml:space="preserve"> – nie są częścią składową gruntu  (art. 49 § 3 </w:t>
      </w:r>
      <w:r>
        <w:t>k.c.</w:t>
      </w:r>
      <w:r w:rsidRPr="00A52384">
        <w:t>);</w:t>
      </w:r>
    </w:p>
    <w:p w:rsidR="00651B6C" w:rsidRPr="00A52384" w:rsidRDefault="00651B6C" w:rsidP="0034729C">
      <w:pPr>
        <w:numPr>
          <w:ilvl w:val="0"/>
          <w:numId w:val="1"/>
        </w:numPr>
        <w:spacing w:line="360" w:lineRule="auto"/>
        <w:jc w:val="both"/>
      </w:pPr>
      <w:r w:rsidRPr="00A52384">
        <w:t>własność urządzeń, których koszty budowy poniósł właściciel nieruchomości, z którą trwale je połączono przyjmując, że z chwilą gdy weszły w skład prze</w:t>
      </w:r>
      <w:r w:rsidRPr="00A52384">
        <w:t>d</w:t>
      </w:r>
      <w:r w:rsidRPr="00A52384">
        <w:t xml:space="preserve">siębiorstwa straciły status części składowej nieruchomości (art. 49 § 1 </w:t>
      </w:r>
      <w:r>
        <w:t>k.c.</w:t>
      </w:r>
      <w:r w:rsidRPr="00A52384">
        <w:t>), są rzeczą ruchomą, którą sfinansował właściciel nieruchomości, a więc może on żądać, aby ich własność nabył przedsi</w:t>
      </w:r>
      <w:r w:rsidRPr="00A52384">
        <w:t>ę</w:t>
      </w:r>
      <w:r w:rsidRPr="00A52384">
        <w:t>biorca, chyba że na podstawie umowy strony określiły inny tytuł prawny do korzystania z urządzeń przez przedsi</w:t>
      </w:r>
      <w:r w:rsidRPr="00A52384">
        <w:t>ę</w:t>
      </w:r>
      <w:r w:rsidRPr="00A52384">
        <w:t>biorcę (art. 49 § 4);</w:t>
      </w:r>
    </w:p>
    <w:p w:rsidR="00651B6C" w:rsidRPr="00A52384" w:rsidRDefault="00651B6C" w:rsidP="0034729C">
      <w:pPr>
        <w:numPr>
          <w:ilvl w:val="0"/>
          <w:numId w:val="1"/>
        </w:numPr>
        <w:spacing w:line="360" w:lineRule="auto"/>
        <w:jc w:val="both"/>
      </w:pPr>
      <w:r w:rsidRPr="00A52384">
        <w:t>własność urządzeń, których koszty budowy poniosła inna osoba niż przedsi</w:t>
      </w:r>
      <w:r w:rsidRPr="00A52384">
        <w:t>ę</w:t>
      </w:r>
      <w:r w:rsidRPr="00A52384">
        <w:t xml:space="preserve">biorca względnie właściciel nieruchomości przyjmując, że – w drodze wyjątku od art. 191 </w:t>
      </w:r>
      <w:r>
        <w:t>k.c.</w:t>
      </w:r>
      <w:r w:rsidRPr="00A52384">
        <w:t xml:space="preserve"> – pozostają one własnością tej osoby, mimo trwałego połącz</w:t>
      </w:r>
      <w:r w:rsidRPr="00A52384">
        <w:t>e</w:t>
      </w:r>
      <w:r w:rsidRPr="00A52384">
        <w:t>nia z cudzą nieruchomością; osoba ta może w drodze umowy lub roszczenia o zawarcie umowy przenieść własność na przedsiębiorcę; strony mogą też ust</w:t>
      </w:r>
      <w:r w:rsidRPr="00A52384">
        <w:t>a</w:t>
      </w:r>
      <w:r w:rsidRPr="00A52384">
        <w:t>lić umownie inny tytuł prawny do korzystania z tych urządzeń przez przedsi</w:t>
      </w:r>
      <w:r w:rsidRPr="00A52384">
        <w:t>ę</w:t>
      </w:r>
      <w:r w:rsidRPr="00A52384">
        <w:t>bio</w:t>
      </w:r>
      <w:r w:rsidRPr="00A52384">
        <w:t>r</w:t>
      </w:r>
      <w:r w:rsidRPr="00A52384">
        <w:t xml:space="preserve">cę (art. 49 </w:t>
      </w:r>
      <w:r>
        <w:br/>
      </w:r>
      <w:r w:rsidRPr="00A52384">
        <w:t>§ 5).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Te reguły działają na przyszłość. Odnośnie urz</w:t>
      </w:r>
      <w:r w:rsidRPr="00A52384">
        <w:rPr>
          <w:sz w:val="24"/>
          <w:szCs w:val="24"/>
        </w:rPr>
        <w:t>ą</w:t>
      </w:r>
      <w:r w:rsidRPr="00A52384">
        <w:rPr>
          <w:sz w:val="24"/>
          <w:szCs w:val="24"/>
        </w:rPr>
        <w:t>dzeń, które istnieją w dniu wejścia w życie ustawy prop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nuje się w art. 2 § 1 ustawy przesądzić, że urządzenia, których koszty budowy poniósł przedsiębiorca, są jego wł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snością, natomiast gdy koszty poniosła inna osoba, to może ona żądać nabycia ich własności przez prze</w:t>
      </w:r>
      <w:r w:rsidRPr="00A52384">
        <w:rPr>
          <w:sz w:val="24"/>
          <w:szCs w:val="24"/>
        </w:rPr>
        <w:t>d</w:t>
      </w:r>
      <w:r w:rsidRPr="00A52384">
        <w:rPr>
          <w:sz w:val="24"/>
          <w:szCs w:val="24"/>
        </w:rPr>
        <w:t>siębiorcę, chyba że w umowie strony postanowiły inaczej. Należy przy tym zwrócić uwagę, że w przepisie tym chodzi o urządzenia, które weszły już w skład przedsi</w:t>
      </w:r>
      <w:r w:rsidRPr="00A52384">
        <w:rPr>
          <w:sz w:val="24"/>
          <w:szCs w:val="24"/>
        </w:rPr>
        <w:t>ę</w:t>
      </w:r>
      <w:r w:rsidRPr="00A52384">
        <w:rPr>
          <w:sz w:val="24"/>
          <w:szCs w:val="24"/>
        </w:rPr>
        <w:t xml:space="preserve">biorstwa, a więc mają status rzeczy ruchomych (z mocy art. 49 § 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strac</w:t>
      </w:r>
      <w:r w:rsidRPr="00A52384">
        <w:rPr>
          <w:sz w:val="24"/>
          <w:szCs w:val="24"/>
        </w:rPr>
        <w:t>i</w:t>
      </w:r>
      <w:r w:rsidRPr="00A52384">
        <w:rPr>
          <w:sz w:val="24"/>
          <w:szCs w:val="24"/>
        </w:rPr>
        <w:t>ły status części składowych nieruchomości).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  <w:r w:rsidRPr="00A52384">
        <w:rPr>
          <w:sz w:val="24"/>
          <w:szCs w:val="24"/>
        </w:rPr>
        <w:tab/>
        <w:t>8. Odrębną regulację proponuje się w odniesieniu do budynków i budowli, kt</w:t>
      </w:r>
      <w:r w:rsidRPr="00A52384">
        <w:rPr>
          <w:sz w:val="24"/>
          <w:szCs w:val="24"/>
        </w:rPr>
        <w:t>ó</w:t>
      </w:r>
      <w:r w:rsidRPr="00A52384">
        <w:rPr>
          <w:sz w:val="24"/>
          <w:szCs w:val="24"/>
        </w:rPr>
        <w:t>re służą wyłącznie do korzyst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 xml:space="preserve">nia z urządzeń określonych w art. 49 § 1 </w:t>
      </w:r>
      <w:r>
        <w:rPr>
          <w:sz w:val="24"/>
          <w:szCs w:val="24"/>
        </w:rPr>
        <w:t>k.c</w:t>
      </w:r>
      <w:r w:rsidRPr="00A52384">
        <w:rPr>
          <w:sz w:val="24"/>
          <w:szCs w:val="24"/>
        </w:rPr>
        <w:t>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Wstępnie należy zauważyć, że Trybunał Konstytucyjny w wyroku z dnia 7 l</w:t>
      </w:r>
      <w:r w:rsidRPr="00A52384">
        <w:rPr>
          <w:sz w:val="24"/>
          <w:szCs w:val="24"/>
        </w:rPr>
        <w:t>i</w:t>
      </w:r>
      <w:r w:rsidRPr="00A52384">
        <w:rPr>
          <w:sz w:val="24"/>
          <w:szCs w:val="24"/>
        </w:rPr>
        <w:t>stopada 2006 r. SK 42/05 (Dz.U. Nr 206, poz. 1521) przyjął, że pojęcie „urządzenia” może obejmować budynki tworzące z zamieszczonymi w nich mechanizmami i prz</w:t>
      </w:r>
      <w:r w:rsidRPr="00A52384">
        <w:rPr>
          <w:sz w:val="24"/>
          <w:szCs w:val="24"/>
        </w:rPr>
        <w:t>y</w:t>
      </w:r>
      <w:r w:rsidRPr="00A52384">
        <w:rPr>
          <w:sz w:val="24"/>
          <w:szCs w:val="24"/>
        </w:rPr>
        <w:t>rządami jedną całość, co jednak wymaga każdorazowo rozważenia w okoliczn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ściach konkretnej sprawy. Podobny pogląd wypowiedział Sąd Na</w:t>
      </w:r>
      <w:r w:rsidRPr="00A52384">
        <w:rPr>
          <w:sz w:val="24"/>
          <w:szCs w:val="24"/>
        </w:rPr>
        <w:t>j</w:t>
      </w:r>
      <w:r w:rsidRPr="00A52384">
        <w:rPr>
          <w:sz w:val="24"/>
          <w:szCs w:val="24"/>
        </w:rPr>
        <w:t>wyższy w wyroku z dnia 18 czerwca 2004 r. II CK 359/03 (LexPolonica 38955), podkreślając także, że zależy to od okoliczności faktycznych sprawy. Uznać należy, że takie indywidualne rozstrzygnięcia nie rozwiązują problemu w sposób generalny. Wychodząc z tych z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 xml:space="preserve">łożeń proponuje się uregulować problem budynków i budowli służących wyłącznie do korzystania z urządzeń, o których stanowi art. 49 § 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52384">
        <w:rPr>
          <w:sz w:val="24"/>
          <w:szCs w:val="24"/>
        </w:rPr>
        <w:t>(np. budynki stacji transfo</w:t>
      </w:r>
      <w:r w:rsidRPr="00A52384">
        <w:rPr>
          <w:sz w:val="24"/>
          <w:szCs w:val="24"/>
        </w:rPr>
        <w:t>r</w:t>
      </w:r>
      <w:r w:rsidRPr="00A52384">
        <w:rPr>
          <w:sz w:val="24"/>
          <w:szCs w:val="24"/>
        </w:rPr>
        <w:t>matorów) odrębnie. U podstaw tej propozycji legły następujące założenia:</w:t>
      </w: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  <w:r w:rsidRPr="00A52384">
        <w:rPr>
          <w:sz w:val="24"/>
          <w:szCs w:val="24"/>
        </w:rPr>
        <w:tab/>
        <w:t xml:space="preserve">Po pierwsze, uregulowania proponowane w art. 49 § 6 i 7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mają działać j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 xml:space="preserve">dynie na przyszłość. Zgodnie z art. 305¹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przedsiębiorca, który zamierza wybud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wać nowe urządzenia winien uprzednio uzyskać tytuł prawny dla gruntu, w szczegó</w:t>
      </w:r>
      <w:r w:rsidRPr="00A52384">
        <w:rPr>
          <w:sz w:val="24"/>
          <w:szCs w:val="24"/>
        </w:rPr>
        <w:t>l</w:t>
      </w:r>
      <w:r w:rsidRPr="00A52384">
        <w:rPr>
          <w:sz w:val="24"/>
          <w:szCs w:val="24"/>
        </w:rPr>
        <w:t>ności służebność przesyłu. Służebność tę może uzyskać przez zawarcie umowy lub w drodze orzeczenia sądowego. Jeżeli następnie na tej nieruchomości obciąż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nej służebnością przesyłu przedsiębiorca wzniesie budynki lub budowle służące wyłąc</w:t>
      </w:r>
      <w:r w:rsidRPr="00A52384">
        <w:rPr>
          <w:sz w:val="24"/>
          <w:szCs w:val="24"/>
        </w:rPr>
        <w:t>z</w:t>
      </w:r>
      <w:r w:rsidRPr="00A52384">
        <w:rPr>
          <w:sz w:val="24"/>
          <w:szCs w:val="24"/>
        </w:rPr>
        <w:t xml:space="preserve">nie do korzystania z urządzeń z art. 49 § 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, to – na zasadzie w</w:t>
      </w:r>
      <w:r w:rsidRPr="00A52384">
        <w:rPr>
          <w:sz w:val="24"/>
          <w:szCs w:val="24"/>
        </w:rPr>
        <w:t>y</w:t>
      </w:r>
      <w:r w:rsidRPr="00A52384">
        <w:rPr>
          <w:sz w:val="24"/>
          <w:szCs w:val="24"/>
        </w:rPr>
        <w:t xml:space="preserve">jątku od reguły </w:t>
      </w:r>
      <w:r w:rsidRPr="00DA03A7">
        <w:rPr>
          <w:i/>
          <w:sz w:val="24"/>
          <w:szCs w:val="24"/>
        </w:rPr>
        <w:t>superficio solo cedit</w:t>
      </w:r>
      <w:r w:rsidRPr="00A52384">
        <w:rPr>
          <w:sz w:val="24"/>
          <w:szCs w:val="24"/>
        </w:rPr>
        <w:t xml:space="preserve"> – budynki te lub b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dowle stanowią jego własność. Jeżeli zaś budynki i budowle na takiej nieruchomości obciążonej służebnością wzniesie właśc</w:t>
      </w:r>
      <w:r w:rsidRPr="00A52384">
        <w:rPr>
          <w:sz w:val="24"/>
          <w:szCs w:val="24"/>
        </w:rPr>
        <w:t>i</w:t>
      </w:r>
      <w:r w:rsidRPr="00A52384">
        <w:rPr>
          <w:sz w:val="24"/>
          <w:szCs w:val="24"/>
        </w:rPr>
        <w:t>ciel nieruchomości lub inna osoba, to wł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ściciel nieruchomości może żądać, aby przedsiębiorca n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był ich własność za wynagrodzeniem. Należy zauważyć, że jeżeli budynek wzniosła osoba na cudzym gruncie, to ma roszczenia o zwrot nakładów do właściciela nieruch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mości.</w:t>
      </w: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  <w:r w:rsidRPr="00A52384">
        <w:rPr>
          <w:sz w:val="24"/>
          <w:szCs w:val="24"/>
        </w:rPr>
        <w:tab/>
        <w:t>Po drugie, w odniesieniu do budynków i budowli służących do wyłącznego k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rzystania z urządzeń, o kt</w:t>
      </w:r>
      <w:r w:rsidRPr="00A52384">
        <w:rPr>
          <w:sz w:val="24"/>
          <w:szCs w:val="24"/>
        </w:rPr>
        <w:t>ó</w:t>
      </w:r>
      <w:r w:rsidRPr="00A52384">
        <w:rPr>
          <w:sz w:val="24"/>
          <w:szCs w:val="24"/>
        </w:rPr>
        <w:t xml:space="preserve">rych stanowi art. 49 § 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wzniesionych przed wejściem w życie ustawy, proponuje się (art. 2 § 2) uregulowanie ich własności w umowie o ustanowienie służebności przesyłu względnie w postanowieniu sądowym o ustan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wieniu tej służebności.</w:t>
      </w: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  <w:r w:rsidRPr="00A52384">
        <w:rPr>
          <w:sz w:val="24"/>
          <w:szCs w:val="24"/>
        </w:rPr>
        <w:tab/>
        <w:t>9. W praktyce pojawiła się wątpliwość, czy służebność gruntową może ust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nowić użytkownik wieczysty. Ten sam problem dotyczy służebności przesyłu do kt</w:t>
      </w:r>
      <w:r w:rsidRPr="00A52384">
        <w:rPr>
          <w:sz w:val="24"/>
          <w:szCs w:val="24"/>
        </w:rPr>
        <w:t>ó</w:t>
      </w:r>
      <w:r w:rsidRPr="00A52384">
        <w:rPr>
          <w:sz w:val="24"/>
          <w:szCs w:val="24"/>
        </w:rPr>
        <w:t>rej – na podstawie art. 305</w:t>
      </w:r>
      <w:r w:rsidRPr="00A52384">
        <w:rPr>
          <w:sz w:val="24"/>
          <w:szCs w:val="24"/>
          <w:vertAlign w:val="superscript"/>
        </w:rPr>
        <w:t>4</w:t>
      </w:r>
      <w:r w:rsidRPr="00A52384">
        <w:rPr>
          <w:sz w:val="24"/>
          <w:szCs w:val="24"/>
        </w:rPr>
        <w:t xml:space="preserve">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– stosuje się odpowiednio przepisy o służebności gru</w:t>
      </w:r>
      <w:r w:rsidRPr="00A52384">
        <w:rPr>
          <w:sz w:val="24"/>
          <w:szCs w:val="24"/>
        </w:rPr>
        <w:t>n</w:t>
      </w:r>
      <w:r w:rsidRPr="00A52384">
        <w:rPr>
          <w:sz w:val="24"/>
          <w:szCs w:val="24"/>
        </w:rPr>
        <w:t>towej. Projektowana treść art. 285</w:t>
      </w:r>
      <w:r w:rsidRPr="00A52384">
        <w:rPr>
          <w:sz w:val="24"/>
          <w:szCs w:val="24"/>
          <w:vertAlign w:val="superscript"/>
        </w:rPr>
        <w:t>1</w:t>
      </w:r>
      <w:r w:rsidRPr="00A52384">
        <w:rPr>
          <w:sz w:val="24"/>
          <w:szCs w:val="24"/>
        </w:rPr>
        <w:t xml:space="preserve">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ma przesądzić, że służebność gruntową może – na prawie użytkowania wieczystego – ustanowić użytkownik wieczysty. Sł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 xml:space="preserve">żebność taka może być także ustanowiona na jego rzecz. Zgodnie z art. 241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z chwilą wygaśnięcia użytk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 xml:space="preserve">wania wieczystego wygasają ciążące na nim obciążenia. Dodanie art. 241 § 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ma zapobiec wygaśnięciu służe</w:t>
      </w:r>
      <w:r w:rsidRPr="00A52384">
        <w:rPr>
          <w:sz w:val="24"/>
          <w:szCs w:val="24"/>
        </w:rPr>
        <w:t>b</w:t>
      </w:r>
      <w:r w:rsidRPr="00A52384">
        <w:rPr>
          <w:sz w:val="24"/>
          <w:szCs w:val="24"/>
        </w:rPr>
        <w:t>ności, które wówczas będą obciążać nieruchomość.</w:t>
      </w: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</w:p>
    <w:p w:rsidR="00651B6C" w:rsidRPr="00A52384" w:rsidRDefault="00651B6C" w:rsidP="0034729C">
      <w:pPr>
        <w:pStyle w:val="BodyTextIndent"/>
        <w:ind w:firstLine="0"/>
        <w:rPr>
          <w:sz w:val="24"/>
          <w:szCs w:val="24"/>
        </w:rPr>
      </w:pPr>
      <w:r w:rsidRPr="00A52384">
        <w:rPr>
          <w:sz w:val="24"/>
          <w:szCs w:val="24"/>
        </w:rPr>
        <w:tab/>
        <w:t>10. Praktyka sygnalizuje także potrzebę uzupełni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nia przepisów dotyczących służebności przesyłu. W szczególności wskazuje się na następujące kwestie:</w:t>
      </w:r>
    </w:p>
    <w:p w:rsidR="00651B6C" w:rsidRPr="00A52384" w:rsidRDefault="00651B6C" w:rsidP="0034729C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A52384">
        <w:rPr>
          <w:sz w:val="24"/>
          <w:szCs w:val="24"/>
        </w:rPr>
        <w:t>określenie celu ustanowienia służebności przesyłu;</w:t>
      </w:r>
    </w:p>
    <w:p w:rsidR="00651B6C" w:rsidRPr="00A52384" w:rsidRDefault="00651B6C" w:rsidP="0034729C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A52384">
        <w:rPr>
          <w:sz w:val="24"/>
          <w:szCs w:val="24"/>
        </w:rPr>
        <w:t>sprecyzowanie kryteriów, jakie sąd winien mieć na uwadze przy ustanawianiu służebności przesyłu;</w:t>
      </w:r>
    </w:p>
    <w:p w:rsidR="00651B6C" w:rsidRPr="00A52384" w:rsidRDefault="00651B6C" w:rsidP="0034729C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A52384">
        <w:rPr>
          <w:sz w:val="24"/>
          <w:szCs w:val="24"/>
        </w:rPr>
        <w:t>rozstrzygnięcie zagadnienia zaliczalności dotychczasowego posiadania sł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żebności do okresu w</w:t>
      </w:r>
      <w:r w:rsidRPr="00A52384">
        <w:rPr>
          <w:sz w:val="24"/>
          <w:szCs w:val="24"/>
        </w:rPr>
        <w:t>y</w:t>
      </w:r>
      <w:r w:rsidRPr="00A52384">
        <w:rPr>
          <w:sz w:val="24"/>
          <w:szCs w:val="24"/>
        </w:rPr>
        <w:t>maganego przy nabyciu służebności przesyłu w drodze zasi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dzenia;</w:t>
      </w:r>
    </w:p>
    <w:p w:rsidR="00651B6C" w:rsidRPr="00A52384" w:rsidRDefault="00651B6C" w:rsidP="0034729C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A52384">
        <w:rPr>
          <w:sz w:val="24"/>
          <w:szCs w:val="24"/>
        </w:rPr>
        <w:t>określenie zasad przedawnienia roszczeń o prz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niesienie własności urządzeń i ustanowienia sł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żebności przesyłu.;</w:t>
      </w:r>
    </w:p>
    <w:p w:rsidR="00651B6C" w:rsidRPr="00A52384" w:rsidRDefault="00651B6C" w:rsidP="0034729C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A52384">
        <w:rPr>
          <w:sz w:val="24"/>
          <w:szCs w:val="24"/>
        </w:rPr>
        <w:t>określenie kryteriów, ustalenia wysokości wynagrodzenia za ustanowienie sł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żebności przesyłu.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Postulaty te należy uznać za uzasadnione. W celu ich zrealizowania propon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je się wprowadzić następujące uregulowania: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Po pierwsze, służebność przesyłu jest odmianą sł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 xml:space="preserve">żebności gruntowej. W art. 285 § 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 xml:space="preserve"> ustawodawca – regulując służebność gruntową – wyraźnie wskazał, że jedynym celem ustanowienia tej służebności jest zwiększenie użyteczności nier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chomości władnącej lub jej ozn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czonej części. Takie określenie celu służebności przesyłu nie jest możliwe, gdyż nie występuje tu nieruchomość władnąca. Służe</w:t>
      </w:r>
      <w:r w:rsidRPr="00A52384">
        <w:rPr>
          <w:sz w:val="24"/>
          <w:szCs w:val="24"/>
        </w:rPr>
        <w:t>b</w:t>
      </w:r>
      <w:r w:rsidRPr="00A52384">
        <w:rPr>
          <w:sz w:val="24"/>
          <w:szCs w:val="24"/>
        </w:rPr>
        <w:t>ność przesyłu ustanawia się na rzecz przedsiębiorcy (art. 305</w:t>
      </w:r>
      <w:r w:rsidRPr="00A52384">
        <w:rPr>
          <w:sz w:val="24"/>
          <w:szCs w:val="24"/>
          <w:vertAlign w:val="superscript"/>
        </w:rPr>
        <w:t>1</w:t>
      </w:r>
      <w:r w:rsidRPr="00A52384">
        <w:rPr>
          <w:sz w:val="24"/>
          <w:szCs w:val="24"/>
        </w:rPr>
        <w:t xml:space="preserve">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). Uzasadnione jest więc przyjęcie, że jedynym celem ustanowienia służebności przesyłu jest zwiększ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nie uż</w:t>
      </w:r>
      <w:r w:rsidRPr="00A52384">
        <w:rPr>
          <w:sz w:val="24"/>
          <w:szCs w:val="24"/>
        </w:rPr>
        <w:t>y</w:t>
      </w:r>
      <w:r w:rsidRPr="00A52384">
        <w:rPr>
          <w:sz w:val="24"/>
          <w:szCs w:val="24"/>
        </w:rPr>
        <w:t>teczności przedsiębiorstwa (art. 305</w:t>
      </w:r>
      <w:r w:rsidRPr="00A52384">
        <w:rPr>
          <w:sz w:val="24"/>
          <w:szCs w:val="24"/>
          <w:vertAlign w:val="superscript"/>
        </w:rPr>
        <w:t>1</w:t>
      </w:r>
      <w:r w:rsidRPr="00A52384">
        <w:rPr>
          <w:sz w:val="24"/>
          <w:szCs w:val="24"/>
        </w:rPr>
        <w:t xml:space="preserve"> § 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Po drugie, ustawodawca regulując sądowe ustanowienie służebności drogi koniecznej wskazał kryteria, jakie muszą być uwzględniane przy wytyczaniu drogi koniec</w:t>
      </w:r>
      <w:r w:rsidRPr="00A52384">
        <w:rPr>
          <w:sz w:val="24"/>
          <w:szCs w:val="24"/>
        </w:rPr>
        <w:t>z</w:t>
      </w:r>
      <w:r w:rsidRPr="00A52384">
        <w:rPr>
          <w:sz w:val="24"/>
          <w:szCs w:val="24"/>
        </w:rPr>
        <w:t xml:space="preserve">nej (art. 145 § 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). Wskazanym jest, aby podobne kryteria uregulować w odniesieniu do przymusowego ustanawi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nia służebności przesyłu. Taką propozycję zawiera art. 305</w:t>
      </w:r>
      <w:r w:rsidRPr="00A52384">
        <w:rPr>
          <w:sz w:val="24"/>
          <w:szCs w:val="24"/>
          <w:vertAlign w:val="superscript"/>
        </w:rPr>
        <w:t>2</w:t>
      </w:r>
      <w:r w:rsidRPr="00A52384">
        <w:rPr>
          <w:sz w:val="24"/>
          <w:szCs w:val="24"/>
        </w:rPr>
        <w:t xml:space="preserve"> § 3 </w:t>
      </w:r>
      <w:r>
        <w:rPr>
          <w:sz w:val="24"/>
          <w:szCs w:val="24"/>
        </w:rPr>
        <w:t>k.c</w:t>
      </w:r>
      <w:r w:rsidRPr="00A52384">
        <w:rPr>
          <w:sz w:val="24"/>
          <w:szCs w:val="24"/>
        </w:rPr>
        <w:t>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Po trzecie, przedsiębiorcy przesyłowi zgłaszają postulat, aby kodeksowa reg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lacja służebności przesyłu z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wierała jednolite zasady obliczania wynagrodzenia za ustanowienie tej służebności. Pełne uwzględnienie tego postulatu nie jest możliwe. Z jednej strony przy umownym ustanowieniu służebności przesyłu określenie wysok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ści wynagrodzenia musi być pozostawione woli stron, z dr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giej – Kodeks cywilny w kilku przepisach operuje określeniem „wynagrodzenia” lub „stosownego wynagr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dzenia”, nie wskazuje jednak kryteriów jego obliczania (por. np. art. 145 § 1, 224, 151, 231 i inne). Uzasadnionym wydaje się natomiast wskazanie takich kryteriów s</w:t>
      </w:r>
      <w:r w:rsidRPr="00A52384">
        <w:rPr>
          <w:sz w:val="24"/>
          <w:szCs w:val="24"/>
        </w:rPr>
        <w:t>ą</w:t>
      </w:r>
      <w:r w:rsidRPr="00A52384">
        <w:rPr>
          <w:sz w:val="24"/>
          <w:szCs w:val="24"/>
        </w:rPr>
        <w:t>dowi, który ust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nawia służebność przesyłu. Taką propozycję zawiera art. 305</w:t>
      </w:r>
      <w:r w:rsidRPr="00A52384">
        <w:rPr>
          <w:sz w:val="24"/>
          <w:szCs w:val="24"/>
          <w:vertAlign w:val="superscript"/>
        </w:rPr>
        <w:t>2</w:t>
      </w:r>
      <w:r w:rsidRPr="00A52384">
        <w:rPr>
          <w:sz w:val="24"/>
          <w:szCs w:val="24"/>
        </w:rPr>
        <w:t xml:space="preserve"> § 4 </w:t>
      </w:r>
      <w:r>
        <w:rPr>
          <w:sz w:val="24"/>
          <w:szCs w:val="24"/>
        </w:rPr>
        <w:t>k.c</w:t>
      </w:r>
      <w:r w:rsidRPr="00A52384">
        <w:rPr>
          <w:sz w:val="24"/>
          <w:szCs w:val="24"/>
        </w:rPr>
        <w:t>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Po czwarte, w uchwale Sądu najwyższego z dnia 7.10.2008 r. III CZP 89/08 (dotychczas niepublikowanej) wyjaśniono, że „przed ustawowym uregulowaniem sł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żebności przesyłu (art. 305</w:t>
      </w:r>
      <w:r w:rsidRPr="00A52384">
        <w:rPr>
          <w:sz w:val="24"/>
          <w:szCs w:val="24"/>
          <w:vertAlign w:val="superscript"/>
        </w:rPr>
        <w:t>1</w:t>
      </w:r>
      <w:r w:rsidRPr="00A52384">
        <w:rPr>
          <w:sz w:val="24"/>
          <w:szCs w:val="24"/>
        </w:rPr>
        <w:t xml:space="preserve"> – 305</w:t>
      </w:r>
      <w:r w:rsidRPr="00A52384">
        <w:rPr>
          <w:sz w:val="24"/>
          <w:szCs w:val="24"/>
          <w:vertAlign w:val="superscript"/>
        </w:rPr>
        <w:t>4</w:t>
      </w:r>
      <w:r w:rsidRPr="00A52384">
        <w:rPr>
          <w:sz w:val="24"/>
          <w:szCs w:val="24"/>
        </w:rPr>
        <w:t>) dopuszczalne było nabycie w drodze zasiedz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nia służebności odpowiadającej treści służebności przesyłu na rzecz przedsiębio</w:t>
      </w:r>
      <w:r w:rsidRPr="00A52384">
        <w:rPr>
          <w:sz w:val="24"/>
          <w:szCs w:val="24"/>
        </w:rPr>
        <w:t>r</w:t>
      </w:r>
      <w:r w:rsidRPr="00A52384">
        <w:rPr>
          <w:sz w:val="24"/>
          <w:szCs w:val="24"/>
        </w:rPr>
        <w:t>stwa”. To stanowisko daje podstawę do przyjęcia, że okres posiad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nia służebności, o treści odpowiadającej służebności prz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 xml:space="preserve">syłu (art. 352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 jaki upłynął przed dniem 3.08.2008 r. zal</w:t>
      </w:r>
      <w:r w:rsidRPr="00A52384">
        <w:rPr>
          <w:sz w:val="24"/>
          <w:szCs w:val="24"/>
        </w:rPr>
        <w:t>i</w:t>
      </w:r>
      <w:r w:rsidRPr="00A52384">
        <w:rPr>
          <w:sz w:val="24"/>
          <w:szCs w:val="24"/>
        </w:rPr>
        <w:t>cza się do okresu prowadzącego do nabycia służebności przesyłu przez zasiedzenie.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Po piąte, zarówno roszczenie o przeniesienie wł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 xml:space="preserve">sności urządzeń (art. 49 § 4 i 5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), jak i roszczenie o prz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 xml:space="preserve">niesienie własności budynków i budowli (art. 49 § 7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), a także roszczenie o ustanowienie służebności przesyłu przez sąd (art. 305</w:t>
      </w:r>
      <w:r w:rsidRPr="00A52384">
        <w:rPr>
          <w:sz w:val="24"/>
          <w:szCs w:val="24"/>
          <w:vertAlign w:val="superscript"/>
        </w:rPr>
        <w:t>2</w:t>
      </w:r>
      <w:r w:rsidRPr="00A52384">
        <w:rPr>
          <w:sz w:val="24"/>
          <w:szCs w:val="24"/>
        </w:rPr>
        <w:t xml:space="preserve"> § 2 </w:t>
      </w:r>
      <w:r>
        <w:rPr>
          <w:sz w:val="24"/>
          <w:szCs w:val="24"/>
        </w:rPr>
        <w:t>k.c.</w:t>
      </w:r>
      <w:r w:rsidRPr="00A52384">
        <w:rPr>
          <w:sz w:val="24"/>
          <w:szCs w:val="24"/>
        </w:rPr>
        <w:t>) mają charakter majątkowy i po</w:t>
      </w:r>
      <w:r w:rsidRPr="00A52384">
        <w:rPr>
          <w:sz w:val="24"/>
          <w:szCs w:val="24"/>
        </w:rPr>
        <w:t>d</w:t>
      </w:r>
      <w:r w:rsidRPr="00A52384">
        <w:rPr>
          <w:sz w:val="24"/>
          <w:szCs w:val="24"/>
        </w:rPr>
        <w:t>legają przedawnieniu. Uregulowania wymaga jedynie p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czątek biegu przedawnienia, który wyznacza data 3.08.2008 r. jako data wejścia w życie ustawy, która wprowadziła te roszczenia. Skoro roszczenia te nie istniały wcz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śniej, to nie mogły podlegać przedawnieniu. Stoso</w:t>
      </w:r>
      <w:r w:rsidRPr="00A52384">
        <w:rPr>
          <w:sz w:val="24"/>
          <w:szCs w:val="24"/>
        </w:rPr>
        <w:t>w</w:t>
      </w:r>
      <w:r w:rsidRPr="00A52384">
        <w:rPr>
          <w:sz w:val="24"/>
          <w:szCs w:val="24"/>
        </w:rPr>
        <w:t>ne regulacje zawarto w art. 4 i 5 ust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wy.</w:t>
      </w:r>
    </w:p>
    <w:p w:rsidR="00651B6C" w:rsidRPr="00A52384" w:rsidRDefault="00651B6C" w:rsidP="0034729C">
      <w:pPr>
        <w:pStyle w:val="BodyTextIndent"/>
        <w:rPr>
          <w:sz w:val="24"/>
          <w:szCs w:val="24"/>
        </w:rPr>
      </w:pPr>
    </w:p>
    <w:p w:rsidR="00651B6C" w:rsidRPr="00A52384" w:rsidRDefault="00651B6C" w:rsidP="0034729C">
      <w:pPr>
        <w:pStyle w:val="BodyTextIndent"/>
        <w:rPr>
          <w:sz w:val="24"/>
          <w:szCs w:val="24"/>
        </w:rPr>
      </w:pPr>
      <w:r w:rsidRPr="00A52384">
        <w:rPr>
          <w:sz w:val="24"/>
          <w:szCs w:val="24"/>
        </w:rPr>
        <w:t>11. Zagadnienia prawne związane z koniecznością korzystania przez prze</w:t>
      </w:r>
      <w:r w:rsidRPr="00A52384">
        <w:rPr>
          <w:sz w:val="24"/>
          <w:szCs w:val="24"/>
        </w:rPr>
        <w:t>d</w:t>
      </w:r>
      <w:r w:rsidRPr="00A52384">
        <w:rPr>
          <w:sz w:val="24"/>
          <w:szCs w:val="24"/>
        </w:rPr>
        <w:t>siębiorców przesyłowych z urz</w:t>
      </w:r>
      <w:r w:rsidRPr="00A52384">
        <w:rPr>
          <w:sz w:val="24"/>
          <w:szCs w:val="24"/>
        </w:rPr>
        <w:t>ą</w:t>
      </w:r>
      <w:r w:rsidRPr="00A52384">
        <w:rPr>
          <w:sz w:val="24"/>
          <w:szCs w:val="24"/>
        </w:rPr>
        <w:t>dzeń służących do doprowadzenia i odprowadzenia wody, pary gazów, energii elektrycznej itp. są bardzo złożone, a jednocześnie mają charakter quasi-publiczny, z drugiej zaś strony urządzenia te z reguły znajdują się na nieruchomościach, które nie są własnością przedsiębiorców przesyłowych. W p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przednich warunkach ustrojowych nie przywiązywano wagi do tego, że przedsiębio</w:t>
      </w:r>
      <w:r w:rsidRPr="00A52384">
        <w:rPr>
          <w:sz w:val="24"/>
          <w:szCs w:val="24"/>
        </w:rPr>
        <w:t>r</w:t>
      </w:r>
      <w:r w:rsidRPr="00A52384">
        <w:rPr>
          <w:sz w:val="24"/>
          <w:szCs w:val="24"/>
        </w:rPr>
        <w:t>cy przesyłowi korzystają z cudzych nieruchomości. W konsekwencji przedsiębiorcy przesyłowi w znikomym zakresie dysponują tytułem prawnym do korzystania z c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dzych nieruchom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ści. Na tym tle powstaje obecnie wiele sporów, które coraz liczniej trafiają do sądów. Dotyczy to również statusu prawnego samych urządzeń, których koszty budowy ni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jednokrotnie ponieśli sami odbiorcy dóbr czy usług. Z tego względu Komisja Kodyfikacyjna Prawa Cywilnego przyg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towała projekt rozwiązań prawnych, które w sposób racjonalny i zgodny z Konstytucją RP godzą interesy przedsi</w:t>
      </w:r>
      <w:r w:rsidRPr="00A52384">
        <w:rPr>
          <w:sz w:val="24"/>
          <w:szCs w:val="24"/>
        </w:rPr>
        <w:t>ę</w:t>
      </w:r>
      <w:r w:rsidRPr="00A52384">
        <w:rPr>
          <w:sz w:val="24"/>
          <w:szCs w:val="24"/>
        </w:rPr>
        <w:t>biorców przesyłowych i właścicieli nieruchomości oraz osób, które poniosły koszty budowy urządzeń. Efektem tego jest ustawa z dnia 30.05.2008 r. o zmianie ustawy – Kodeks cywilny oraz niektórych innych ustaw (Dz.U. Nr 116, poz. 731), która obowiązuje od 3.08.2008 r. Rozwiązania zawarte w tej ustawie oceniam jako „krok we właśc</w:t>
      </w:r>
      <w:r w:rsidRPr="00A52384">
        <w:rPr>
          <w:sz w:val="24"/>
          <w:szCs w:val="24"/>
        </w:rPr>
        <w:t>i</w:t>
      </w:r>
      <w:r w:rsidRPr="00A52384">
        <w:rPr>
          <w:sz w:val="24"/>
          <w:szCs w:val="24"/>
        </w:rPr>
        <w:t>wym kierunku”. Ustawa ta jako nowelizująca Kodeks cywilny z natury swej zawierała reg</w:t>
      </w:r>
      <w:r w:rsidRPr="00A52384">
        <w:rPr>
          <w:sz w:val="24"/>
          <w:szCs w:val="24"/>
        </w:rPr>
        <w:t>u</w:t>
      </w:r>
      <w:r w:rsidRPr="00A52384">
        <w:rPr>
          <w:sz w:val="24"/>
          <w:szCs w:val="24"/>
        </w:rPr>
        <w:t>lacje ogólne, unikając szczegółowych unormowań. Pierwsze doświadczenia związ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ne ze stosowaniem tych przepisów wskazują jednak, że na tle bardzo złożonych st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nów faktycznych i prawnych niezbędne okazało się sięgnięcie do bardziej szczeg</w:t>
      </w:r>
      <w:r w:rsidRPr="00A52384">
        <w:rPr>
          <w:sz w:val="24"/>
          <w:szCs w:val="24"/>
        </w:rPr>
        <w:t>ó</w:t>
      </w:r>
      <w:r w:rsidRPr="00A52384">
        <w:rPr>
          <w:sz w:val="24"/>
          <w:szCs w:val="24"/>
        </w:rPr>
        <w:t>łowych regulacji, które będą podstawą normaty</w:t>
      </w:r>
      <w:r w:rsidRPr="00A52384">
        <w:rPr>
          <w:sz w:val="24"/>
          <w:szCs w:val="24"/>
        </w:rPr>
        <w:t>w</w:t>
      </w:r>
      <w:r w:rsidRPr="00A52384">
        <w:rPr>
          <w:sz w:val="24"/>
          <w:szCs w:val="24"/>
        </w:rPr>
        <w:t>ną do rozstrzygnięcia pojawiających się wątpliwości i rozbieżnych interpretacji. Szczególna doniosłość społeczna i gosp</w:t>
      </w:r>
      <w:r w:rsidRPr="00A52384">
        <w:rPr>
          <w:sz w:val="24"/>
          <w:szCs w:val="24"/>
        </w:rPr>
        <w:t>o</w:t>
      </w:r>
      <w:r w:rsidRPr="00A52384">
        <w:rPr>
          <w:sz w:val="24"/>
          <w:szCs w:val="24"/>
        </w:rPr>
        <w:t>darcza tych zagadnień uzasadnia potrzebę dokon</w:t>
      </w:r>
      <w:r w:rsidRPr="00A52384">
        <w:rPr>
          <w:sz w:val="24"/>
          <w:szCs w:val="24"/>
        </w:rPr>
        <w:t>a</w:t>
      </w:r>
      <w:r w:rsidRPr="00A52384">
        <w:rPr>
          <w:sz w:val="24"/>
          <w:szCs w:val="24"/>
        </w:rPr>
        <w:t>nia szczegółowszej nowelizacji tych przepisów mimo, że okres ich obowiązywania nie jest zbyt długi. Przedkładany projekt nie zmienia podstawowych założeń ustawy z dnia 30.05.2008 r., lecz uszcz</w:t>
      </w:r>
      <w:r w:rsidRPr="00A52384">
        <w:rPr>
          <w:sz w:val="24"/>
          <w:szCs w:val="24"/>
        </w:rPr>
        <w:t>e</w:t>
      </w:r>
      <w:r w:rsidRPr="00A52384">
        <w:rPr>
          <w:sz w:val="24"/>
          <w:szCs w:val="24"/>
        </w:rPr>
        <w:t>góławia obowiązujące rozwiązania tak, aby ich stosowanie nie nastręczało w prakt</w:t>
      </w:r>
      <w:r w:rsidRPr="00A52384">
        <w:rPr>
          <w:sz w:val="24"/>
          <w:szCs w:val="24"/>
        </w:rPr>
        <w:t>y</w:t>
      </w:r>
      <w:r w:rsidRPr="00A52384">
        <w:rPr>
          <w:sz w:val="24"/>
          <w:szCs w:val="24"/>
        </w:rPr>
        <w:t xml:space="preserve">ce trudności. </w:t>
      </w:r>
    </w:p>
    <w:sectPr w:rsidR="00651B6C" w:rsidRPr="00A52384" w:rsidSect="002314C6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079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6C" w:rsidRDefault="00651B6C">
      <w:r>
        <w:separator/>
      </w:r>
    </w:p>
  </w:endnote>
  <w:endnote w:type="continuationSeparator" w:id="0">
    <w:p w:rsidR="00651B6C" w:rsidRDefault="0065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6C" w:rsidRDefault="00651B6C" w:rsidP="00132A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B6C" w:rsidRDefault="00651B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6C" w:rsidRDefault="00651B6C" w:rsidP="00132A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51B6C" w:rsidRPr="00140158" w:rsidRDefault="00651B6C">
    <w:pPr>
      <w:pStyle w:val="Footer"/>
      <w:rPr>
        <w:i/>
        <w:sz w:val="8"/>
      </w:rPr>
    </w:pPr>
    <w:r w:rsidRPr="00140158">
      <w:rPr>
        <w:i/>
        <w:sz w:val="8"/>
      </w:rPr>
      <w:t>Wersja III z 14-05-2009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6C" w:rsidRPr="00A52384" w:rsidRDefault="00651B6C">
    <w:pPr>
      <w:pStyle w:val="Footer"/>
      <w:rPr>
        <w:sz w:val="10"/>
      </w:rPr>
    </w:pPr>
    <w:r w:rsidRPr="00A52384">
      <w:rPr>
        <w:i/>
        <w:sz w:val="6"/>
      </w:rPr>
      <w:t>Wersja III z 14-05-2009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6C" w:rsidRDefault="00651B6C">
      <w:r>
        <w:separator/>
      </w:r>
    </w:p>
  </w:footnote>
  <w:footnote w:type="continuationSeparator" w:id="0">
    <w:p w:rsidR="00651B6C" w:rsidRDefault="00651B6C">
      <w:r>
        <w:continuationSeparator/>
      </w:r>
    </w:p>
  </w:footnote>
  <w:footnote w:id="1">
    <w:p w:rsidR="00651B6C" w:rsidRDefault="00651B6C" w:rsidP="00A52384">
      <w:pPr>
        <w:pStyle w:val="FootnoteText"/>
        <w:jc w:val="both"/>
      </w:pPr>
      <w:r w:rsidRPr="00D52E4C">
        <w:rPr>
          <w:rStyle w:val="FootnoteReference"/>
        </w:rPr>
        <w:footnoteRef/>
      </w:r>
      <w:r w:rsidRPr="00D52E4C">
        <w:t xml:space="preserve"> </w:t>
      </w:r>
      <w:r w:rsidRPr="00D52E4C">
        <w:rPr>
          <w:rStyle w:val="apple-style-span"/>
          <w:color w:val="000000"/>
        </w:rPr>
        <w:t>Zmiany wymienionej ustawy zostały ogłoszone w Dz. U. z 1971 r. Nr 27, poz. 252, z 1976 r. Nr 19, poz. 122, z 1982 r. Nr 11, poz. 81, Nr 19, poz. 147 i Nr 30, poz. 210, z 1984 r. Nr 45, poz. 242, z 1985 r. Nr 22, poz. 99, z 1989 r. Nr 3, poz. 11, z 1990 r. Nr 34, poz. 198, Nr 55, poz. 321 i Nr 79, poz. 464, z 1991 r. Nr 107, poz. 464 i Nr 115, poz. 496, z 1993 r. Nr 17, poz. 78, z 1994 r. Nr 27, poz. 96, Nr 85, poz. 388 i Nr 105, poz. 509, z 1995 r. Nr 83, poz. 417, z 1996 r. Nr 114, poz. 542, Nr 139, poz. 646 i Nr 149, poz. 703, z 1997 r. Nr 43, poz. 272, Nr 115, poz. 741, Nr 117, poz. 751 i Nr 157, poz. 1040, z 1998 r. Nr 106, poz. 668 i Nr 117, poz. 758, z 1999 r. Nr 52, poz. 532, z 2000 r. Nr 22, poz. 271, Nr 74, poz. 855 i 857, Nr 88, poz. 983 i Nr 114, poz. 1191 z 2001 r. Nr 11, poz. 91, Nr 71, poz. 733, Nr 130, poz. 1450 i Nr 145, poz. 1638, z 2002 r. Nr 113, poz. 984 i Nr 141, poz. 1176, z 2003 r. Nr 49, poz. 408, Nr 60, poz. 535, Nr 64, poz. 592 i Nr 124, poz. 1151, z 2004 r. Nr 91, poz. 870, Nr 96, poz. 959, Nr 162, poz. 1692, Nr 172, poz. 1804 i Nr 281, poz. 2783, z 2005 r. Nr 48, poz. 462, Nr 157, poz. 1316 i Nr 172, poz. 1438, z 2006 r. Nr 133, poz. 935 i Nr 164, poz. 1166, z 2007 r. Nr 80, poz. 538, Nr 82, poz. 557 i Nr 181, poz. 1287, z 2008 r. Nr 116, poz. 731, Nr 163, poz. 1012, Nr 220, poz. 1425 i 1431 i Nr 228, poz. 1506 oraz z 2009 r. Nr 42, poz. 341, Nr 79, poz. 662 i Nr 131, poz. 1075.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B6C" w:rsidRDefault="00651B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B6C" w:rsidRDefault="00651B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C9F"/>
    <w:multiLevelType w:val="singleLevel"/>
    <w:tmpl w:val="7CC17D9F"/>
    <w:lvl w:ilvl="0">
      <w:start w:val="2"/>
      <w:numFmt w:val="decimal"/>
      <w:lvlText w:val="§ %1."/>
      <w:lvlJc w:val="left"/>
      <w:pPr>
        <w:tabs>
          <w:tab w:val="num" w:pos="648"/>
        </w:tabs>
        <w:ind w:left="864" w:firstLine="360"/>
      </w:pPr>
      <w:rPr>
        <w:rFonts w:ascii="Arial" w:hAnsi="Arial" w:cs="Arial"/>
        <w:snapToGrid/>
        <w:sz w:val="24"/>
        <w:szCs w:val="24"/>
      </w:rPr>
    </w:lvl>
  </w:abstractNum>
  <w:abstractNum w:abstractNumId="1">
    <w:nsid w:val="073AC5C1"/>
    <w:multiLevelType w:val="singleLevel"/>
    <w:tmpl w:val="0F356FF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pacing w:val="14"/>
        <w:sz w:val="24"/>
        <w:szCs w:val="24"/>
      </w:rPr>
    </w:lvl>
  </w:abstractNum>
  <w:abstractNum w:abstractNumId="2">
    <w:nsid w:val="27BB6AEF"/>
    <w:multiLevelType w:val="hybridMultilevel"/>
    <w:tmpl w:val="10E205F0"/>
    <w:lvl w:ilvl="0" w:tplc="5E8EF55A">
      <w:start w:val="2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abstractNum w:abstractNumId="3">
    <w:nsid w:val="59026F25"/>
    <w:multiLevelType w:val="hybridMultilevel"/>
    <w:tmpl w:val="1B62C682"/>
    <w:lvl w:ilvl="0" w:tplc="16F07B3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numFmt w:val="decimal"/>
        <w:lvlText w:val="§ %1."/>
        <w:lvlJc w:val="left"/>
        <w:pPr>
          <w:tabs>
            <w:tab w:val="num" w:pos="576"/>
          </w:tabs>
          <w:ind w:left="864" w:firstLine="360"/>
        </w:pPr>
        <w:rPr>
          <w:rFonts w:ascii="Arial" w:hAnsi="Arial" w:cs="Arial"/>
          <w:snapToGrid/>
          <w:sz w:val="24"/>
          <w:szCs w:val="24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73F"/>
    <w:rsid w:val="00132A7F"/>
    <w:rsid w:val="00140158"/>
    <w:rsid w:val="00142C7B"/>
    <w:rsid w:val="001A470E"/>
    <w:rsid w:val="002314C6"/>
    <w:rsid w:val="0034729C"/>
    <w:rsid w:val="003E625B"/>
    <w:rsid w:val="004505FE"/>
    <w:rsid w:val="0051037B"/>
    <w:rsid w:val="005113F2"/>
    <w:rsid w:val="00532680"/>
    <w:rsid w:val="00587F60"/>
    <w:rsid w:val="005E2F3E"/>
    <w:rsid w:val="00651B6C"/>
    <w:rsid w:val="00666B10"/>
    <w:rsid w:val="00707111"/>
    <w:rsid w:val="00747E9A"/>
    <w:rsid w:val="0075533B"/>
    <w:rsid w:val="007958F0"/>
    <w:rsid w:val="0084262A"/>
    <w:rsid w:val="00852CB3"/>
    <w:rsid w:val="00974DA4"/>
    <w:rsid w:val="00986595"/>
    <w:rsid w:val="00993D0A"/>
    <w:rsid w:val="00A1219D"/>
    <w:rsid w:val="00A51A16"/>
    <w:rsid w:val="00A52384"/>
    <w:rsid w:val="00AD56F1"/>
    <w:rsid w:val="00AF0075"/>
    <w:rsid w:val="00B317AE"/>
    <w:rsid w:val="00B3573F"/>
    <w:rsid w:val="00B75AA2"/>
    <w:rsid w:val="00BB779F"/>
    <w:rsid w:val="00C92D6E"/>
    <w:rsid w:val="00CC0CEA"/>
    <w:rsid w:val="00D52E4C"/>
    <w:rsid w:val="00D5672A"/>
    <w:rsid w:val="00DA03A7"/>
    <w:rsid w:val="00E951E9"/>
    <w:rsid w:val="00E95B36"/>
    <w:rsid w:val="00EA1DB6"/>
    <w:rsid w:val="00EE267C"/>
    <w:rsid w:val="00F64494"/>
    <w:rsid w:val="00F86886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04D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504D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A50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2384"/>
    <w:rPr>
      <w:rFonts w:cs="Times New Roman"/>
      <w:lang w:val="pl-PL" w:eastAsia="pl-PL" w:bidi="ar-SA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Style3">
    <w:name w:val="Style 3"/>
    <w:uiPriority w:val="99"/>
    <w:pPr>
      <w:widowControl w:val="0"/>
      <w:autoSpaceDE w:val="0"/>
      <w:autoSpaceDN w:val="0"/>
      <w:spacing w:before="72" w:line="324" w:lineRule="auto"/>
      <w:ind w:left="360"/>
    </w:pPr>
    <w:rPr>
      <w:rFonts w:ascii="Arial" w:hAnsi="Arial" w:cs="Arial"/>
      <w:sz w:val="24"/>
      <w:szCs w:val="24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before="432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haracterStyle1">
    <w:name w:val="Character Style 1"/>
    <w:uiPriority w:val="99"/>
    <w:rPr>
      <w:rFonts w:ascii="Arial" w:hAnsi="Arial"/>
      <w:sz w:val="24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spacing w:line="408" w:lineRule="exact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4D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707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04D"/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523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4065</Words>
  <Characters>24396</Characters>
  <Application>Microsoft Office Outlook</Application>
  <DocSecurity>0</DocSecurity>
  <Lines>0</Lines>
  <Paragraphs>0</Paragraphs>
  <ScaleCrop>false</ScaleCrop>
  <Company>KOMP_1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KOMPUTER</dc:creator>
  <cp:keywords/>
  <dc:description/>
  <cp:lastModifiedBy>KKPC</cp:lastModifiedBy>
  <cp:revision>2</cp:revision>
  <cp:lastPrinted>2009-09-11T11:08:00Z</cp:lastPrinted>
  <dcterms:created xsi:type="dcterms:W3CDTF">2015-12-15T08:56:00Z</dcterms:created>
  <dcterms:modified xsi:type="dcterms:W3CDTF">2015-12-15T08:56:00Z</dcterms:modified>
</cp:coreProperties>
</file>