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5C" w:rsidRPr="00967523" w:rsidRDefault="00A73A5C" w:rsidP="00F954CA">
      <w:pPr>
        <w:jc w:val="right"/>
        <w:rPr>
          <w:rFonts w:ascii="Times New Roman" w:hAnsi="Times New Roman" w:cs="Times New Roman"/>
          <w:sz w:val="24"/>
          <w:szCs w:val="24"/>
        </w:rPr>
      </w:pPr>
      <w:r w:rsidRPr="00967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31F1D" w:rsidRPr="00967523">
        <w:rPr>
          <w:rFonts w:ascii="Times New Roman" w:hAnsi="Times New Roman" w:cs="Times New Roman"/>
          <w:sz w:val="24"/>
          <w:szCs w:val="24"/>
        </w:rPr>
        <w:t xml:space="preserve">  </w:t>
      </w:r>
      <w:r w:rsidR="00C344AC" w:rsidRPr="00967523">
        <w:rPr>
          <w:rFonts w:ascii="Times New Roman" w:hAnsi="Times New Roman" w:cs="Times New Roman"/>
          <w:sz w:val="24"/>
          <w:szCs w:val="24"/>
        </w:rPr>
        <w:t xml:space="preserve">   </w:t>
      </w:r>
      <w:r w:rsidR="00B52EFA" w:rsidRPr="00967523">
        <w:rPr>
          <w:rFonts w:ascii="Times New Roman" w:hAnsi="Times New Roman" w:cs="Times New Roman"/>
          <w:sz w:val="24"/>
          <w:szCs w:val="24"/>
        </w:rPr>
        <w:t xml:space="preserve">Warszawa, </w:t>
      </w:r>
      <w:r w:rsidR="00470C67">
        <w:rPr>
          <w:rFonts w:ascii="Times New Roman" w:hAnsi="Times New Roman" w:cs="Times New Roman"/>
          <w:sz w:val="24"/>
          <w:szCs w:val="24"/>
        </w:rPr>
        <w:t xml:space="preserve">14 maja </w:t>
      </w:r>
      <w:r w:rsidR="00AD4AB6" w:rsidRPr="00967523">
        <w:rPr>
          <w:rFonts w:ascii="Times New Roman" w:hAnsi="Times New Roman" w:cs="Times New Roman"/>
          <w:sz w:val="24"/>
          <w:szCs w:val="24"/>
        </w:rPr>
        <w:t>201</w:t>
      </w:r>
      <w:r w:rsidR="00043DC4">
        <w:rPr>
          <w:rFonts w:ascii="Times New Roman" w:hAnsi="Times New Roman" w:cs="Times New Roman"/>
          <w:sz w:val="24"/>
          <w:szCs w:val="24"/>
        </w:rPr>
        <w:t>9</w:t>
      </w:r>
      <w:r w:rsidRPr="00967523">
        <w:rPr>
          <w:rFonts w:ascii="Times New Roman" w:hAnsi="Times New Roman" w:cs="Times New Roman"/>
          <w:sz w:val="24"/>
          <w:szCs w:val="24"/>
        </w:rPr>
        <w:t xml:space="preserve"> r.       </w:t>
      </w:r>
    </w:p>
    <w:p w:rsidR="00A73A5C" w:rsidRPr="00967523" w:rsidRDefault="004F38AF" w:rsidP="00F954CA">
      <w:pPr>
        <w:jc w:val="both"/>
        <w:rPr>
          <w:rFonts w:ascii="Times New Roman" w:hAnsi="Times New Roman" w:cs="Times New Roman"/>
          <w:sz w:val="24"/>
          <w:szCs w:val="24"/>
        </w:rPr>
      </w:pPr>
      <w:r w:rsidRPr="0096752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1FA20E" wp14:editId="4598C369">
                <wp:simplePos x="0" y="0"/>
                <wp:positionH relativeFrom="column">
                  <wp:posOffset>-280669</wp:posOffset>
                </wp:positionH>
                <wp:positionV relativeFrom="paragraph">
                  <wp:posOffset>29210</wp:posOffset>
                </wp:positionV>
                <wp:extent cx="2190750" cy="10191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244" w:rsidRPr="00511B40" w:rsidRDefault="007B49ED" w:rsidP="007B49ED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DA6C65" w:rsidRPr="00511B40"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  <w:t>Biuro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  <w:br/>
                              <w:t>Komunikacji i Promocji</w:t>
                            </w:r>
                          </w:p>
                          <w:p w:rsidR="006E7207" w:rsidRPr="006E7207" w:rsidRDefault="00962734" w:rsidP="0096273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t xml:space="preserve">             </w:t>
                            </w:r>
                            <w:r w:rsidR="007B49ED"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t>Zespół prasowy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1pt;margin-top:2.3pt;width:172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" filled="f" stroked="f">
                <v:textbox>
                  <w:txbxContent>
                    <w:p w:rsidR="00E07244" w:rsidRPr="00511B40" w:rsidRDefault="007B49ED" w:rsidP="007B49ED">
                      <w:pPr>
                        <w:ind w:firstLine="708"/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  <w:t xml:space="preserve">      </w:t>
                      </w:r>
                      <w:r w:rsidR="00DA6C65" w:rsidRPr="00511B40"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  <w:t>Biuro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  <w:br/>
                        <w:t>Komunikacji i Promocji</w:t>
                      </w:r>
                    </w:p>
                    <w:p w:rsidR="006E7207" w:rsidRPr="006E7207" w:rsidRDefault="00962734" w:rsidP="00962734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t xml:space="preserve">             </w:t>
                      </w:r>
                      <w:r w:rsidR="007B49ED"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t>Zespół prasowy</w:t>
                      </w:r>
                    </w:p>
                  </w:txbxContent>
                </v:textbox>
              </v:shape>
            </w:pict>
          </mc:Fallback>
        </mc:AlternateContent>
      </w:r>
    </w:p>
    <w:p w:rsidR="00A73A5C" w:rsidRPr="00967523" w:rsidRDefault="00A73A5C" w:rsidP="00F954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99F" w:rsidRDefault="00D2099F" w:rsidP="00F954CA">
      <w:pPr>
        <w:rPr>
          <w:rFonts w:ascii="Times New Roman" w:hAnsi="Times New Roman" w:cs="Times New Roman"/>
          <w:color w:val="010101"/>
          <w:spacing w:val="-5"/>
          <w:sz w:val="24"/>
          <w:szCs w:val="24"/>
        </w:rPr>
      </w:pPr>
    </w:p>
    <w:p w:rsidR="00043DC4" w:rsidRDefault="00043DC4" w:rsidP="00F954CA">
      <w:pPr>
        <w:rPr>
          <w:rFonts w:ascii="Times New Roman" w:hAnsi="Times New Roman" w:cs="Times New Roman"/>
          <w:color w:val="010101"/>
          <w:spacing w:val="-5"/>
          <w:sz w:val="24"/>
          <w:szCs w:val="24"/>
        </w:rPr>
      </w:pPr>
    </w:p>
    <w:p w:rsidR="00211A62" w:rsidRPr="00CD18D2" w:rsidRDefault="00211A62" w:rsidP="00F954CA">
      <w:pPr>
        <w:pStyle w:val="Bezodstpw"/>
        <w:spacing w:line="276" w:lineRule="auto"/>
        <w:jc w:val="center"/>
        <w:rPr>
          <w:rFonts w:cs="Times New Roman"/>
          <w:b/>
          <w:sz w:val="32"/>
          <w:szCs w:val="32"/>
        </w:rPr>
      </w:pPr>
      <w:r w:rsidRPr="00CD18D2">
        <w:rPr>
          <w:rFonts w:cs="Times New Roman"/>
          <w:b/>
          <w:sz w:val="32"/>
          <w:szCs w:val="32"/>
        </w:rPr>
        <w:t>KARY JAK W EUROPIE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:rsidR="00211A62" w:rsidRDefault="00211A62" w:rsidP="00470C67">
      <w:pPr>
        <w:pStyle w:val="Bezodstpw"/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Zaostrzenie kar za najpoważniejsze przestępstwa zbliża polski Kodeks karny do rozwiązań funkcjonujących w wielu krajach Unii Europejskiej. Nie jest wyrazem restrykcyjności, lecz sprawiedliwości. To polskie prawo – na tle europejskich przepisów – było dotąd nazbyt pobłażliwe. Konsekwencją obowiązującej dot</w:t>
      </w:r>
      <w:bookmarkStart w:id="0" w:name="_GoBack"/>
      <w:bookmarkEnd w:id="0"/>
      <w:r>
        <w:rPr>
          <w:rFonts w:cstheme="minorHAnsi"/>
          <w:szCs w:val="24"/>
        </w:rPr>
        <w:t>ąd w Polsce liberalnej doktryny prawa karnego są też łagodne wyroki orzekane przez sądy wobec sprawców najcięższych zbrodni – znacznie niższe niż te ferowane przez sądy w innych europejskich krajach.</w:t>
      </w:r>
    </w:p>
    <w:p w:rsidR="00211A62" w:rsidRDefault="00211A62" w:rsidP="00470C67">
      <w:pPr>
        <w:pStyle w:val="Bezodstpw"/>
        <w:spacing w:line="360" w:lineRule="auto"/>
        <w:rPr>
          <w:rFonts w:cstheme="minorHAnsi"/>
          <w:szCs w:val="24"/>
        </w:rPr>
      </w:pPr>
    </w:p>
    <w:p w:rsidR="00211A62" w:rsidRDefault="00211A62" w:rsidP="00470C67">
      <w:pPr>
        <w:pStyle w:val="Bezodstpw"/>
        <w:spacing w:line="360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1. Ostrzejsze przepisy za granicą</w:t>
      </w:r>
    </w:p>
    <w:p w:rsidR="00211A62" w:rsidRDefault="00211A62" w:rsidP="00470C67">
      <w:pPr>
        <w:pStyle w:val="Bezodstpw"/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Wymiar kar, które ma wprowadzić reforma Kodeksu karnego, odpowiada sankcjom stosowanym w innych krajach Unii Europejskiej, surowszym od obecnych w Polsce.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11A62" w:rsidTr="00211A6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PRZESTĘPSTWO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OBECNY WYMIAR KARY  W POLSCE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WYMIAR KARY </w:t>
            </w:r>
            <w:r>
              <w:rPr>
                <w:rFonts w:cstheme="minorHAnsi"/>
                <w:b/>
              </w:rPr>
              <w:br/>
              <w:t>W EUROPIE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WYMIAR KARY </w:t>
            </w:r>
            <w:r>
              <w:rPr>
                <w:rFonts w:cstheme="minorHAnsi"/>
                <w:b/>
              </w:rPr>
              <w:br/>
              <w:t xml:space="preserve">W POLSCE </w:t>
            </w:r>
            <w:r>
              <w:rPr>
                <w:rFonts w:cstheme="minorHAnsi"/>
                <w:b/>
              </w:rPr>
              <w:br/>
              <w:t>PO REFORMIE</w:t>
            </w:r>
          </w:p>
        </w:tc>
      </w:tr>
      <w:tr w:rsidR="00211A62" w:rsidTr="00211A6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zabójstwo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8 do 15 lat więzienia, 25 lat więzienia albo dożywocie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Francja: od 10 do 30 lat więzienia lub dożywocie 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Belgia: od 20 do 30 lat więzienia lub dożywocie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Czechy: od 10 do 30 lat więzienia lub dożywocie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8 do 30 lat więzienia albo dożywocie</w:t>
            </w:r>
          </w:p>
        </w:tc>
      </w:tr>
      <w:tr w:rsidR="00211A62" w:rsidTr="00211A6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gwałt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2 do 12 lat więzienia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Francja: 15, 20, 30 lat więzienia </w:t>
            </w:r>
            <w:r>
              <w:rPr>
                <w:rFonts w:cstheme="minorHAnsi"/>
              </w:rPr>
              <w:br/>
              <w:t>lub dożywocie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Niemcy: </w:t>
            </w:r>
            <w:r>
              <w:rPr>
                <w:rFonts w:cstheme="minorHAnsi"/>
              </w:rPr>
              <w:br/>
              <w:t>od 5 do 15 lat więzienia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Słowacja: od 5 do 25 lat więzienia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2 do 15 lat więzienia</w:t>
            </w:r>
          </w:p>
        </w:tc>
      </w:tr>
      <w:tr w:rsidR="00211A62" w:rsidTr="00211A6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gwałt na dziecku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3 do 15 lat więzienia (za zgwałcenie dziecka w wieku poniżej 15</w:t>
            </w:r>
            <w:r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</w:rPr>
              <w:t>lat)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Belgia: od 20 do 30 lat więzienia (za zgwałcenie dziecka w wieku poniżej 10 lat)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Francja: 20 lat więzienia (za zgwałcenie dziecka w wieku poniżej 15 lat)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3 do 20 lat więzienia (za zgwałcenie dziecka w wieku poniżej 15 lat)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</w:p>
        </w:tc>
      </w:tr>
      <w:tr w:rsidR="00211A62" w:rsidTr="00211A6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handel ludźmi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3 do 15 lat więzienia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Holandia: do 18 lat więzienia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Węgry: od roku do 20 lat więzienia lub dożywocie 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Słowacja: od 4 do 25 lat więzienia lub dożywocie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3 do 20 lat więzienia</w:t>
            </w:r>
          </w:p>
        </w:tc>
      </w:tr>
    </w:tbl>
    <w:p w:rsidR="00211A62" w:rsidRDefault="00211A62" w:rsidP="00F954CA">
      <w:pPr>
        <w:pStyle w:val="Bezodstpw"/>
        <w:spacing w:line="276" w:lineRule="auto"/>
        <w:rPr>
          <w:rFonts w:cstheme="minorHAnsi"/>
          <w:b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b/>
          <w:sz w:val="24"/>
          <w:szCs w:val="24"/>
          <w:lang w:eastAsia="en-US"/>
        </w:rPr>
      </w:pPr>
      <w:r>
        <w:rPr>
          <w:rFonts w:cstheme="minorHAnsi"/>
          <w:b/>
          <w:szCs w:val="24"/>
        </w:rPr>
        <w:t>2. Surowsze sądy w Europie</w:t>
      </w:r>
    </w:p>
    <w:p w:rsidR="00211A62" w:rsidRDefault="00211A62" w:rsidP="00470C67">
      <w:pPr>
        <w:pStyle w:val="Bezodstpw"/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Łagodne przepisy to łagodne wyroki. Przy obecnie obowiązującym Kodeksie karnym przestępcy w Polsce są traktowani przez sądy z większym pobłażaniem niż w innych europejskich krajach. (Źródło: Instytut Wymiaru Sprawiedliwości – Struktura kar orzekanych w Polsce i w innych państwach Unii Europejskiej, Warszawa 2015)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A2CA7">
      <w:pPr>
        <w:pStyle w:val="Bezodstpw"/>
        <w:spacing w:line="276" w:lineRule="auto"/>
        <w:jc w:val="center"/>
        <w:rPr>
          <w:rFonts w:cstheme="minorHAnsi"/>
          <w:szCs w:val="24"/>
        </w:rPr>
      </w:pPr>
      <w:r>
        <w:rPr>
          <w:rFonts w:eastAsiaTheme="minorHAnsi"/>
          <w:noProof/>
          <w:sz w:val="24"/>
        </w:rPr>
        <w:drawing>
          <wp:inline distT="0" distB="0" distL="0" distR="0" wp14:anchorId="108D6232" wp14:editId="1AFCE3D8">
            <wp:extent cx="4892040" cy="3215640"/>
            <wp:effectExtent l="0" t="0" r="22860" b="2286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1A62" w:rsidRDefault="00211A62" w:rsidP="00470C67">
      <w:pPr>
        <w:pStyle w:val="Bezodstpw"/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 Polsce jedynie 4 proc. skazanych za zabójstwo dostało karę dożywocia. Przykładowo w Grecji – 43 proc., Anglii i Walii – 34 proc., Niemczech 21 proc., a średnia UE to 12 proc. 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A2CA7">
      <w:pPr>
        <w:pStyle w:val="Bezodstpw"/>
        <w:spacing w:line="276" w:lineRule="auto"/>
        <w:jc w:val="center"/>
        <w:rPr>
          <w:rFonts w:cstheme="minorHAnsi"/>
          <w:szCs w:val="24"/>
        </w:rPr>
      </w:pPr>
      <w:r>
        <w:rPr>
          <w:rFonts w:eastAsiaTheme="minorHAnsi"/>
          <w:noProof/>
          <w:sz w:val="24"/>
        </w:rPr>
        <w:lastRenderedPageBreak/>
        <w:drawing>
          <wp:inline distT="0" distB="0" distL="0" distR="0" wp14:anchorId="72BD9A7A" wp14:editId="6EDC1F52">
            <wp:extent cx="4892040" cy="3002280"/>
            <wp:effectExtent l="0" t="0" r="22860" b="2667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470C67">
      <w:pPr>
        <w:pStyle w:val="Bezodstpw"/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Tylko 4 proc. sprawców rozbojów trafia w Polsce na 5 i więcej lat do więzienia. Na Węgrzech – 55 proc., na Słowacji – 49 proc., w Grecji – 43 proc., a w Niemczech 12 proc. (tyle wynosi też średnia dla krajów UE). 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A2CA7">
      <w:pPr>
        <w:pStyle w:val="Bezodstpw"/>
        <w:spacing w:line="276" w:lineRule="auto"/>
        <w:jc w:val="center"/>
        <w:rPr>
          <w:rFonts w:cstheme="minorHAnsi"/>
          <w:szCs w:val="24"/>
        </w:rPr>
      </w:pPr>
      <w:r>
        <w:rPr>
          <w:rFonts w:eastAsiaTheme="minorHAnsi"/>
          <w:noProof/>
          <w:sz w:val="24"/>
        </w:rPr>
        <w:drawing>
          <wp:inline distT="0" distB="0" distL="0" distR="0" wp14:anchorId="0DAA874D" wp14:editId="621547D9">
            <wp:extent cx="5501640" cy="3215640"/>
            <wp:effectExtent l="0" t="0" r="22860" b="2286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470C67">
      <w:pPr>
        <w:pStyle w:val="Bezodstpw"/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Zaledwie 2 proc. przestępców skazanych za spowodowanie uszczerbku na zdrowiu człowieka dostaje w Polsce wyrok od 5 lat więzienia wzwyż. Na Słowacji – 14 proc., na Węgrzech 12 proc., w Czechach – 7 proc., a średnia unijna to 4 proc. 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A2CA7">
      <w:pPr>
        <w:pStyle w:val="Bezodstpw"/>
        <w:spacing w:line="276" w:lineRule="auto"/>
        <w:jc w:val="center"/>
        <w:rPr>
          <w:rFonts w:cstheme="minorHAnsi"/>
          <w:szCs w:val="24"/>
        </w:rPr>
      </w:pPr>
      <w:r>
        <w:rPr>
          <w:rFonts w:eastAsiaTheme="minorHAnsi"/>
          <w:noProof/>
          <w:sz w:val="24"/>
        </w:rPr>
        <w:lastRenderedPageBreak/>
        <w:drawing>
          <wp:inline distT="0" distB="0" distL="0" distR="0" wp14:anchorId="6572367B" wp14:editId="69A1070A">
            <wp:extent cx="5501640" cy="3215640"/>
            <wp:effectExtent l="0" t="0" r="22860" b="2286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470C67">
      <w:pPr>
        <w:pStyle w:val="Bezodstpw"/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Polskie sądy skazują tylko 4 proc. sprawców narkotykowych na 5 lub więcej lat więzienia. Na Węgrzech ten odsetek wynosi 45 proc., na Słowacji – 36 proc., w Anglii i Walii – 13 proc., a średnia dla krajów UE to 7 proc. </w:t>
      </w:r>
    </w:p>
    <w:p w:rsidR="00211A62" w:rsidRDefault="00211A62" w:rsidP="00470C67">
      <w:pPr>
        <w:pStyle w:val="Bezodstpw"/>
        <w:spacing w:line="360" w:lineRule="auto"/>
        <w:rPr>
          <w:rFonts w:cstheme="minorHAnsi"/>
          <w:szCs w:val="24"/>
        </w:rPr>
      </w:pPr>
    </w:p>
    <w:p w:rsidR="00211A62" w:rsidRDefault="00211A62" w:rsidP="00470C67">
      <w:pPr>
        <w:pStyle w:val="Bezodstpw"/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zreformowanym Kodeksie karnym znajdą się bardziej konkretne niż obecnie wskazówki dla sądu, co brać pod uwagę przy wymierzaniu kary jako okoliczność łagodzącą (np. dobrowolne naprawienie szkody czy ujawnienie przestępstwa), a co jako obciążającą (np. uprzednia karalność, wykorzystanie bezradności ofiary, jej niepełnosprawności, choroby lub podeszłego wieku, a także szczególne okrucieństwo). Dziś te wskazówki są bardzo ogólne.</w:t>
      </w:r>
    </w:p>
    <w:p w:rsidR="00043DC4" w:rsidRDefault="00043DC4" w:rsidP="00F954CA">
      <w:pPr>
        <w:rPr>
          <w:rFonts w:ascii="Times New Roman" w:hAnsi="Times New Roman" w:cs="Times New Roman"/>
          <w:color w:val="010101"/>
          <w:spacing w:val="-5"/>
          <w:sz w:val="24"/>
          <w:szCs w:val="24"/>
        </w:rPr>
      </w:pPr>
    </w:p>
    <w:p w:rsidR="00470C67" w:rsidRPr="00ED3282" w:rsidRDefault="00470C67" w:rsidP="00470C67">
      <w:pPr>
        <w:pStyle w:val="Bezodstpw"/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Biuro Komunikacji i Promocji</w:t>
      </w:r>
      <w:r>
        <w:rPr>
          <w:rFonts w:cs="Times New Roman"/>
          <w:sz w:val="24"/>
          <w:szCs w:val="24"/>
        </w:rPr>
        <w:br/>
        <w:t>Ministerstwo Sprawiedliwości</w:t>
      </w:r>
    </w:p>
    <w:p w:rsidR="00470C67" w:rsidRPr="00BE7151" w:rsidRDefault="00470C67" w:rsidP="00F954CA">
      <w:pPr>
        <w:rPr>
          <w:rFonts w:ascii="Times New Roman" w:hAnsi="Times New Roman" w:cs="Times New Roman"/>
          <w:color w:val="010101"/>
          <w:spacing w:val="-5"/>
          <w:sz w:val="24"/>
          <w:szCs w:val="24"/>
        </w:rPr>
      </w:pPr>
    </w:p>
    <w:sectPr w:rsidR="00470C67" w:rsidRPr="00BE7151" w:rsidSect="004307A1">
      <w:headerReference w:type="even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9C5" w:rsidRDefault="00EA09C5" w:rsidP="00A73A5C">
      <w:pPr>
        <w:spacing w:after="0" w:line="240" w:lineRule="auto"/>
      </w:pPr>
      <w:r>
        <w:separator/>
      </w:r>
    </w:p>
  </w:endnote>
  <w:endnote w:type="continuationSeparator" w:id="0">
    <w:p w:rsidR="00EA09C5" w:rsidRDefault="00EA09C5" w:rsidP="00A7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9C5" w:rsidRDefault="00EA09C5" w:rsidP="00A73A5C">
      <w:pPr>
        <w:spacing w:after="0" w:line="240" w:lineRule="auto"/>
      </w:pPr>
      <w:r>
        <w:separator/>
      </w:r>
    </w:p>
  </w:footnote>
  <w:footnote w:type="continuationSeparator" w:id="0">
    <w:p w:rsidR="00EA09C5" w:rsidRDefault="00EA09C5" w:rsidP="00A7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5C" w:rsidRDefault="00EA09C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5C" w:rsidRDefault="00EA09C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F0475"/>
    <w:multiLevelType w:val="hybridMultilevel"/>
    <w:tmpl w:val="E0CA3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F2CCD"/>
    <w:multiLevelType w:val="hybridMultilevel"/>
    <w:tmpl w:val="CA141A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1D6EA1"/>
    <w:multiLevelType w:val="hybridMultilevel"/>
    <w:tmpl w:val="ED56C0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B36837"/>
    <w:multiLevelType w:val="hybridMultilevel"/>
    <w:tmpl w:val="91863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E1487"/>
    <w:multiLevelType w:val="hybridMultilevel"/>
    <w:tmpl w:val="59F80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5C"/>
    <w:rsid w:val="00001689"/>
    <w:rsid w:val="00005540"/>
    <w:rsid w:val="00016B4A"/>
    <w:rsid w:val="00043DC4"/>
    <w:rsid w:val="00063AC1"/>
    <w:rsid w:val="00086F58"/>
    <w:rsid w:val="00087246"/>
    <w:rsid w:val="000A181C"/>
    <w:rsid w:val="000A5E93"/>
    <w:rsid w:val="000A74B0"/>
    <w:rsid w:val="000C2D6F"/>
    <w:rsid w:val="000E289B"/>
    <w:rsid w:val="000F7A8D"/>
    <w:rsid w:val="00104065"/>
    <w:rsid w:val="001059A9"/>
    <w:rsid w:val="00111252"/>
    <w:rsid w:val="00122822"/>
    <w:rsid w:val="00132357"/>
    <w:rsid w:val="0013610A"/>
    <w:rsid w:val="00145921"/>
    <w:rsid w:val="00147626"/>
    <w:rsid w:val="00151648"/>
    <w:rsid w:val="001528B1"/>
    <w:rsid w:val="00167802"/>
    <w:rsid w:val="00171676"/>
    <w:rsid w:val="00196C95"/>
    <w:rsid w:val="001A2DDD"/>
    <w:rsid w:val="001C2C3C"/>
    <w:rsid w:val="001D49F1"/>
    <w:rsid w:val="001D4D6F"/>
    <w:rsid w:val="001F55F0"/>
    <w:rsid w:val="00211A62"/>
    <w:rsid w:val="00214277"/>
    <w:rsid w:val="0024579B"/>
    <w:rsid w:val="00257E97"/>
    <w:rsid w:val="00287DC4"/>
    <w:rsid w:val="00292CA5"/>
    <w:rsid w:val="002944D4"/>
    <w:rsid w:val="002B181E"/>
    <w:rsid w:val="002C2462"/>
    <w:rsid w:val="002F4E57"/>
    <w:rsid w:val="0030395C"/>
    <w:rsid w:val="00315883"/>
    <w:rsid w:val="00317250"/>
    <w:rsid w:val="00332F97"/>
    <w:rsid w:val="00364EDD"/>
    <w:rsid w:val="003651FA"/>
    <w:rsid w:val="0036773F"/>
    <w:rsid w:val="003774AE"/>
    <w:rsid w:val="003917AC"/>
    <w:rsid w:val="00395A6E"/>
    <w:rsid w:val="003A1B41"/>
    <w:rsid w:val="003E34C9"/>
    <w:rsid w:val="003E5BC6"/>
    <w:rsid w:val="003F36D1"/>
    <w:rsid w:val="0041242F"/>
    <w:rsid w:val="004141C5"/>
    <w:rsid w:val="00417BBD"/>
    <w:rsid w:val="004307A1"/>
    <w:rsid w:val="00430D0F"/>
    <w:rsid w:val="00433F33"/>
    <w:rsid w:val="0044157E"/>
    <w:rsid w:val="004502C1"/>
    <w:rsid w:val="00450AD7"/>
    <w:rsid w:val="00470C67"/>
    <w:rsid w:val="004911EA"/>
    <w:rsid w:val="004A0279"/>
    <w:rsid w:val="004A316C"/>
    <w:rsid w:val="004B4946"/>
    <w:rsid w:val="004C5C17"/>
    <w:rsid w:val="004D4CE8"/>
    <w:rsid w:val="004E7566"/>
    <w:rsid w:val="004F38AF"/>
    <w:rsid w:val="0050198F"/>
    <w:rsid w:val="00511B40"/>
    <w:rsid w:val="0052515D"/>
    <w:rsid w:val="00525C32"/>
    <w:rsid w:val="005267D9"/>
    <w:rsid w:val="00553C4B"/>
    <w:rsid w:val="00560F51"/>
    <w:rsid w:val="00566824"/>
    <w:rsid w:val="00592AAB"/>
    <w:rsid w:val="0059569D"/>
    <w:rsid w:val="005969F8"/>
    <w:rsid w:val="005A36E0"/>
    <w:rsid w:val="005A3FE2"/>
    <w:rsid w:val="005B125F"/>
    <w:rsid w:val="005B6EDF"/>
    <w:rsid w:val="005B7818"/>
    <w:rsid w:val="005C074D"/>
    <w:rsid w:val="005C7D55"/>
    <w:rsid w:val="005E2555"/>
    <w:rsid w:val="005E5F7F"/>
    <w:rsid w:val="00604ABA"/>
    <w:rsid w:val="00612544"/>
    <w:rsid w:val="00613D05"/>
    <w:rsid w:val="00633DCB"/>
    <w:rsid w:val="00652C86"/>
    <w:rsid w:val="006747FE"/>
    <w:rsid w:val="006A379D"/>
    <w:rsid w:val="006A771C"/>
    <w:rsid w:val="006D2439"/>
    <w:rsid w:val="006D4365"/>
    <w:rsid w:val="006E7207"/>
    <w:rsid w:val="006E799B"/>
    <w:rsid w:val="006F2755"/>
    <w:rsid w:val="007349B7"/>
    <w:rsid w:val="0073703F"/>
    <w:rsid w:val="007456CD"/>
    <w:rsid w:val="007556AD"/>
    <w:rsid w:val="00760028"/>
    <w:rsid w:val="00760733"/>
    <w:rsid w:val="00774455"/>
    <w:rsid w:val="00777332"/>
    <w:rsid w:val="007B16A5"/>
    <w:rsid w:val="007B49ED"/>
    <w:rsid w:val="007B6D30"/>
    <w:rsid w:val="007E15FC"/>
    <w:rsid w:val="00814E51"/>
    <w:rsid w:val="00817F5D"/>
    <w:rsid w:val="00835F12"/>
    <w:rsid w:val="0087058A"/>
    <w:rsid w:val="00880862"/>
    <w:rsid w:val="0088111B"/>
    <w:rsid w:val="008A68B8"/>
    <w:rsid w:val="00923DC0"/>
    <w:rsid w:val="009315B8"/>
    <w:rsid w:val="00941104"/>
    <w:rsid w:val="0094585D"/>
    <w:rsid w:val="009467F1"/>
    <w:rsid w:val="009502E9"/>
    <w:rsid w:val="00951B8A"/>
    <w:rsid w:val="00962734"/>
    <w:rsid w:val="00967523"/>
    <w:rsid w:val="00985460"/>
    <w:rsid w:val="00990D82"/>
    <w:rsid w:val="00992730"/>
    <w:rsid w:val="00994BCA"/>
    <w:rsid w:val="009A2D2C"/>
    <w:rsid w:val="009B60ED"/>
    <w:rsid w:val="009D10BB"/>
    <w:rsid w:val="009F7505"/>
    <w:rsid w:val="00A20FCE"/>
    <w:rsid w:val="00A6110D"/>
    <w:rsid w:val="00A73A5C"/>
    <w:rsid w:val="00A74B41"/>
    <w:rsid w:val="00AA250A"/>
    <w:rsid w:val="00AD4AB6"/>
    <w:rsid w:val="00AE60A2"/>
    <w:rsid w:val="00AF6A3C"/>
    <w:rsid w:val="00AF7447"/>
    <w:rsid w:val="00B01AF2"/>
    <w:rsid w:val="00B1671E"/>
    <w:rsid w:val="00B276A1"/>
    <w:rsid w:val="00B27A37"/>
    <w:rsid w:val="00B343A0"/>
    <w:rsid w:val="00B34DC1"/>
    <w:rsid w:val="00B37A3B"/>
    <w:rsid w:val="00B4226A"/>
    <w:rsid w:val="00B52EFA"/>
    <w:rsid w:val="00B813F3"/>
    <w:rsid w:val="00B95753"/>
    <w:rsid w:val="00BA1230"/>
    <w:rsid w:val="00BA7266"/>
    <w:rsid w:val="00BB61A9"/>
    <w:rsid w:val="00BD66B4"/>
    <w:rsid w:val="00BE468F"/>
    <w:rsid w:val="00BE7151"/>
    <w:rsid w:val="00BE7657"/>
    <w:rsid w:val="00BF2428"/>
    <w:rsid w:val="00BF6F03"/>
    <w:rsid w:val="00C046E1"/>
    <w:rsid w:val="00C23EE2"/>
    <w:rsid w:val="00C25C38"/>
    <w:rsid w:val="00C31F1D"/>
    <w:rsid w:val="00C344AC"/>
    <w:rsid w:val="00C448CA"/>
    <w:rsid w:val="00C5593C"/>
    <w:rsid w:val="00C60C38"/>
    <w:rsid w:val="00C60E9F"/>
    <w:rsid w:val="00C72C65"/>
    <w:rsid w:val="00CC3CE9"/>
    <w:rsid w:val="00CD18D2"/>
    <w:rsid w:val="00CE6B06"/>
    <w:rsid w:val="00D02C4A"/>
    <w:rsid w:val="00D06949"/>
    <w:rsid w:val="00D2099F"/>
    <w:rsid w:val="00D31BA9"/>
    <w:rsid w:val="00D31CE0"/>
    <w:rsid w:val="00D358B8"/>
    <w:rsid w:val="00D359F3"/>
    <w:rsid w:val="00D52D80"/>
    <w:rsid w:val="00D92A34"/>
    <w:rsid w:val="00D93877"/>
    <w:rsid w:val="00DA6C65"/>
    <w:rsid w:val="00DB1321"/>
    <w:rsid w:val="00DC4839"/>
    <w:rsid w:val="00DC4EE7"/>
    <w:rsid w:val="00DF5B98"/>
    <w:rsid w:val="00E07244"/>
    <w:rsid w:val="00E10623"/>
    <w:rsid w:val="00E211F3"/>
    <w:rsid w:val="00E213B0"/>
    <w:rsid w:val="00E24F67"/>
    <w:rsid w:val="00E36057"/>
    <w:rsid w:val="00E437CD"/>
    <w:rsid w:val="00E46C14"/>
    <w:rsid w:val="00E56B91"/>
    <w:rsid w:val="00E67FF3"/>
    <w:rsid w:val="00E71FEF"/>
    <w:rsid w:val="00E7210A"/>
    <w:rsid w:val="00E97730"/>
    <w:rsid w:val="00EA09C5"/>
    <w:rsid w:val="00EA1DAD"/>
    <w:rsid w:val="00EA4E62"/>
    <w:rsid w:val="00EB5EB5"/>
    <w:rsid w:val="00EC369A"/>
    <w:rsid w:val="00EC6ABE"/>
    <w:rsid w:val="00EF3169"/>
    <w:rsid w:val="00EF6516"/>
    <w:rsid w:val="00F2326E"/>
    <w:rsid w:val="00F3779F"/>
    <w:rsid w:val="00F37F09"/>
    <w:rsid w:val="00F54F5E"/>
    <w:rsid w:val="00F664D4"/>
    <w:rsid w:val="00F90DCE"/>
    <w:rsid w:val="00F91796"/>
    <w:rsid w:val="00F954CA"/>
    <w:rsid w:val="00FA2CA7"/>
    <w:rsid w:val="00FA5088"/>
    <w:rsid w:val="00FB5A6E"/>
    <w:rsid w:val="00FB78A5"/>
    <w:rsid w:val="00FE2ED6"/>
    <w:rsid w:val="00FE77EB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character" w:styleId="Hipercze">
    <w:name w:val="Hyperlink"/>
    <w:basedOn w:val="Domylnaczcionkaakapitu"/>
    <w:uiPriority w:val="99"/>
    <w:unhideWhenUsed/>
    <w:rsid w:val="00B27A3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F6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44AC"/>
    <w:rPr>
      <w:b/>
      <w:bCs/>
    </w:rPr>
  </w:style>
  <w:style w:type="paragraph" w:styleId="Bezodstpw">
    <w:name w:val="No Spacing"/>
    <w:uiPriority w:val="1"/>
    <w:qFormat/>
    <w:rsid w:val="00967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6752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92CA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semiHidden/>
    <w:rsid w:val="00292CA5"/>
    <w:pPr>
      <w:widowControl w:val="0"/>
      <w:autoSpaceDE w:val="0"/>
      <w:autoSpaceDN w:val="0"/>
      <w:adjustRightInd w:val="0"/>
      <w:spacing w:after="0" w:line="408" w:lineRule="exact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292CA5"/>
    <w:rPr>
      <w:rFonts w:ascii="Arial" w:hAnsi="Arial" w:cs="Arial" w:hint="default"/>
      <w:b/>
      <w:bCs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292CA5"/>
    <w:rPr>
      <w:rFonts w:ascii="Arial" w:hAnsi="Arial" w:cs="Arial" w:hint="default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292CA5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292CA5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30">
    <w:name w:val="Font Style30"/>
    <w:basedOn w:val="Domylnaczcionkaakapitu"/>
    <w:uiPriority w:val="99"/>
    <w:rsid w:val="00292CA5"/>
    <w:rPr>
      <w:rFonts w:ascii="Times New Roman" w:hAnsi="Times New Roman" w:cs="Times New Roman" w:hint="default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292CA5"/>
    <w:rPr>
      <w:i/>
      <w:iCs/>
    </w:rPr>
  </w:style>
  <w:style w:type="character" w:customStyle="1" w:styleId="FontStyle50">
    <w:name w:val="Font Style50"/>
    <w:basedOn w:val="Domylnaczcionkaakapitu"/>
    <w:uiPriority w:val="99"/>
    <w:rsid w:val="0013610A"/>
    <w:rPr>
      <w:rFonts w:ascii="Times New Roman" w:hAnsi="Times New Roman" w:cs="Times New Roman" w:hint="default"/>
      <w:sz w:val="20"/>
      <w:szCs w:val="20"/>
    </w:rPr>
  </w:style>
  <w:style w:type="table" w:styleId="Tabela-Siatka">
    <w:name w:val="Table Grid"/>
    <w:basedOn w:val="Standardowy"/>
    <w:uiPriority w:val="59"/>
    <w:rsid w:val="00211A6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character" w:styleId="Hipercze">
    <w:name w:val="Hyperlink"/>
    <w:basedOn w:val="Domylnaczcionkaakapitu"/>
    <w:uiPriority w:val="99"/>
    <w:unhideWhenUsed/>
    <w:rsid w:val="00B27A3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F6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44AC"/>
    <w:rPr>
      <w:b/>
      <w:bCs/>
    </w:rPr>
  </w:style>
  <w:style w:type="paragraph" w:styleId="Bezodstpw">
    <w:name w:val="No Spacing"/>
    <w:uiPriority w:val="1"/>
    <w:qFormat/>
    <w:rsid w:val="00967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6752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92CA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semiHidden/>
    <w:rsid w:val="00292CA5"/>
    <w:pPr>
      <w:widowControl w:val="0"/>
      <w:autoSpaceDE w:val="0"/>
      <w:autoSpaceDN w:val="0"/>
      <w:adjustRightInd w:val="0"/>
      <w:spacing w:after="0" w:line="408" w:lineRule="exact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292CA5"/>
    <w:rPr>
      <w:rFonts w:ascii="Arial" w:hAnsi="Arial" w:cs="Arial" w:hint="default"/>
      <w:b/>
      <w:bCs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292CA5"/>
    <w:rPr>
      <w:rFonts w:ascii="Arial" w:hAnsi="Arial" w:cs="Arial" w:hint="default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292CA5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292CA5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30">
    <w:name w:val="Font Style30"/>
    <w:basedOn w:val="Domylnaczcionkaakapitu"/>
    <w:uiPriority w:val="99"/>
    <w:rsid w:val="00292CA5"/>
    <w:rPr>
      <w:rFonts w:ascii="Times New Roman" w:hAnsi="Times New Roman" w:cs="Times New Roman" w:hint="default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292CA5"/>
    <w:rPr>
      <w:i/>
      <w:iCs/>
    </w:rPr>
  </w:style>
  <w:style w:type="character" w:customStyle="1" w:styleId="FontStyle50">
    <w:name w:val="Font Style50"/>
    <w:basedOn w:val="Domylnaczcionkaakapitu"/>
    <w:uiPriority w:val="99"/>
    <w:rsid w:val="0013610A"/>
    <w:rPr>
      <w:rFonts w:ascii="Times New Roman" w:hAnsi="Times New Roman" w:cs="Times New Roman" w:hint="default"/>
      <w:sz w:val="20"/>
      <w:szCs w:val="20"/>
    </w:rPr>
  </w:style>
  <w:style w:type="table" w:styleId="Tabela-Siatka">
    <w:name w:val="Table Grid"/>
    <w:basedOn w:val="Standardowy"/>
    <w:uiPriority w:val="59"/>
    <w:rsid w:val="00211A6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</a:t>
            </a:r>
            <a:r>
              <a:rPr lang="pl-PL"/>
              <a:t>prawcy zabójstw skazani </a:t>
            </a:r>
            <a:r>
              <a:rPr lang="pl-PL" baseline="0"/>
              <a:t>na dożywocie </a:t>
            </a:r>
          </a:p>
          <a:p>
            <a:pPr>
              <a:defRPr/>
            </a:pPr>
            <a:r>
              <a:rPr lang="pl-PL" baseline="0"/>
              <a:t>(w proc.)</a:t>
            </a:r>
            <a:endParaRPr lang="en-US"/>
          </a:p>
        </c:rich>
      </c:tx>
      <c:layout>
        <c:manualLayout>
          <c:xMode val="edge"/>
          <c:yMode val="edge"/>
          <c:x val="0.14744203849518811"/>
          <c:y val="2.3809523809523808E-2"/>
        </c:manualLayout>
      </c:layout>
      <c:overlay val="0"/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Grecja</c:v>
                </c:pt>
                <c:pt idx="1">
                  <c:v>Anglia i Walia</c:v>
                </c:pt>
                <c:pt idx="2">
                  <c:v>Niemcy</c:v>
                </c:pt>
                <c:pt idx="3">
                  <c:v>średnia UE</c:v>
                </c:pt>
                <c:pt idx="4">
                  <c:v>Polska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43</c:v>
                </c:pt>
                <c:pt idx="1">
                  <c:v>34</c:v>
                </c:pt>
                <c:pt idx="2">
                  <c:v>21</c:v>
                </c:pt>
                <c:pt idx="3">
                  <c:v>12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83-48F3-8910-EC50963091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555136"/>
        <c:axId val="151778048"/>
      </c:barChart>
      <c:catAx>
        <c:axId val="222555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778048"/>
        <c:crosses val="autoZero"/>
        <c:auto val="1"/>
        <c:lblAlgn val="ctr"/>
        <c:lblOffset val="100"/>
        <c:noMultiLvlLbl val="0"/>
      </c:catAx>
      <c:valAx>
        <c:axId val="151778048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2225551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Sprawcy rozbojów skazani na 5 lat więzienia i więcej (w proc.)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Węgry</c:v>
                </c:pt>
                <c:pt idx="1">
                  <c:v>Słowacja</c:v>
                </c:pt>
                <c:pt idx="2">
                  <c:v>Grecja</c:v>
                </c:pt>
                <c:pt idx="3">
                  <c:v>średnia UE</c:v>
                </c:pt>
                <c:pt idx="4">
                  <c:v>Polska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55</c:v>
                </c:pt>
                <c:pt idx="1">
                  <c:v>49</c:v>
                </c:pt>
                <c:pt idx="2">
                  <c:v>43</c:v>
                </c:pt>
                <c:pt idx="3">
                  <c:v>12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EC-443E-8652-87E4746896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984768"/>
        <c:axId val="169986304"/>
      </c:barChart>
      <c:catAx>
        <c:axId val="169984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986304"/>
        <c:crosses val="autoZero"/>
        <c:auto val="1"/>
        <c:lblAlgn val="ctr"/>
        <c:lblOffset val="100"/>
        <c:noMultiLvlLbl val="0"/>
      </c:catAx>
      <c:valAx>
        <c:axId val="169986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9847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Sprawcy uszczerbku na zdrowiu</a:t>
            </a:r>
            <a:r>
              <a:rPr lang="pl-PL" baseline="0"/>
              <a:t> </a:t>
            </a:r>
          </a:p>
          <a:p>
            <a:pPr>
              <a:defRPr/>
            </a:pPr>
            <a:r>
              <a:rPr lang="pl-PL" baseline="0"/>
              <a:t>skazani na 5 lat więzienia i więcej (w proc.) 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Słowacja</c:v>
                </c:pt>
                <c:pt idx="1">
                  <c:v>Węgry</c:v>
                </c:pt>
                <c:pt idx="2">
                  <c:v>Czechy</c:v>
                </c:pt>
                <c:pt idx="3">
                  <c:v>Średnia UE</c:v>
                </c:pt>
                <c:pt idx="4">
                  <c:v>Polska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14</c:v>
                </c:pt>
                <c:pt idx="1">
                  <c:v>12</c:v>
                </c:pt>
                <c:pt idx="2">
                  <c:v>7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D3-4115-B9ED-0C8890F683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739008"/>
        <c:axId val="193744896"/>
      </c:barChart>
      <c:catAx>
        <c:axId val="193739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3744896"/>
        <c:crosses val="autoZero"/>
        <c:auto val="1"/>
        <c:lblAlgn val="ctr"/>
        <c:lblOffset val="100"/>
        <c:noMultiLvlLbl val="0"/>
      </c:catAx>
      <c:valAx>
        <c:axId val="19374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7390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</a:t>
            </a:r>
            <a:r>
              <a:rPr lang="pl-PL"/>
              <a:t>prawcy</a:t>
            </a:r>
            <a:r>
              <a:rPr lang="pl-PL" baseline="0"/>
              <a:t> przestępstw narkotykowych</a:t>
            </a:r>
          </a:p>
          <a:p>
            <a:pPr>
              <a:defRPr/>
            </a:pPr>
            <a:r>
              <a:rPr lang="pl-PL" baseline="0"/>
              <a:t>skazani na 5 lat więzienia i więcej (w proc.)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Węgry</c:v>
                </c:pt>
                <c:pt idx="1">
                  <c:v>Słowacja</c:v>
                </c:pt>
                <c:pt idx="2">
                  <c:v>Anglia i Walia</c:v>
                </c:pt>
                <c:pt idx="3">
                  <c:v>Średnia UE</c:v>
                </c:pt>
                <c:pt idx="4">
                  <c:v>Polska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45</c:v>
                </c:pt>
                <c:pt idx="1">
                  <c:v>36</c:v>
                </c:pt>
                <c:pt idx="2">
                  <c:v>13</c:v>
                </c:pt>
                <c:pt idx="3">
                  <c:v>7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CF-4673-8F85-E5ECCC2A8B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078976"/>
        <c:axId val="200283264"/>
      </c:barChart>
      <c:catAx>
        <c:axId val="196078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0283264"/>
        <c:crosses val="autoZero"/>
        <c:auto val="1"/>
        <c:lblAlgn val="ctr"/>
        <c:lblOffset val="100"/>
        <c:noMultiLvlLbl val="0"/>
      </c:catAx>
      <c:valAx>
        <c:axId val="200283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60789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A4FD-EE61-424A-B5CB-738A01E1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Domachowska Milena  (BM)</cp:lastModifiedBy>
  <cp:revision>4</cp:revision>
  <cp:lastPrinted>2019-05-14T09:21:00Z</cp:lastPrinted>
  <dcterms:created xsi:type="dcterms:W3CDTF">2019-05-14T09:10:00Z</dcterms:created>
  <dcterms:modified xsi:type="dcterms:W3CDTF">2019-05-14T09:22:00Z</dcterms:modified>
</cp:coreProperties>
</file>