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19229" w14:textId="77777777" w:rsidR="00851144" w:rsidRPr="00851144" w:rsidRDefault="00851144" w:rsidP="004A19F7">
      <w:pPr>
        <w:spacing w:after="480" w:line="360" w:lineRule="auto"/>
        <w:contextualSpacing/>
        <w:rPr>
          <w:rFonts w:ascii="Arial" w:eastAsia="Calibri" w:hAnsi="Arial" w:cs="Arial"/>
          <w:sz w:val="24"/>
          <w:szCs w:val="24"/>
        </w:rPr>
      </w:pPr>
    </w:p>
    <w:p w14:paraId="05A11B9F" w14:textId="724E24BB" w:rsidR="00851144" w:rsidRPr="003D57EA" w:rsidRDefault="00851144" w:rsidP="003D57EA">
      <w:pPr>
        <w:keepNext/>
        <w:spacing w:before="240" w:after="480" w:line="360" w:lineRule="auto"/>
        <w:contextualSpacing/>
        <w:outlineLvl w:val="0"/>
        <w:rPr>
          <w:rFonts w:ascii="Arial" w:eastAsia="Times New Roman" w:hAnsi="Arial" w:cs="Arial"/>
          <w:kern w:val="32"/>
          <w:sz w:val="24"/>
          <w:szCs w:val="24"/>
        </w:rPr>
      </w:pPr>
      <w:r w:rsidRPr="003D57EA">
        <w:rPr>
          <w:rFonts w:ascii="Arial" w:eastAsia="Times New Roman" w:hAnsi="Arial" w:cs="Arial"/>
          <w:kern w:val="32"/>
          <w:sz w:val="24"/>
          <w:szCs w:val="24"/>
        </w:rPr>
        <w:t>W nagłówku znajduje się logo Komisji do spraw reprywatyzacji nieruchomości warszawskich zawierające godło państwa polskiego i podkreślenie w formie miniaturki flagi RP</w:t>
      </w:r>
    </w:p>
    <w:p w14:paraId="3AE41D22" w14:textId="77777777" w:rsidR="00851144" w:rsidRPr="003D57EA" w:rsidRDefault="00851144" w:rsidP="003D57EA">
      <w:pPr>
        <w:keepNext/>
        <w:spacing w:before="240" w:after="480" w:line="360" w:lineRule="auto"/>
        <w:contextualSpacing/>
        <w:outlineLvl w:val="0"/>
        <w:rPr>
          <w:rFonts w:ascii="Arial" w:eastAsia="Times New Roman" w:hAnsi="Arial" w:cs="Arial"/>
          <w:kern w:val="32"/>
          <w:sz w:val="24"/>
          <w:szCs w:val="24"/>
        </w:rPr>
      </w:pPr>
    </w:p>
    <w:p w14:paraId="3B249D62"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Warszawa, dnia 8 marca 2023 r.</w:t>
      </w:r>
    </w:p>
    <w:p w14:paraId="23D929CA"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06B694EB" w14:textId="27C74CC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Sygn. akt KR II R 93/22</w:t>
      </w:r>
    </w:p>
    <w:p w14:paraId="257BA675"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13AD9AFE" w14:textId="0B4C8E64"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Decyzja nr KR II R 93/22</w:t>
      </w:r>
    </w:p>
    <w:p w14:paraId="061FB68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09A91722"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Komisja do spraw reprywatyzacji nieruchomości warszawskich, w składzie:</w:t>
      </w:r>
    </w:p>
    <w:p w14:paraId="36E92388" w14:textId="77777777" w:rsidR="00851144" w:rsidRPr="003D57EA" w:rsidRDefault="00851144" w:rsidP="003D57EA">
      <w:pPr>
        <w:tabs>
          <w:tab w:val="left" w:pos="6110"/>
        </w:tabs>
        <w:spacing w:after="480" w:line="360" w:lineRule="auto"/>
        <w:contextualSpacing/>
        <w:rPr>
          <w:rFonts w:ascii="Arial" w:eastAsia="Calibri" w:hAnsi="Arial" w:cs="Arial"/>
          <w:sz w:val="24"/>
          <w:szCs w:val="24"/>
          <w:vertAlign w:val="subscript"/>
        </w:rPr>
      </w:pPr>
      <w:r w:rsidRPr="003D57EA">
        <w:rPr>
          <w:rFonts w:ascii="Arial" w:eastAsia="Calibri" w:hAnsi="Arial" w:cs="Arial"/>
          <w:sz w:val="24"/>
          <w:szCs w:val="24"/>
        </w:rPr>
        <w:t>Przewodniczący Komisji:</w:t>
      </w:r>
    </w:p>
    <w:p w14:paraId="2904EA6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Sebastian Kaleta</w:t>
      </w:r>
    </w:p>
    <w:p w14:paraId="3CA05A23"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Członkowie Komisji</w:t>
      </w:r>
    </w:p>
    <w:p w14:paraId="6EAED4D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Łukasz Kondratko, Robert Kropiwnicki, Paweł Lisiecki, Bartłomiej Opaliński, Sławomir Potapowicz, Adam Zieliński, </w:t>
      </w:r>
    </w:p>
    <w:p w14:paraId="4427498A"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 rozpoznaniu w dniu 8 marca 2023 r. na posiedzeniu niejawnym sprawy</w:t>
      </w:r>
    </w:p>
    <w:p w14:paraId="323D1777" w14:textId="0BF994FF"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w przedmiocie decyzji Prezydenta m.st. Warszawy z dnia 24 maja 2007 r. nr 187/GK/DW/2007 dotyczącej ustanowienia prawa użytkowania wieczystego do gruntu o pow. 189 m2 położonego w Warszawie przy ul. Krakowskie Przedmieście 39, dawny hip. nr 428 oznaczonego jako dz. ew. nr 30 w obrębie 5-03-05, uregulowanego w księdze wieczystej nr W  z  udziałem stron: Miasta Stołecznego Warszawy, H K M i A D,</w:t>
      </w:r>
    </w:p>
    <w:p w14:paraId="6CB9EC05"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na podstawie art. 29 ust. 1 pkt 3a w związku z art. 30 ust. 1 pkt 4 ustawy z dnia 9 marca 2017  r. o szczególnych zasadach usuwania skutków prawnych decyzji reprywatyzacyjnych dotyczących nieruchomości warszawskich, wydanych z naruszeniem prawa (Dz. U. z 2021 r. poz. 795; dalej: ustawa z dnia 9 marca 2017 r.) w związku z art. 156 § 1 pkt 2 ustawy z dnia </w:t>
      </w:r>
    </w:p>
    <w:p w14:paraId="2E77E0ED" w14:textId="5F823A20"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14 czerwca 1960 r. – Kodeks postępowania administracyjnego (Dz.U. z 2022 r. poz. 2000, 2185 dalej: k.p.a.) w związku z art. 38 ust. 1 ustawy z dnia 9 marca 2017 r. </w:t>
      </w:r>
    </w:p>
    <w:p w14:paraId="47FCBC83"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orzeka:</w:t>
      </w:r>
    </w:p>
    <w:p w14:paraId="45D8D45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lastRenderedPageBreak/>
        <w:t>stwierdzić nieważność decyzji Prezydenta m.st. Warszawy z dnia 24 maja 2007 r. nr 187/GK/DW/2007 w całości.</w:t>
      </w:r>
    </w:p>
    <w:p w14:paraId="2A56026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475D14F8" w14:textId="72AB39C2"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Uzasadnienie</w:t>
      </w:r>
    </w:p>
    <w:p w14:paraId="58FA51BF"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161EFC8F"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I. Postępowanie rozpoznawcze prowadzone przed Komisją</w:t>
      </w:r>
    </w:p>
    <w:p w14:paraId="3DCBAA34" w14:textId="041AC0EE"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Postanowieniem z dnia 30 listopada 2022 r. Komisja do spraw reprywatyzacji nieruchomości warszawskich (dalej: Komisja), działając na podstawie art. 15 ust. 2 i 3  w zw. z art. 16 ust. 1 ustawy z dnia 9 marca 2017 r., wszczęła z urzędu postępowanie rozpoznawcze w przedmiocie decyzji Prezydenta m.st. Warszawy z dnia 24 maja 2007 r. nr 187/GK/DW/2007 dotyczącej ustanowienia prawa użytkowania wieczystego do gruntu o pow. 189 m2 położonego w Warszawie przy ul. Krakowskie Przedmieście 39, dawny hip. nr 428 oznaczonego jako dz. ew. nr 30 w obrębie 5-03-05, uregulowanego w księdze wieczystej nr W  (akta sprawy KR II R 93/22 k. 4-6).</w:t>
      </w:r>
    </w:p>
    <w:p w14:paraId="494D65D5"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Postanowieniem z dnia 30 listopada 2022 r., Komisja, na podstawie art. 26 ust. 2 ustawy z dnia 9 marca 2017 r., zawiadomiła właściwe organy administracji oraz sądy o wszczęciu z  urzędu postępowania rozpoznawczego (akta sprawy KR II R 93/22 k. 7).</w:t>
      </w:r>
    </w:p>
    <w:p w14:paraId="39486728"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Postanowieniem z dnia 30 listopada 2022 r., doręczonym w dniu 9  stycznia 2023 r., Komisja zwróciła się do Społecznej Rady przy Komisji do spraw reprywatyzacji nieruchomości warszawskich o wydanie opinii w przedmiocie decyzji Prezydenta m.st. Warszawy z dnia 24  maja 2007 r. nr 187/GK/DW/2007 (akta sprawy KR II R 93/22 k. 11) </w:t>
      </w:r>
    </w:p>
    <w:p w14:paraId="29AA4E03"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Zawiadomieniem z dnia 30 listopada 2022 r. poinformowano strony postępowania o  wszczęciu w dniu 30 listopada 2022 r. postępowania rozpoznawczego w niniejszej sprawie (akta sprawy KR II R 93/22 k. 9).</w:t>
      </w:r>
    </w:p>
    <w:p w14:paraId="057F92D3"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Powyższe postanowienia oraz zawiadomienia zostały ogłoszone w Biuletynie Informacji Publicznej na stronie podmiotowej urzędu obsługującego Ministra Sprawiedliwości w dniu 14 grudnia 2022 r. (akta sprawy KR II R 93/22 k. 20-23).</w:t>
      </w:r>
    </w:p>
    <w:p w14:paraId="0A3051F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Zawiadomieniami z dnia 8 grudnia 2022 r. poinformowano Prezydenta m.st. Warszawy oraz Samorządowe Kolegium Odwoławcze w Warszawie o wszczęciu postępowania rozpoznawczego w niniejszej sprawie (akta sprawy KR II R 93/22 k. 13-16).</w:t>
      </w:r>
    </w:p>
    <w:p w14:paraId="7AC4413F" w14:textId="5CAFEA88"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lastRenderedPageBreak/>
        <w:t>Postanowieniem z dnia 30 listopada 2022 r., sygn. akt KR IV KW 98/22, na podstawie art. 23 ust. 1 i 2 oraz art. 16 ust. 3 ustawy z dnia 9 marca 2017 r., Komisja zabezpieczyła postępowanie rozpoznawcze w sprawie nieruchomości położonej w Warszawie przy ul. Krakowskie Przedmieście 39, poprzez nakazanie wpisu w księdze wieczystej nr W  prowadzonej przez Sąd Rejonowy dla Warszawy-Mokotowa w  Warszawie X Wydział Ksiąg Wieczystych zakazu zbywania lub obciążania ww. nieruchomości. Postanowienie o zabezpieczeniu zostało ogłoszone w Biuletynie Informacji Publicznej na stronie podmiotowej urzędu obsługującego Ministra Sprawiedliwości w dniu 14  grudnia 2022 r. (akta sprawy KR II R 93/22 k. 25-26).</w:t>
      </w:r>
    </w:p>
    <w:p w14:paraId="5607FEA7"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Zawiadomieniem z dnia 26 stycznia 2023 r. poinformowano o wyznaczeniu nowego terminu załatwienia sprawy, do dnia 30 marca 2023 r., ze względu na szczególnie skomplikowany stan sprawy, obszerny materiał dowodowy oraz konieczność zapewnienia stronom czynnego udziału w postępowaniu. Zawiadomienie ogłoszone zostało w Biuletynie Informacji Publicznej na stronie podmiotowej urzędu obsługującego Ministra Sprawiedliwości w dniu 1 lutego 2023 r. (akta sprawy KR II R 93/22 k. 29-30).</w:t>
      </w:r>
    </w:p>
    <w:p w14:paraId="0BC134BF"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Zawiadomieniem z dnia 17 lutego 2023 r. poinformowano strony o zakończeniu postępowania rozpoznawczego oraz o możliwości wypowiedzenia się co do zebranych dowodów i materiałów oraz zgłoszonych żądań. Jednocześnie pouczono strony, że przedmiotowe zawiadomienia uznaje się za doręczone po upływie 7 dni od dnia ogłoszenia w  Biuletynie Informacji Publicznej na stronie podmiotowej urzędu obsługującego Ministra Sprawiedliwości. Powyższe zawiadomienie ogłoszone zostało w Biuletynie Informacji Publicznej na stronie podmiotowej urzędu obsługującego Ministra Sprawiedliwości w dniu 21  lutego 2023 r.  (akta sprawy KR II R 93/22 k. 36-38).</w:t>
      </w:r>
    </w:p>
    <w:p w14:paraId="0E114254" w14:textId="2FE2BBEB"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Strony skorzystały z przysługującego im prawa, wynikającego z art. 10 k.p.a. W piśmie z dnia 7 marca 2023 r. A D i H M, reprezentowane przez r.pr. K W, wniosły o wydanie decyzji utrzymującej w mocy decyzję Prezydenta m.st. Warszawy z dnia 24 maja 2007 r. nr 187/GK/DW/2007 na podstawie art. 29 ust. 1 pkt 1 ustawy o Komisji, względnie o umorzenie niniejszego postępowania jako bezprzedmiotowego, zgodnie z art. 29 ust. 1 pkt 4 ustawy o Komisji. W ww. piśmie strony podnosiły m.in., że wyroki Naczelnego Sądu Administracyjnego z 29 sierpnia 2022 r. w sprawach o sygn. akt I OSK 707/20, I OSK 1717/20, I OSK 2034/20, I OSK 2875/20 oraz z 6 października 2022 r. w  sprawach o sygn. akt I OSK 999/21, I OSK 1578/21 nie mają </w:t>
      </w:r>
      <w:r w:rsidRPr="003D57EA">
        <w:rPr>
          <w:rFonts w:ascii="Arial" w:eastAsia="Calibri" w:hAnsi="Arial" w:cs="Arial"/>
          <w:sz w:val="24"/>
          <w:szCs w:val="24"/>
        </w:rPr>
        <w:lastRenderedPageBreak/>
        <w:t>wpływu na niniejszą sprawę. Zarzuciły, że wykładnia art. 7 ust. 1 i 2 dekretu warszawskiego zaproponowana przez Naczelny Sąd Administracyjny jest błędna i prowadzi do absurdalnych wniosków.</w:t>
      </w:r>
    </w:p>
    <w:p w14:paraId="472A5A2C"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3ED212AA"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II. Na podstawie zebranego materiału dowodowego Komisja ustaliła, co następuje:</w:t>
      </w:r>
    </w:p>
    <w:p w14:paraId="7B61307F" w14:textId="77777777" w:rsidR="0022529B" w:rsidRPr="003D57EA" w:rsidRDefault="0022529B" w:rsidP="003D57EA">
      <w:pPr>
        <w:tabs>
          <w:tab w:val="left" w:pos="6110"/>
        </w:tabs>
        <w:spacing w:after="480" w:line="360" w:lineRule="auto"/>
        <w:contextualSpacing/>
        <w:rPr>
          <w:rFonts w:ascii="Arial" w:eastAsia="Calibri" w:hAnsi="Arial" w:cs="Arial"/>
          <w:sz w:val="24"/>
          <w:szCs w:val="24"/>
        </w:rPr>
      </w:pPr>
    </w:p>
    <w:p w14:paraId="1C22E4F1" w14:textId="21FCD41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2.1. Opis nieruchomości</w:t>
      </w:r>
    </w:p>
    <w:p w14:paraId="01B5BB96"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Przedmiotem decyzji reprywatyzacyjnej Prezydenta m.st. Warszawy z dnia 24  maja 2007 r. nr 187/GK/DW/2007 jest nieruchomość położona w Warszawie przy ul. Krakowskie Przedmieście 39, stanowiąca część dawnej nieruchomości hipotecznej oznaczonej jako hip. 428. W odnowionej ewidencji gruntów nieruchomość ta oznaczona jest jako działka nr 30 w  obrębie 5-03-05 o pow. 189 m2. Znajduje się na niej budynek zabytkowy, wybudowany przed 1945 r., 3 kondygnacyjny, w którym jest 8 lokali mieszkalnych oraz 3 lokale użytkowe.</w:t>
      </w:r>
    </w:p>
    <w:p w14:paraId="33EA084A"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W lustracji nieruchomości przeprowadzonej przez Biuro Odbudowy Stolicy w dniu 17  września 1946 r. stwierdzono, że znajduje się tam budynek stary, zabytkowy, murowany, 3  kondygnacje. Nawieszone i sterczące części ścian. Kategoria zniszczeń VI (budynek wypalony doszczętnie).</w:t>
      </w:r>
    </w:p>
    <w:p w14:paraId="344CCB77"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Z opisu z dnia 14 września 1950 r. wynika, że „na posesji znajdują się sterczące ruiny po 3 piętrowym budynku”, „budynek wypalony”, „w trakcie odbudowy, w budynku brak dachu, jest tylko dachowa więźba drewniana, brak stolarszczyzny. Odbudowano ściany działowe”. Budynek zniszczony w czasie działań wojennych w 78,58%, został odbudowany w  latach 1949-1952 przez Zjednoczenie Budownictwa Miejskiego Nr 4 (dawne Przedsiębiorstwo Państwowe Budownictwa nr V) na zlecenie Warszawskiej Dyrekcji Odbudowy i Stołecznej Dyrekcji Budowy Osiedli Robotniczych. </w:t>
      </w:r>
    </w:p>
    <w:p w14:paraId="012650C7"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W Planie Ogólnym Zagospodarowania Przestrzennego Dzielnicy Warszawa-Śródmieście, obowiązującym od dnia 10 marca 1993 r., zatwierdzonym uchwałą nr 264/74/93 Rady Dzielnicy Warszawa-Śródmieście z dnia 9 lutego 1993 r. stwierdzono, że nieruchomość przy ul. Krakowskie Przedmieście 39 znajduje się w jednostce urbanistycznej oznaczonej symbolem CK/S.C./7. Miała ona służyć obiektom administracji, usługom ponadlokalnym i  towarzyszącym, zabudowie mieszkaniowej o charakterze śródmiejskim. Aktualnie teren ten nie jest objęty żadnym obowiązującym miejscowym planem zagospodarowania przestrzennego.</w:t>
      </w:r>
    </w:p>
    <w:p w14:paraId="35F58CC7" w14:textId="03A74334"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lastRenderedPageBreak/>
        <w:t>Jest to obszar ochrony konserwatorskiej. Budynek znajdujący się na przedmiotowym gruncie został wpisany do rejestru zabytków decyzją nr 220 z dnia 1 lipca 1965 r. Wojewódzki Urząd Ochrony Zabytków w Warszawie decyzją nr 2131/2004 z dnia 20 października 2004 r. zezwolił na oddanie w użytkowanie wieczyste gruntu przedmiotowej nieruchomości uregulowanej w KW nr .</w:t>
      </w:r>
    </w:p>
    <w:p w14:paraId="282687C3"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6932FE22" w14:textId="51E081C8"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2.2.</w:t>
      </w:r>
      <w:r w:rsidR="005B118E" w:rsidRPr="003D57EA">
        <w:rPr>
          <w:rFonts w:ascii="Arial" w:eastAsia="Calibri" w:hAnsi="Arial" w:cs="Arial"/>
          <w:sz w:val="24"/>
          <w:szCs w:val="24"/>
        </w:rPr>
        <w:t xml:space="preserve"> </w:t>
      </w:r>
      <w:r w:rsidRPr="003D57EA">
        <w:rPr>
          <w:rFonts w:ascii="Arial" w:eastAsia="Calibri" w:hAnsi="Arial" w:cs="Arial"/>
          <w:sz w:val="24"/>
          <w:szCs w:val="24"/>
        </w:rPr>
        <w:t>Objęcie gruntu nieruchomości w posiadanie przez gminę m.st. Warszawy i wniosek dekretowy</w:t>
      </w:r>
    </w:p>
    <w:p w14:paraId="644C445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Nieruchomość warszawska położona przy ul. Krakowskie Przedmieście 39 znajduje się na terenie objętym działaniem dekretu z dnia 26 października 1945 r. o własności i użytkowaniu gruntów na obszarze m.st. Warszawy (Dz.U. Nr 50, poz. 279 dalej: dekret warszawski). Z  dniem 21 listopada 1945 r., to jest z dniem wejścia w życie dekretu warszawskiego, grunty nieruchomości warszawskich, w tym grunt przedmiotowej nieruchomości, na podstawie art. 1 dekretu warszawskiego przeszły na własność Gminy m.st. Warszawy, a w 1950 r., z chwilą likwidacji gmin – na własność Skarbu Państwa. Następnie grunt przedmiotowej nieruchomości stał się własnością Dzielnicy Gminy Warszawa-Śródmieście, co potwierdził Wojewoda Warszawski decyzją nr 20726 z dnia 12 marca 1992 r. Decyzją nr 20726 z dnia 11 lutego 2008  r. Minister Spraw Wewnętrznych i Administracji  stwierdził nieważność decyzji Wojewody Warszawskiego z dnia 12 marca 1992 r. w części stwierdzającej nabycie z mocy prawa przez Gminę Dzielnicę Warszawa-Śródmieście nieruchomości budynkowej zlokalizowanej na przedmiotowym gruncie. Natomiast zgodnie z art. 36 ust. 1 ustawy z dnia 25 marca 1994 r. o ustroju miasta stołecznego Warszawy (Dz. U. Nr 48, poz. 195) grunt stał się własnością Gminy Warszawa Centrum. Aktualnie stanowi własność m.st. Warszawy.</w:t>
      </w:r>
    </w:p>
    <w:p w14:paraId="5CE62C85"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W dniu 26 czerwca 1947 r. miały miejsce oględziny przedmiotowego gruntu i  znajdującego się na nim budynku.</w:t>
      </w:r>
    </w:p>
    <w:p w14:paraId="0546DAA3"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Objęcie gruntu w posiadanie przez gminę m.st. Warszawy nastąpiło w dniu 31 lipca 1947 r., tj. z dniem ogłoszenia w Dzienniku Urzędowym nr 13 Rady Narodowej i Zarządu Miejskiego m.st. Warszawy – termin na złożenie wniosku upływał w dniu 31 stycznia 1948 r.</w:t>
      </w:r>
    </w:p>
    <w:p w14:paraId="0A3E5D69" w14:textId="24E9C515"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W dniu 26 stycznia 1948 r. adw. Z N, jako pełnomocnik właścicieli hipotecznych, złożył wniosek w trybie art. 7 ust. 1 dekretu oraz uiścił opłatę manipulacyjną w  wysokości 3.000 ówczesnych złotych.</w:t>
      </w:r>
    </w:p>
    <w:p w14:paraId="15922F7B"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24344D37" w14:textId="6F5482B8"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2.3.</w:t>
      </w:r>
      <w:r w:rsidR="00B22616" w:rsidRPr="003D57EA">
        <w:rPr>
          <w:rFonts w:ascii="Arial" w:eastAsia="Calibri" w:hAnsi="Arial" w:cs="Arial"/>
          <w:sz w:val="24"/>
          <w:szCs w:val="24"/>
        </w:rPr>
        <w:t xml:space="preserve"> </w:t>
      </w:r>
      <w:r w:rsidRPr="003D57EA">
        <w:rPr>
          <w:rFonts w:ascii="Arial" w:eastAsia="Calibri" w:hAnsi="Arial" w:cs="Arial"/>
          <w:sz w:val="24"/>
          <w:szCs w:val="24"/>
        </w:rPr>
        <w:t xml:space="preserve">Dawni właściciele hipoteczni nieruchomości i ich następcy prawni </w:t>
      </w:r>
    </w:p>
    <w:p w14:paraId="0582EE0F" w14:textId="150B2D78"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 protokole oględzin z 26 czerwca 1947 r. dokonanych przez Gminę m.st. Warszawy wskazano, że dotychczasowymi właścicielami nieruchomości byli: A N, L K, J N, H N, H G, K S, M B, W G i </w:t>
      </w:r>
      <w:proofErr w:type="spellStart"/>
      <w:r w:rsidRPr="003D57EA">
        <w:rPr>
          <w:rFonts w:ascii="Arial" w:eastAsia="Calibri" w:hAnsi="Arial" w:cs="Arial"/>
          <w:sz w:val="24"/>
          <w:szCs w:val="24"/>
        </w:rPr>
        <w:t>I</w:t>
      </w:r>
      <w:proofErr w:type="spellEnd"/>
      <w:r w:rsidRPr="003D57EA">
        <w:rPr>
          <w:rFonts w:ascii="Arial" w:eastAsia="Calibri" w:hAnsi="Arial" w:cs="Arial"/>
          <w:sz w:val="24"/>
          <w:szCs w:val="24"/>
        </w:rPr>
        <w:t xml:space="preserve"> G.</w:t>
      </w:r>
    </w:p>
    <w:p w14:paraId="0AF355F9" w14:textId="7CF25A9C"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Z zaświadczenia Wydziału Hipotecznego Sądu Okręgowego w Warszawie nr 10869/47 z dnia 2 września 1947 r. wynika, że stosownie do zastrzeżenia z wniosku zeznanego w dniu 14 marca 1939 r. zaprojektowano treść na przepisanie tytułu własności nieruchomości warszawskiej nr 428, położonej przy ul. Krakowskie Przedmieście, zawierającej powierzchnię 568 łokci kw. na imię osób: J </w:t>
      </w:r>
      <w:proofErr w:type="spellStart"/>
      <w:r w:rsidRPr="003D57EA">
        <w:rPr>
          <w:rFonts w:ascii="Arial" w:eastAsia="Calibri" w:hAnsi="Arial" w:cs="Arial"/>
          <w:sz w:val="24"/>
          <w:szCs w:val="24"/>
        </w:rPr>
        <w:t>J</w:t>
      </w:r>
      <w:proofErr w:type="spellEnd"/>
      <w:r w:rsidRPr="003D57EA">
        <w:rPr>
          <w:rFonts w:ascii="Arial" w:eastAsia="Calibri" w:hAnsi="Arial" w:cs="Arial"/>
          <w:sz w:val="24"/>
          <w:szCs w:val="24"/>
        </w:rPr>
        <w:t xml:space="preserve"> z M S co do 18/45 części, L J barona K co do 9/45 części, J C J z R N co do 6/45 części, E z R</w:t>
      </w:r>
      <w:r w:rsidR="00183AA2" w:rsidRPr="003D57EA">
        <w:rPr>
          <w:rFonts w:ascii="Arial" w:eastAsia="Calibri" w:hAnsi="Arial" w:cs="Arial"/>
          <w:sz w:val="24"/>
          <w:szCs w:val="24"/>
        </w:rPr>
        <w:t xml:space="preserve"> </w:t>
      </w:r>
      <w:r w:rsidRPr="003D57EA">
        <w:rPr>
          <w:rFonts w:ascii="Arial" w:eastAsia="Calibri" w:hAnsi="Arial" w:cs="Arial"/>
          <w:sz w:val="24"/>
          <w:szCs w:val="24"/>
        </w:rPr>
        <w:t>D co do 8/45 części i H z  R G co do 4/45 części- wszyscy niepodzielnie. Przez zastrzeżenie z  wniosku nr 431 t. III tej księgi z dnia 18 sierpnia 1941 r. zaprojektowano treść, że wskutek śmierci E</w:t>
      </w:r>
      <w:r w:rsidR="00183AA2" w:rsidRPr="003D57EA">
        <w:rPr>
          <w:rFonts w:ascii="Arial" w:eastAsia="Calibri" w:hAnsi="Arial" w:cs="Arial"/>
          <w:sz w:val="24"/>
          <w:szCs w:val="24"/>
        </w:rPr>
        <w:t xml:space="preserve"> </w:t>
      </w:r>
      <w:r w:rsidRPr="003D57EA">
        <w:rPr>
          <w:rFonts w:ascii="Arial" w:eastAsia="Calibri" w:hAnsi="Arial" w:cs="Arial"/>
          <w:sz w:val="24"/>
          <w:szCs w:val="24"/>
        </w:rPr>
        <w:t>z R D z testamentu własnoręcznego z dnia 5 kwietnia 1935  r. pozostała po niej współwłasność tej nieruchomości przeszła na własność siostrzeńca i  czterech siostrzenic: W G, H N, K J K S, M</w:t>
      </w:r>
      <w:r w:rsidR="001A1017" w:rsidRPr="003D57EA">
        <w:rPr>
          <w:rFonts w:ascii="Arial" w:eastAsia="Calibri" w:hAnsi="Arial" w:cs="Arial"/>
          <w:sz w:val="24"/>
          <w:szCs w:val="24"/>
        </w:rPr>
        <w:t xml:space="preserve"> </w:t>
      </w:r>
      <w:r w:rsidRPr="003D57EA">
        <w:rPr>
          <w:rFonts w:ascii="Arial" w:eastAsia="Calibri" w:hAnsi="Arial" w:cs="Arial"/>
          <w:sz w:val="24"/>
          <w:szCs w:val="24"/>
        </w:rPr>
        <w:t>H J B</w:t>
      </w:r>
      <w:r w:rsidR="001A1017" w:rsidRPr="003D57EA">
        <w:rPr>
          <w:rFonts w:ascii="Arial" w:eastAsia="Calibri" w:hAnsi="Arial" w:cs="Arial"/>
          <w:sz w:val="24"/>
          <w:szCs w:val="24"/>
        </w:rPr>
        <w:t xml:space="preserve"> </w:t>
      </w:r>
      <w:r w:rsidRPr="003D57EA">
        <w:rPr>
          <w:rFonts w:ascii="Arial" w:eastAsia="Calibri" w:hAnsi="Arial" w:cs="Arial"/>
          <w:sz w:val="24"/>
          <w:szCs w:val="24"/>
        </w:rPr>
        <w:t xml:space="preserve">i </w:t>
      </w:r>
      <w:proofErr w:type="spellStart"/>
      <w:r w:rsidRPr="003D57EA">
        <w:rPr>
          <w:rFonts w:ascii="Arial" w:eastAsia="Calibri" w:hAnsi="Arial" w:cs="Arial"/>
          <w:sz w:val="24"/>
          <w:szCs w:val="24"/>
        </w:rPr>
        <w:t>I</w:t>
      </w:r>
      <w:proofErr w:type="spellEnd"/>
      <w:r w:rsidRPr="003D57EA">
        <w:rPr>
          <w:rFonts w:ascii="Arial" w:eastAsia="Calibri" w:hAnsi="Arial" w:cs="Arial"/>
          <w:sz w:val="24"/>
          <w:szCs w:val="24"/>
        </w:rPr>
        <w:t xml:space="preserve"> G w częściach równych. Przez zastrzeżenie z wniosku zeznanego w tej księdze w dniu 19 marca 1942 r. za nr 46 zaprojektowano wpis: H z R G jako właścicielka 4/45 części tej nieruchomości, a J C J z R N jako właścicielka 6/45 części tej nieruchomości na mocy aktu z dnia 24 maja 1928 r. za nr rep. 396 należące do H z  R G 3/45 części nieruchomości przeszły na własność J C J z R N. Przez zastrzeżenie z wniosku zeznanego w tej księdze dnia 10 czerwca 1939 r. za nr 38 zaprojektowano wpis, że J </w:t>
      </w:r>
      <w:proofErr w:type="spellStart"/>
      <w:r w:rsidRPr="003D57EA">
        <w:rPr>
          <w:rFonts w:ascii="Arial" w:eastAsia="Calibri" w:hAnsi="Arial" w:cs="Arial"/>
          <w:sz w:val="24"/>
          <w:szCs w:val="24"/>
        </w:rPr>
        <w:t>J</w:t>
      </w:r>
      <w:proofErr w:type="spellEnd"/>
      <w:r w:rsidRPr="003D57EA">
        <w:rPr>
          <w:rFonts w:ascii="Arial" w:eastAsia="Calibri" w:hAnsi="Arial" w:cs="Arial"/>
          <w:sz w:val="24"/>
          <w:szCs w:val="24"/>
        </w:rPr>
        <w:t xml:space="preserve"> S należące do niej 18/45 części tej nieruchomości sprzedała A N z mocy aktu nr Rep. z  dnia 10 marca 1931 r.</w:t>
      </w:r>
    </w:p>
    <w:p w14:paraId="3435DE7D"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11A5419F"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2.3.1. Przebieg spadkobrania po pierwotnych właścicielach:</w:t>
      </w:r>
    </w:p>
    <w:p w14:paraId="0BD32CEF" w14:textId="56B32A43"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Postanowieniem Sądu Grodzkiego w Olsztynie z 29 stycznia 1948 r. Nr Sp. orzeczono, że spadek po A</w:t>
      </w:r>
      <w:r w:rsidR="00502494" w:rsidRPr="003D57EA">
        <w:rPr>
          <w:rFonts w:ascii="Arial" w:eastAsia="Calibri" w:hAnsi="Arial" w:cs="Arial"/>
          <w:sz w:val="24"/>
          <w:szCs w:val="24"/>
        </w:rPr>
        <w:t xml:space="preserve"> </w:t>
      </w:r>
      <w:r w:rsidRPr="003D57EA">
        <w:rPr>
          <w:rFonts w:ascii="Arial" w:eastAsia="Calibri" w:hAnsi="Arial" w:cs="Arial"/>
          <w:sz w:val="24"/>
          <w:szCs w:val="24"/>
        </w:rPr>
        <w:t xml:space="preserve">N nabyła żona J </w:t>
      </w:r>
      <w:proofErr w:type="spellStart"/>
      <w:r w:rsidRPr="003D57EA">
        <w:rPr>
          <w:rFonts w:ascii="Arial" w:eastAsia="Calibri" w:hAnsi="Arial" w:cs="Arial"/>
          <w:sz w:val="24"/>
          <w:szCs w:val="24"/>
        </w:rPr>
        <w:t>J</w:t>
      </w:r>
      <w:proofErr w:type="spellEnd"/>
      <w:r w:rsidRPr="003D57EA">
        <w:rPr>
          <w:rFonts w:ascii="Arial" w:eastAsia="Calibri" w:hAnsi="Arial" w:cs="Arial"/>
          <w:sz w:val="24"/>
          <w:szCs w:val="24"/>
        </w:rPr>
        <w:t xml:space="preserve"> C N w ¼ części i  córka H M T N w ¾ części.</w:t>
      </w:r>
    </w:p>
    <w:p w14:paraId="3F6F7AD5" w14:textId="31049029"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 Postanowieniem Sądu Rejonowego w Oświęcimiu z 12 września 1990 r., sygn. akt I </w:t>
      </w:r>
      <w:proofErr w:type="spellStart"/>
      <w:r w:rsidRPr="003D57EA">
        <w:rPr>
          <w:rFonts w:ascii="Arial" w:eastAsia="Calibri" w:hAnsi="Arial" w:cs="Arial"/>
          <w:sz w:val="24"/>
          <w:szCs w:val="24"/>
        </w:rPr>
        <w:t>Ns</w:t>
      </w:r>
      <w:proofErr w:type="spellEnd"/>
      <w:r w:rsidRPr="003D57EA">
        <w:rPr>
          <w:rFonts w:ascii="Arial" w:eastAsia="Calibri" w:hAnsi="Arial" w:cs="Arial"/>
          <w:sz w:val="24"/>
          <w:szCs w:val="24"/>
        </w:rPr>
        <w:t xml:space="preserve"> orzeczono, że spadek po J </w:t>
      </w:r>
      <w:proofErr w:type="spellStart"/>
      <w:r w:rsidRPr="003D57EA">
        <w:rPr>
          <w:rFonts w:ascii="Arial" w:eastAsia="Calibri" w:hAnsi="Arial" w:cs="Arial"/>
          <w:sz w:val="24"/>
          <w:szCs w:val="24"/>
        </w:rPr>
        <w:t>J</w:t>
      </w:r>
      <w:proofErr w:type="spellEnd"/>
      <w:r w:rsidRPr="003D57EA">
        <w:rPr>
          <w:rFonts w:ascii="Arial" w:eastAsia="Calibri" w:hAnsi="Arial" w:cs="Arial"/>
          <w:sz w:val="24"/>
          <w:szCs w:val="24"/>
        </w:rPr>
        <w:t xml:space="preserve"> N nabyła córka H D w  całości.</w:t>
      </w:r>
    </w:p>
    <w:p w14:paraId="32C80516" w14:textId="32C366E2"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 Postanowieniem Sądu Rejonowego dla Krakowa- Podgórza w Krakowskie z dnia 11  marca 2005 r., sygn. akt I </w:t>
      </w:r>
      <w:proofErr w:type="spellStart"/>
      <w:r w:rsidRPr="003D57EA">
        <w:rPr>
          <w:rFonts w:ascii="Arial" w:eastAsia="Calibri" w:hAnsi="Arial" w:cs="Arial"/>
          <w:sz w:val="24"/>
          <w:szCs w:val="24"/>
        </w:rPr>
        <w:t>Ns</w:t>
      </w:r>
      <w:proofErr w:type="spellEnd"/>
      <w:r w:rsidRPr="003D57EA">
        <w:rPr>
          <w:rFonts w:ascii="Arial" w:eastAsia="Calibri" w:hAnsi="Arial" w:cs="Arial"/>
          <w:sz w:val="24"/>
          <w:szCs w:val="24"/>
        </w:rPr>
        <w:t xml:space="preserve"> orzeczono, że spadek po H M D, zmarłej dnia 12 </w:t>
      </w:r>
      <w:r w:rsidRPr="003D57EA">
        <w:rPr>
          <w:rFonts w:ascii="Arial" w:eastAsia="Calibri" w:hAnsi="Arial" w:cs="Arial"/>
          <w:sz w:val="24"/>
          <w:szCs w:val="24"/>
        </w:rPr>
        <w:lastRenderedPageBreak/>
        <w:t>stycznia 2005 r., nabyły na podstawie testamentu notarialnego córka H K M w 8/10 częściach oraz wnuczka A D w  2/10 częściach.</w:t>
      </w:r>
    </w:p>
    <w:p w14:paraId="3E77F050" w14:textId="48E3064F"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 Postanowieniem Sądu Rejonowego dla m.st. Warszawy w Warszawie z dnia 6 grudnia 1993  r., sygn. akt III </w:t>
      </w:r>
      <w:proofErr w:type="spellStart"/>
      <w:r w:rsidRPr="003D57EA">
        <w:rPr>
          <w:rFonts w:ascii="Arial" w:eastAsia="Calibri" w:hAnsi="Arial" w:cs="Arial"/>
          <w:sz w:val="24"/>
          <w:szCs w:val="24"/>
        </w:rPr>
        <w:t>Ns</w:t>
      </w:r>
      <w:proofErr w:type="spellEnd"/>
      <w:r w:rsidRPr="003D57EA">
        <w:rPr>
          <w:rFonts w:ascii="Arial" w:eastAsia="Calibri" w:hAnsi="Arial" w:cs="Arial"/>
          <w:sz w:val="24"/>
          <w:szCs w:val="24"/>
        </w:rPr>
        <w:t xml:space="preserve"> orzeczono, że spadek po L</w:t>
      </w:r>
      <w:r w:rsidR="00502494" w:rsidRPr="003D57EA">
        <w:rPr>
          <w:rFonts w:ascii="Arial" w:eastAsia="Calibri" w:hAnsi="Arial" w:cs="Arial"/>
          <w:sz w:val="24"/>
          <w:szCs w:val="24"/>
        </w:rPr>
        <w:t xml:space="preserve"> </w:t>
      </w:r>
      <w:r w:rsidRPr="003D57EA">
        <w:rPr>
          <w:rFonts w:ascii="Arial" w:eastAsia="Calibri" w:hAnsi="Arial" w:cs="Arial"/>
          <w:sz w:val="24"/>
          <w:szCs w:val="24"/>
        </w:rPr>
        <w:t>K nabyła żona J K w całości, a spadek po J K nabył syn A J w  całości.</w:t>
      </w:r>
    </w:p>
    <w:p w14:paraId="1A4B064E" w14:textId="288474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 Postanowieniem Sądu Rejonowego w Żarach z 29 grudnia 1997 r., sygn. akt I </w:t>
      </w:r>
      <w:proofErr w:type="spellStart"/>
      <w:r w:rsidRPr="003D57EA">
        <w:rPr>
          <w:rFonts w:ascii="Arial" w:eastAsia="Calibri" w:hAnsi="Arial" w:cs="Arial"/>
          <w:sz w:val="24"/>
          <w:szCs w:val="24"/>
        </w:rPr>
        <w:t>Ns</w:t>
      </w:r>
      <w:proofErr w:type="spellEnd"/>
      <w:r w:rsidRPr="003D57EA">
        <w:rPr>
          <w:rFonts w:ascii="Arial" w:eastAsia="Calibri" w:hAnsi="Arial" w:cs="Arial"/>
          <w:sz w:val="24"/>
          <w:szCs w:val="24"/>
        </w:rPr>
        <w:t xml:space="preserve"> orzeczono, że spadek po H G nabyły dzieci: M B, I G</w:t>
      </w:r>
      <w:r w:rsidR="00502494" w:rsidRPr="003D57EA">
        <w:rPr>
          <w:rFonts w:ascii="Arial" w:eastAsia="Calibri" w:hAnsi="Arial" w:cs="Arial"/>
          <w:sz w:val="24"/>
          <w:szCs w:val="24"/>
        </w:rPr>
        <w:t xml:space="preserve"> </w:t>
      </w:r>
      <w:r w:rsidRPr="003D57EA">
        <w:rPr>
          <w:rFonts w:ascii="Arial" w:eastAsia="Calibri" w:hAnsi="Arial" w:cs="Arial"/>
          <w:sz w:val="24"/>
          <w:szCs w:val="24"/>
        </w:rPr>
        <w:t>K R i W G  po ¼ części każde z nich.</w:t>
      </w:r>
    </w:p>
    <w:p w14:paraId="4B3D9EA0" w14:textId="79E0084F"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 Postanowieniem Sądu Rejonowego w Jeleniej Górze z dnia 11 maja 1992 r., sygn. akt I </w:t>
      </w:r>
      <w:proofErr w:type="spellStart"/>
      <w:r w:rsidRPr="003D57EA">
        <w:rPr>
          <w:rFonts w:ascii="Arial" w:eastAsia="Calibri" w:hAnsi="Arial" w:cs="Arial"/>
          <w:sz w:val="24"/>
          <w:szCs w:val="24"/>
        </w:rPr>
        <w:t>Ns</w:t>
      </w:r>
      <w:proofErr w:type="spellEnd"/>
      <w:r w:rsidRPr="003D57EA">
        <w:rPr>
          <w:rFonts w:ascii="Arial" w:eastAsia="Calibri" w:hAnsi="Arial" w:cs="Arial"/>
          <w:sz w:val="24"/>
          <w:szCs w:val="24"/>
        </w:rPr>
        <w:t xml:space="preserve"> orzeczono, że spadek po K</w:t>
      </w:r>
      <w:r w:rsidR="00502494" w:rsidRPr="003D57EA">
        <w:rPr>
          <w:rFonts w:ascii="Arial" w:eastAsia="Calibri" w:hAnsi="Arial" w:cs="Arial"/>
          <w:sz w:val="24"/>
          <w:szCs w:val="24"/>
        </w:rPr>
        <w:t xml:space="preserve"> </w:t>
      </w:r>
      <w:r w:rsidRPr="003D57EA">
        <w:rPr>
          <w:rFonts w:ascii="Arial" w:eastAsia="Calibri" w:hAnsi="Arial" w:cs="Arial"/>
          <w:sz w:val="24"/>
          <w:szCs w:val="24"/>
        </w:rPr>
        <w:t>R nabyli synowie: H M S i J F R po ½ części.</w:t>
      </w:r>
    </w:p>
    <w:p w14:paraId="15FB341F" w14:textId="5044D8A1"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 Postanowieniem Sądu Rejonowego dla m.st. Warszawy w Warszawie z dnia 27 października 1998 r., sygn. akt III </w:t>
      </w:r>
      <w:proofErr w:type="spellStart"/>
      <w:r w:rsidRPr="003D57EA">
        <w:rPr>
          <w:rFonts w:ascii="Arial" w:eastAsia="Calibri" w:hAnsi="Arial" w:cs="Arial"/>
          <w:sz w:val="24"/>
          <w:szCs w:val="24"/>
        </w:rPr>
        <w:t>Ns</w:t>
      </w:r>
      <w:proofErr w:type="spellEnd"/>
      <w:r w:rsidRPr="003D57EA">
        <w:rPr>
          <w:rFonts w:ascii="Arial" w:eastAsia="Calibri" w:hAnsi="Arial" w:cs="Arial"/>
          <w:sz w:val="24"/>
          <w:szCs w:val="24"/>
        </w:rPr>
        <w:t xml:space="preserve"> orzeczono, że spadek po H M S nabyły: żona M S vel M S oraz córka K E O vel O po ½ części.</w:t>
      </w:r>
    </w:p>
    <w:p w14:paraId="610B547D" w14:textId="54FE0D61"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 Postanowieniem Sądu Rejonowego w Żarach z dnia 22 stycznia 1991 r., sygn. akt I </w:t>
      </w:r>
      <w:proofErr w:type="spellStart"/>
      <w:r w:rsidRPr="003D57EA">
        <w:rPr>
          <w:rFonts w:ascii="Arial" w:eastAsia="Calibri" w:hAnsi="Arial" w:cs="Arial"/>
          <w:sz w:val="24"/>
          <w:szCs w:val="24"/>
        </w:rPr>
        <w:t>Ns</w:t>
      </w:r>
      <w:proofErr w:type="spellEnd"/>
      <w:r w:rsidRPr="003D57EA">
        <w:rPr>
          <w:rFonts w:ascii="Arial" w:eastAsia="Calibri" w:hAnsi="Arial" w:cs="Arial"/>
          <w:sz w:val="24"/>
          <w:szCs w:val="24"/>
        </w:rPr>
        <w:t xml:space="preserve"> orzeczono, że spadek po W J G nabył W G w całości.</w:t>
      </w:r>
    </w:p>
    <w:p w14:paraId="0AB52757" w14:textId="25E40115"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 Postanowieniem Sądu Rejonowego w Żarach z dnia 26 listopada 1997 r., sygn. akt I </w:t>
      </w:r>
      <w:proofErr w:type="spellStart"/>
      <w:r w:rsidRPr="003D57EA">
        <w:rPr>
          <w:rFonts w:ascii="Arial" w:eastAsia="Calibri" w:hAnsi="Arial" w:cs="Arial"/>
          <w:sz w:val="24"/>
          <w:szCs w:val="24"/>
        </w:rPr>
        <w:t>Ns</w:t>
      </w:r>
      <w:proofErr w:type="spellEnd"/>
      <w:r w:rsidR="00806653" w:rsidRPr="003D57EA">
        <w:rPr>
          <w:rFonts w:ascii="Arial" w:eastAsia="Calibri" w:hAnsi="Arial" w:cs="Arial"/>
          <w:sz w:val="24"/>
          <w:szCs w:val="24"/>
        </w:rPr>
        <w:t xml:space="preserve"> </w:t>
      </w:r>
      <w:r w:rsidRPr="003D57EA">
        <w:rPr>
          <w:rFonts w:ascii="Arial" w:eastAsia="Calibri" w:hAnsi="Arial" w:cs="Arial"/>
          <w:sz w:val="24"/>
          <w:szCs w:val="24"/>
        </w:rPr>
        <w:t xml:space="preserve">, zmieniającym stwierdzenie nabycia spadku po I G orzeczone prawomocnym postanowieniem Sądu Rejonowego w Żarach z dnia 19 czerwca 1990 r., sygn. akt I </w:t>
      </w:r>
      <w:proofErr w:type="spellStart"/>
      <w:r w:rsidRPr="003D57EA">
        <w:rPr>
          <w:rFonts w:ascii="Arial" w:eastAsia="Calibri" w:hAnsi="Arial" w:cs="Arial"/>
          <w:sz w:val="24"/>
          <w:szCs w:val="24"/>
        </w:rPr>
        <w:t>Ns</w:t>
      </w:r>
      <w:proofErr w:type="spellEnd"/>
      <w:r w:rsidRPr="003D57EA">
        <w:rPr>
          <w:rFonts w:ascii="Arial" w:eastAsia="Calibri" w:hAnsi="Arial" w:cs="Arial"/>
          <w:sz w:val="24"/>
          <w:szCs w:val="24"/>
        </w:rPr>
        <w:t xml:space="preserve"> (w którym stwierdzono, że spadek po I G nabyli ojciec W J G i brat W G po połowie) orzeczono, że spadek po I G</w:t>
      </w:r>
      <w:r w:rsidR="00806653" w:rsidRPr="003D57EA">
        <w:rPr>
          <w:rFonts w:ascii="Arial" w:eastAsia="Calibri" w:hAnsi="Arial" w:cs="Arial"/>
          <w:sz w:val="24"/>
          <w:szCs w:val="24"/>
        </w:rPr>
        <w:t xml:space="preserve"> </w:t>
      </w:r>
      <w:r w:rsidRPr="003D57EA">
        <w:rPr>
          <w:rFonts w:ascii="Arial" w:eastAsia="Calibri" w:hAnsi="Arial" w:cs="Arial"/>
          <w:sz w:val="24"/>
          <w:szCs w:val="24"/>
        </w:rPr>
        <w:t>nabyli: ojciec W J G oraz rodzeństwo: W E G, M B i K R po ¼ części każde z nich.</w:t>
      </w:r>
    </w:p>
    <w:p w14:paraId="62B2E59B"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041F6393" w14:textId="7592656F"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2.4</w:t>
      </w:r>
      <w:r w:rsidR="00806653" w:rsidRPr="003D57EA">
        <w:rPr>
          <w:rFonts w:ascii="Arial" w:eastAsia="Calibri" w:hAnsi="Arial" w:cs="Arial"/>
          <w:sz w:val="24"/>
          <w:szCs w:val="24"/>
        </w:rPr>
        <w:t xml:space="preserve">. </w:t>
      </w:r>
      <w:r w:rsidRPr="003D57EA">
        <w:rPr>
          <w:rFonts w:ascii="Arial" w:eastAsia="Calibri" w:hAnsi="Arial" w:cs="Arial"/>
          <w:sz w:val="24"/>
          <w:szCs w:val="24"/>
        </w:rPr>
        <w:t>Postępowanie w zakresie rozpoznania wniosku o przyznanie własności czasowej</w:t>
      </w:r>
    </w:p>
    <w:p w14:paraId="433B9FF8"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Orzeczeniem administracyjnym </w:t>
      </w:r>
      <w:proofErr w:type="spellStart"/>
      <w:r w:rsidRPr="003D57EA">
        <w:rPr>
          <w:rFonts w:ascii="Arial" w:eastAsia="Calibri" w:hAnsi="Arial" w:cs="Arial"/>
          <w:sz w:val="24"/>
          <w:szCs w:val="24"/>
        </w:rPr>
        <w:t>L.dz.PB</w:t>
      </w:r>
      <w:proofErr w:type="spellEnd"/>
      <w:r w:rsidRPr="003D57EA">
        <w:rPr>
          <w:rFonts w:ascii="Arial" w:eastAsia="Calibri" w:hAnsi="Arial" w:cs="Arial"/>
          <w:sz w:val="24"/>
          <w:szCs w:val="24"/>
        </w:rPr>
        <w:t>/2523/50/U/5209/50 z dnia 17 lipca 1950 r. Prezydium Rady Narodowej w m.st. Warszawie odmówiło dawnym współwłaścicielom przyznania prawa własności czasowej do gruntu nieruchomości warszawskiej położonej przy ul. Krakowskie Przedmieście 39, oznaczonej nr. hip. 428 i jednocześnie stwierdziło, że wszystkie budynki (fragmenty murów) znajdujące się na powyższym gruncie przeszły na własność Skarbu Państwa.</w:t>
      </w:r>
    </w:p>
    <w:p w14:paraId="5D839C88" w14:textId="68812DE0"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Samorządowe Kolegium Odwoławcze w Warszawie, po rozpatrzeniu wniosku H</w:t>
      </w:r>
      <w:r w:rsidR="00806653" w:rsidRPr="003D57EA">
        <w:rPr>
          <w:rFonts w:ascii="Arial" w:eastAsia="Calibri" w:hAnsi="Arial" w:cs="Arial"/>
          <w:sz w:val="24"/>
          <w:szCs w:val="24"/>
        </w:rPr>
        <w:t xml:space="preserve"> </w:t>
      </w:r>
      <w:r w:rsidRPr="003D57EA">
        <w:rPr>
          <w:rFonts w:ascii="Arial" w:eastAsia="Calibri" w:hAnsi="Arial" w:cs="Arial"/>
          <w:sz w:val="24"/>
          <w:szCs w:val="24"/>
        </w:rPr>
        <w:t xml:space="preserve">D i innych dotyczącego stwierdzenia nieważności orzeczenia administracyjnego Prezydium Rady Narodowej w m.st. Warszawie z dnia 17 lipca 1950 r., decyzją w sprawie KOC/1738/Go/98 z dnia 30 lipca 1999 r. stwierdziło jego nieważność. W uzasadnieniu przedmiotowego rozstrzygnięcia zaznaczono, że orzeczenie </w:t>
      </w:r>
      <w:r w:rsidRPr="003D57EA">
        <w:rPr>
          <w:rFonts w:ascii="Arial" w:eastAsia="Calibri" w:hAnsi="Arial" w:cs="Arial"/>
          <w:sz w:val="24"/>
          <w:szCs w:val="24"/>
        </w:rPr>
        <w:lastRenderedPageBreak/>
        <w:t>administracyjne z dnia 17 lipca 1950 r. za podstawę odmowy przyjęło opracowywany plan zagospodarowania przestrzennego, co w świetle dekretu było niedopuszczalne.</w:t>
      </w:r>
    </w:p>
    <w:p w14:paraId="1D18FD3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62B667AA" w14:textId="58EF1EE5"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2.5. Sprzedaż praw i roszczeń wynikających z przepisów dekretu przed wydaniem decyzji reprywatyzacyjnej</w:t>
      </w:r>
    </w:p>
    <w:p w14:paraId="0AB3D24E" w14:textId="063CE445"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Umową sprzedaży z dnia 6 marca 2000 r., sporządzoną w formie aktu notarialnego, rep. A nr , M L W, działająca w imieniu i na rzecz M H J B oraz W E G, sprzedała H D, reprezentowanej przez W S cały należący do M H J B udział wynoszący 740/14400 części wraz z roszczeniem o ustanowienie w tych samych częściach prawa wieczystego użytkowania gruntu za kwotę łączną zł oraz należący do W E G udział wynoszący 888/14400 części we współwłasności budynku znajdującego się na nieruchomości przy ul. Krakowskie Przedmieście 39, stanowiącego odrębną nieruchomość wraz z roszczeniem o ustanowienie w tych samych częściach prawa wieczystego użytkowania gruntu za kwotę łączną zł.</w:t>
      </w:r>
    </w:p>
    <w:p w14:paraId="2F97C33E" w14:textId="690DE0CA"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Umową sprzedaży z dnia 14 marca 2000 r., sporządzoną w formie aktu notarialnego, rep. A nr J B, działający w imieniu i na rzecz A J, sprzedał H D, reprezentowanej przez W S, cały należący do A J udział, wynoszący 2880/14400 części we współwłasności budynku mieszkalnego znajdującego się na nieruchomości przy ul. Krakowskie Przedmieście 39, stanowiącego odrębną nieruchomość wraz z roszczeniem o  ustanowienie w tej samej części prawa wieczystego użytkowania gruntu za kwotę łączną zł.</w:t>
      </w:r>
    </w:p>
    <w:p w14:paraId="6C29F13F" w14:textId="5475884A"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Umową sprzedaży z dnia 9 sierpnia 2000 r., sporządzoną w formie aktu notarialnego, rep. A nr J M B, działający w imieniu i na rzecz J F R, sprzedał H D, reprezentowanej przez A E</w:t>
      </w:r>
      <w:r w:rsidR="00706294" w:rsidRPr="003D57EA">
        <w:rPr>
          <w:rFonts w:ascii="Arial" w:eastAsia="Calibri" w:hAnsi="Arial" w:cs="Arial"/>
          <w:sz w:val="24"/>
          <w:szCs w:val="24"/>
        </w:rPr>
        <w:t xml:space="preserve"> </w:t>
      </w:r>
      <w:r w:rsidRPr="003D57EA">
        <w:rPr>
          <w:rFonts w:ascii="Arial" w:eastAsia="Calibri" w:hAnsi="Arial" w:cs="Arial"/>
          <w:sz w:val="24"/>
          <w:szCs w:val="24"/>
        </w:rPr>
        <w:t>D oraz E M D, cały należący do J  R</w:t>
      </w:r>
      <w:r w:rsidR="00706294" w:rsidRPr="003D57EA">
        <w:rPr>
          <w:rFonts w:ascii="Arial" w:eastAsia="Calibri" w:hAnsi="Arial" w:cs="Arial"/>
          <w:sz w:val="24"/>
          <w:szCs w:val="24"/>
        </w:rPr>
        <w:t xml:space="preserve"> </w:t>
      </w:r>
      <w:r w:rsidRPr="003D57EA">
        <w:rPr>
          <w:rFonts w:ascii="Arial" w:eastAsia="Calibri" w:hAnsi="Arial" w:cs="Arial"/>
          <w:sz w:val="24"/>
          <w:szCs w:val="24"/>
        </w:rPr>
        <w:t>udział  wynoszący 370/14400 części we współwłasności budynku mieszkalnego znajdującego się na nieruchomości przy ul. Krakowskie Przedmieście 39, stanowiącego odrębną nieruchomość wraz z roszczeniem o ustanowienie w tej samej części prawa wieczystego użytkowania gruntu  za kwotę łączną zł.</w:t>
      </w:r>
    </w:p>
    <w:p w14:paraId="2018E1EB" w14:textId="0CD1926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Umową sprzedaży z dnia 3 listopada 2000 r., sporządzoną w formie aktu notarialnego, rep. A nr E R, działając w imieniu i na rzecz K O oraz M S, sprzedała H D, reprezentowanej przez A E D oraz E M D, cały należący do K O udział wynoszący 185/14400 części oraz należący do M S udział wynoszący 185/14400 części we współwłasności budynku mieszkalnego znajdującego się na nieruchomości przy ul. Krakowskie Przedmieście 39, stanowiącego odrębną nieruchomość wraz z </w:t>
      </w:r>
      <w:r w:rsidRPr="003D57EA">
        <w:rPr>
          <w:rFonts w:ascii="Arial" w:eastAsia="Calibri" w:hAnsi="Arial" w:cs="Arial"/>
          <w:sz w:val="24"/>
          <w:szCs w:val="24"/>
        </w:rPr>
        <w:lastRenderedPageBreak/>
        <w:t>roszczeniem o ustanowienie w tych samych częściach prawa wieczystego użytkowania gruntu za całkowicie zapłacone ceny po zł, tj. za kwotę łączną zł.</w:t>
      </w:r>
    </w:p>
    <w:p w14:paraId="759FBABA"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0BCB60EB" w14:textId="656C99FE"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2.6.Postępowanie reprywatyzacyjne</w:t>
      </w:r>
    </w:p>
    <w:p w14:paraId="1451C7DA" w14:textId="5E963378"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W dniu 17 listopada 2000 r. adw. W</w:t>
      </w:r>
      <w:r w:rsidR="00C90C5E" w:rsidRPr="003D57EA">
        <w:rPr>
          <w:rFonts w:ascii="Arial" w:eastAsia="Calibri" w:hAnsi="Arial" w:cs="Arial"/>
          <w:sz w:val="24"/>
          <w:szCs w:val="24"/>
        </w:rPr>
        <w:t xml:space="preserve"> </w:t>
      </w:r>
      <w:r w:rsidRPr="003D57EA">
        <w:rPr>
          <w:rFonts w:ascii="Arial" w:eastAsia="Calibri" w:hAnsi="Arial" w:cs="Arial"/>
          <w:sz w:val="24"/>
          <w:szCs w:val="24"/>
        </w:rPr>
        <w:t>S (pełnomocnik H D) wystąpił o ustanowienie prawa użytkowania wieczystego do gruntu przedmiotowej nieruchomości.</w:t>
      </w:r>
    </w:p>
    <w:p w14:paraId="206CBDAE"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Decyzją nr 4/2002 z dnia 27 lutego 2002 r. Burmistrz Gminy Warszawa- Centrum odmówił ustanowienia prawa użytkowania wieczystego do gruntu przedmiotowej nieruchomości na rzecz następcy prawnego dawnych właścicieli z uwagi na poczynione na gruncie nakłady ze środków Skarbu Państwa na odbudowę ze zniszczeń wojennych budynku przy ul. Krakowskie Przedmieście 39. Przedmiotowa decyzja została zaskarżona przez następcę prawnego dawnych właścicieli do Samorządowego Kolegium Odwoławczego w Warszawie, które decyzją w sprawie KOC/668/Go/02 z dnia 19 kwietnia 2002 r. uchyliło zaskarżoną decyzję i przekazało sprawę do ponownego rozpoznania organowi I instancji. W uzasadnieniu tego orzeczenia wskazano, że organ I instancji przeprowadzając postępowanie nie dał stronom możliwości przedstawienia swoich argumentów co do zagospodarowania nieruchomości, a  zasadniczą kwestią jest zagadnienie pogodzenia możliwości propozycji stron w zakresie korzystania z nieruchomości z planem zagospodarowania działki.</w:t>
      </w:r>
    </w:p>
    <w:p w14:paraId="06B57AA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Decyzją nr 108/2002 z dnia 29 lipca 2002 r. Burmistrz Gminy Warszawa- Centrum ponownie odmówił ustanowienia prawa użytkowania wieczystego do gruntu przedmiotowej nieruchomości na rzecz następcy prawnego dawnych właścicieli z uwagi na fakt odbudowy budynku ze środków Skarbu Państwa. </w:t>
      </w:r>
    </w:p>
    <w:p w14:paraId="7B2E31B9"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Samorządowe Kolegium Odwoławcze w Warszawie decyzją w sprawie KOC/2076/Go/02 z dnia 28 lutego 2003 r. uchyliło rzeczoną decyzję i przekazało sprawę do ponownego rozpoznania. W uzasadnieniu swojej decyzji Samorządowe Kolegium Odwoławcze pouczyło organ I instancji, że „w przypadku rozpoznawania wniosku dekretowego po upływie kilkudziesięciu lat od jego złożenia, gdy zachodzą przesłanki ustanowienia użytkowania wieczystego w myśl art. 7 dekretu, nawet wówczas, gdy poczyniono nakłady na tym gruncie – użytkowanie wieczyste należy ustanowić, chyba  że mamy do czynienia z  nieodwracalnością skutków prawnych. Wynika to z zasady, że naniesienia dzielą los gruntu. Bez znaczenia jest wówczas </w:t>
      </w:r>
      <w:r w:rsidRPr="003D57EA">
        <w:rPr>
          <w:rFonts w:ascii="Arial" w:eastAsia="Calibri" w:hAnsi="Arial" w:cs="Arial"/>
          <w:sz w:val="24"/>
          <w:szCs w:val="24"/>
        </w:rPr>
        <w:lastRenderedPageBreak/>
        <w:t>rozmiar poczynionych nakładów, w razie zwrotu zaś konieczne jest oczywiście rozliczenie tych nakładów.”</w:t>
      </w:r>
    </w:p>
    <w:p w14:paraId="36369219" w14:textId="5B1001AD"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Decyzją nr 187/GK/DW/2007 z dnia 24 maja 2007 r. Prezydent m.st. Warszawy, po rozpatrzeniu wniosku z dnia 26 stycznia 1948 r. złożonego przez adw. Z N, pełnomocnika poprzednich właścicieli hipotecznych o przyznanie prawa własności czasowej (obecnie prawo użytkowania wieczystego) do gruntu nieruchomości położonej w Warszawie przy ul. Krakowskie Przedmieście 39, oznaczonego d. nr. hip. 428, ustanowił na 99 lat prawo użytkowania wieczystego gruntu o pow. 189 m2 zabudowanego budynkiem mieszkalnym, oznaczonego jako działka ewidencyjna nr 30 w obrębie 5-03-05, położonego przy ul. Krakowskie Przedmieście 39 w Warszawie na rzecz H K M w 8/10 częściach oraz A</w:t>
      </w:r>
      <w:r w:rsidR="00C90C5E" w:rsidRPr="003D57EA">
        <w:rPr>
          <w:rFonts w:ascii="Arial" w:eastAsia="Calibri" w:hAnsi="Arial" w:cs="Arial"/>
          <w:sz w:val="24"/>
          <w:szCs w:val="24"/>
        </w:rPr>
        <w:t xml:space="preserve"> </w:t>
      </w:r>
      <w:r w:rsidRPr="003D57EA">
        <w:rPr>
          <w:rFonts w:ascii="Arial" w:eastAsia="Calibri" w:hAnsi="Arial" w:cs="Arial"/>
          <w:sz w:val="24"/>
          <w:szCs w:val="24"/>
        </w:rPr>
        <w:t xml:space="preserve">D w 2/10 częściach oraz ustalił „czynsz symboliczny” z tytułu ustanowienia prawa użytkowania wieczystego do gruntu opisanego w  pkt 1 decyzji w  wysokości 2540,99 zł- stanowiący 0,3% ceny gruntu- płatny na konto Dzielnicy Śródmieście Urzędu m.st. Warszawy z góry w terminie do 31 marca każdego roku. </w:t>
      </w:r>
    </w:p>
    <w:p w14:paraId="668FA7B7"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30220121" w14:textId="0D4675C3"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2.7</w:t>
      </w:r>
      <w:r w:rsidR="00C90C5E" w:rsidRPr="003D57EA">
        <w:rPr>
          <w:rFonts w:ascii="Arial" w:eastAsia="Calibri" w:hAnsi="Arial" w:cs="Arial"/>
          <w:sz w:val="24"/>
          <w:szCs w:val="24"/>
        </w:rPr>
        <w:t xml:space="preserve">. </w:t>
      </w:r>
      <w:r w:rsidRPr="003D57EA">
        <w:rPr>
          <w:rFonts w:ascii="Arial" w:eastAsia="Calibri" w:hAnsi="Arial" w:cs="Arial"/>
          <w:sz w:val="24"/>
          <w:szCs w:val="24"/>
        </w:rPr>
        <w:t>Stan prawny nieruchomości po wydaniu decyzji reprywatyzacyjnej</w:t>
      </w:r>
    </w:p>
    <w:p w14:paraId="23922D2D" w14:textId="5D373FAD"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W dniu 26 sierpnia 2008 r. przekazano H K M i A K D administrowanie nieruchomością zlokalizowaną przy ul. Krakowskie Przedmieście 39.</w:t>
      </w:r>
    </w:p>
    <w:p w14:paraId="39DBD730"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Decyzja nr 187/GK/DW/2007 z dnia 24 maja 2007 r.  nie została wykonana zawarciem umowy o oddanie gruntu w użytkowanie wieczyste. W dziale II księgi wieczystej prowadzonej dla przedmiotowej nieruchomości prawo własności ujawnione jest na rzecz m.st. Warszawy.</w:t>
      </w:r>
    </w:p>
    <w:p w14:paraId="41DB1CFC"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0DF3D381" w14:textId="2B92A7F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2.8.Wniosek Urzędu m.st. Warszawy Biura Spraw Dekretowych o wszczęcie postępowania rozpoznawczego w sprawie</w:t>
      </w:r>
    </w:p>
    <w:p w14:paraId="5E05BB2D" w14:textId="34427996"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Pismem z dnia 7 września 2022 r. Biuro Spraw Dekretowych Urzędu Miasta Stołecznego Warszawy przekazało Komisji do spraw reprywatyzacji nieruchomości warszawskich wykaz decyzji, na mocy których zostało ustanowione prawo użytkowania wieczystego do nieruchomości gruntowych oraz w których doszło do przeniesienia praw i  roszczeń, wynikających z dekretu o własności i użytkowaniu gruntów na terenie m. st. Warszawy. W piśmie tym Urząd m. st. Warszawy zwrócił się z prośbą o wszczęcie postępowań w tych sprawach, bądź o uwzględnienie przy ich rozpatrywaniu stanowiska Naczelnego Sądu Administracyjnego wyrażonego w </w:t>
      </w:r>
      <w:r w:rsidRPr="003D57EA">
        <w:rPr>
          <w:rFonts w:ascii="Arial" w:eastAsia="Calibri" w:hAnsi="Arial" w:cs="Arial"/>
          <w:sz w:val="24"/>
          <w:szCs w:val="24"/>
        </w:rPr>
        <w:lastRenderedPageBreak/>
        <w:t>wyrokach z 29 sierpnia 2022 r., sygn. akt I OSK 2034/20, sygn. akt I OSK 2875/20, sygn. akt. I OSK 707/20 oraz sygn. akt I OSK 1717/20. W wykazie tym znajduje się decyzja Prezydenta m.st. Warszawy z dnia 24 maja 2007 r. nr 187/GK/DW/2007.</w:t>
      </w:r>
    </w:p>
    <w:p w14:paraId="753F3493" w14:textId="77777777" w:rsidR="00C90C5E" w:rsidRPr="003D57EA" w:rsidRDefault="00C90C5E" w:rsidP="003D57EA">
      <w:pPr>
        <w:tabs>
          <w:tab w:val="left" w:pos="6110"/>
        </w:tabs>
        <w:spacing w:after="480" w:line="360" w:lineRule="auto"/>
        <w:contextualSpacing/>
        <w:rPr>
          <w:rFonts w:ascii="Arial" w:eastAsia="Calibri" w:hAnsi="Arial" w:cs="Arial"/>
          <w:sz w:val="24"/>
          <w:szCs w:val="24"/>
        </w:rPr>
      </w:pPr>
    </w:p>
    <w:p w14:paraId="1CEA99D9" w14:textId="6D3329F6"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2.9.Materiał dowodowy zgromadzony przez Komisję</w:t>
      </w:r>
    </w:p>
    <w:p w14:paraId="6F1CCDE8"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Powyższy stan faktyczny Komisja ustaliła na podstawie dokumentów zgromadzonych w toku postepowania rozpoznawczego (KR II R 93/22) oraz poprzedzających go czynności sprawdzających (KR II S 130/18), w szczególności akt udostępnionych przez Prezydenta m.st. Warszawy i Samorządowe Kolegium Odwoławcze w Warszawie, a także innych dokumentów mających istotny wpływ dla rozstrzygnięcia sprawy, gdyż nie budziły one wątpliwości Komisji co do ich autentyczności i prawdziwości, jak również nie zostały one podważone przez strony postępowania.</w:t>
      </w:r>
    </w:p>
    <w:p w14:paraId="0229622E"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08A83783" w14:textId="5A8E768A"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III. Po rozpatrzeniu zebranego materiału dowodowego Komisja zważyła, co następuje:</w:t>
      </w:r>
    </w:p>
    <w:p w14:paraId="26667675" w14:textId="77777777" w:rsidR="0022529B" w:rsidRPr="003D57EA" w:rsidRDefault="0022529B" w:rsidP="003D57EA">
      <w:pPr>
        <w:tabs>
          <w:tab w:val="left" w:pos="6110"/>
        </w:tabs>
        <w:spacing w:after="480" w:line="360" w:lineRule="auto"/>
        <w:contextualSpacing/>
        <w:rPr>
          <w:rFonts w:ascii="Arial" w:eastAsia="Calibri" w:hAnsi="Arial" w:cs="Arial"/>
          <w:sz w:val="24"/>
          <w:szCs w:val="24"/>
        </w:rPr>
      </w:pPr>
    </w:p>
    <w:p w14:paraId="386643EE" w14:textId="5EDDC0C5"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3.1. Na podstawie art. 29 ust. 1 pkt 3a ustawy z dnia 9 marca 2017 r. o szczególnych zasadach usuwania skutków prawnych decyzji reprywatyzacyjnych dotyczących nieruchomości warszawskich, wydanych z naruszeniem prawa,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4648D9CB"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73D81137"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t>
      </w:r>
      <w:r w:rsidRPr="003D57EA">
        <w:rPr>
          <w:rFonts w:ascii="Arial" w:eastAsia="Calibri" w:hAnsi="Arial" w:cs="Arial"/>
          <w:sz w:val="24"/>
          <w:szCs w:val="24"/>
        </w:rPr>
        <w:lastRenderedPageBreak/>
        <w:t xml:space="preserve">wystąpienia przesłanki z art. 156 § 2 k.p.a., czyli gdy od doręczenia lub ogłoszenia decyzji upłynęło dziesięć lat, a także gdy decyzja wywołała nieodwracalne skutki prawne (M. Jaśkowska [w:] M. </w:t>
      </w:r>
      <w:proofErr w:type="spellStart"/>
      <w:r w:rsidRPr="003D57EA">
        <w:rPr>
          <w:rFonts w:ascii="Arial" w:eastAsia="Calibri" w:hAnsi="Arial" w:cs="Arial"/>
          <w:sz w:val="24"/>
          <w:szCs w:val="24"/>
        </w:rPr>
        <w:t>Wilbrandt-Gotowicz</w:t>
      </w:r>
      <w:proofErr w:type="spellEnd"/>
      <w:r w:rsidRPr="003D57EA">
        <w:rPr>
          <w:rFonts w:ascii="Arial" w:eastAsia="Calibri"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43196E5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41AA766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Kodeks postępowania administracyjnego. Komentarz, 2009, s.  599). W orzecznictwie </w:t>
      </w:r>
      <w:proofErr w:type="spellStart"/>
      <w:r w:rsidRPr="003D57EA">
        <w:rPr>
          <w:rFonts w:ascii="Arial" w:eastAsia="Calibri" w:hAnsi="Arial" w:cs="Arial"/>
          <w:sz w:val="24"/>
          <w:szCs w:val="24"/>
        </w:rPr>
        <w:t>sądowoadministracyjnym</w:t>
      </w:r>
      <w:proofErr w:type="spellEnd"/>
      <w:r w:rsidRPr="003D57EA">
        <w:rPr>
          <w:rFonts w:ascii="Arial" w:eastAsia="Calibri" w:hAnsi="Arial" w:cs="Arial"/>
          <w:sz w:val="24"/>
          <w:szCs w:val="24"/>
        </w:rPr>
        <w:t xml:space="preserve"> przyjmuje się, że zakresem pojęcia „rażącego naruszenia prawa” obejmuje się zarówno naruszenie norm prawa materialnego, jak i  naruszenie norm prawa procesowego (vide wyrok NSA z 1 lipca 2011 r., sygn. akt I OSK 1258/10; wyrok NSA z 12 grudnia 2014 r., sygn. akt II OSK 1257/13; http://orzeczenia.nsa.gov.pl).</w:t>
      </w:r>
    </w:p>
    <w:p w14:paraId="438CA70E"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p>
    <w:p w14:paraId="05F19DEE"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21445EC6" w14:textId="7C392FE3"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lastRenderedPageBreak/>
        <w:t>3.2. Rażące naruszenie art. 7 ust. 1 dekretu warszawskiego w związku z art. 28 k.p.a.</w:t>
      </w:r>
    </w:p>
    <w:p w14:paraId="56F484F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każdy, czyjego interesu prawnego lub obowiązku dotyczy postępowanie albo kto żąda czynności organu ze względu na swój interes prawny lub obowiązek. </w:t>
      </w:r>
    </w:p>
    <w:p w14:paraId="7D9D793A"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1D409830"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Przepis art. 28 k.p.a. nie wypowiada się przy tym wprost na temat skutków różnego rodzaju zdarzeń o charakterze cywilnoprawnym, w tym umów na możliwość przypisania danemu podmiotowi statutu strony postępowania administracyjnego. W ocenie Komisji, Naczelny Sąd Administracyjny wydał uchwałę z 30 czerwca 2022 r. (sygn. akt I OPS 1/22), ostatecznie rozstrzygającą to zagadnienie. W orzeczeniu tym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w:t>
      </w:r>
      <w:r w:rsidRPr="003D57EA">
        <w:rPr>
          <w:rFonts w:ascii="Arial" w:eastAsia="Calibri" w:hAnsi="Arial" w:cs="Arial"/>
          <w:sz w:val="24"/>
          <w:szCs w:val="24"/>
        </w:rPr>
        <w:lastRenderedPageBreak/>
        <w:t>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p>
    <w:p w14:paraId="521B357D"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3D57EA">
        <w:rPr>
          <w:rFonts w:ascii="Arial" w:eastAsia="Calibri" w:hAnsi="Arial" w:cs="Arial"/>
          <w:sz w:val="24"/>
          <w:szCs w:val="24"/>
        </w:rPr>
        <w:t>u.g.n</w:t>
      </w:r>
      <w:proofErr w:type="spellEnd"/>
      <w:r w:rsidRPr="003D57EA">
        <w:rPr>
          <w:rFonts w:ascii="Arial" w:eastAsia="Calibri"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78DFE442"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 orzecznictwie wskazywano również, że nie można wywieść interesu prawnego ze skutków: umowy o wykonanie robót budowlanych związanych z realizacją decyzji o pozwoleniu na budowę (por. wyrok NSA z 25 lutego 1999 r., sygn. akt IV SA 345/97), umowy najmu lokalu mieszkalnego (por.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podstawy interesu prawnego na gruncie prawa administracyjnego nie mogą stanowić: roszczenia cywilnoprawne, statuty, regulaminy, przepisy wewnętrzne i korporacyjne </w:t>
      </w:r>
      <w:r w:rsidRPr="003D57EA">
        <w:rPr>
          <w:rFonts w:ascii="Arial" w:eastAsia="Calibri" w:hAnsi="Arial" w:cs="Arial"/>
          <w:sz w:val="24"/>
          <w:szCs w:val="24"/>
        </w:rPr>
        <w:lastRenderedPageBreak/>
        <w:t xml:space="preserve">(por. P. Gołaszewski, w: R. Hauser, M. Wierzbowski (red.), Kodeks postępowania administracyjnego. Komentarz, Warszawa 2017, s. 221). </w:t>
      </w:r>
    </w:p>
    <w:p w14:paraId="4044AEBD"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Wyżej opisane poglądy nie znalazły jednak swego odzwierciedlenia przy rozstrzyganiu wniosków o przyznanie prawa użytkowania wieczystego w stosunku do gruntów warszawskich. Przyjęto bowiem, że w omawianym zakresie nie występują jakiekolwiek ograniczenia, a więc prawa przyznane przez dekret warszawski mogą być zbywane jak typowe roszczenia cywilnoprawne o charakterze majątkowym. Prezydent uznawał nabywców tego rodzaju ,,roszczeń”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 </w:t>
      </w:r>
    </w:p>
    <w:p w14:paraId="25F05EC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Niemniej jednak należy wskazać, że Prezydent m.st. Warszawy w opinii z 14 września 2015 r., odpowiadając na pismo Trybunału Konstytucyjnego z 5 sierpnia 2015 r. w sprawie przed Trybunałem Konstytucyjnym sygn. akt </w:t>
      </w:r>
      <w:proofErr w:type="spellStart"/>
      <w:r w:rsidRPr="003D57EA">
        <w:rPr>
          <w:rFonts w:ascii="Arial" w:eastAsia="Calibri" w:hAnsi="Arial" w:cs="Arial"/>
          <w:sz w:val="24"/>
          <w:szCs w:val="24"/>
        </w:rPr>
        <w:t>Kp</w:t>
      </w:r>
      <w:proofErr w:type="spellEnd"/>
      <w:r w:rsidRPr="003D57EA">
        <w:rPr>
          <w:rFonts w:ascii="Arial" w:eastAsia="Calibri" w:hAnsi="Arial" w:cs="Arial"/>
          <w:sz w:val="24"/>
          <w:szCs w:val="24"/>
        </w:rPr>
        <w:t xml:space="preserve"> 3/15, rozróżniał 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od pełnomocników osób zamieszkałych od lat za granicą, przez co zwiększa się ryzyko dostania się nieruchomości w ręce osób niebędących następcami prawnymi </w:t>
      </w:r>
      <w:r w:rsidRPr="003D57EA">
        <w:rPr>
          <w:rFonts w:ascii="Arial" w:eastAsia="Calibri" w:hAnsi="Arial" w:cs="Arial"/>
          <w:sz w:val="24"/>
          <w:szCs w:val="24"/>
        </w:rPr>
        <w:lastRenderedPageBreak/>
        <w:t xml:space="preserve">dawnych właścicieli.” (wyrok TK z dnia 19 lipca 2016 r., sygn. Akt </w:t>
      </w:r>
      <w:proofErr w:type="spellStart"/>
      <w:r w:rsidRPr="003D57EA">
        <w:rPr>
          <w:rFonts w:ascii="Arial" w:eastAsia="Calibri" w:hAnsi="Arial" w:cs="Arial"/>
          <w:sz w:val="24"/>
          <w:szCs w:val="24"/>
        </w:rPr>
        <w:t>Kp</w:t>
      </w:r>
      <w:proofErr w:type="spellEnd"/>
      <w:r w:rsidRPr="003D57EA">
        <w:rPr>
          <w:rFonts w:ascii="Arial" w:eastAsia="Calibri" w:hAnsi="Arial" w:cs="Arial"/>
          <w:sz w:val="24"/>
          <w:szCs w:val="24"/>
        </w:rPr>
        <w:t xml:space="preserve"> 3/15, k. 12 uzasadnienia). </w:t>
      </w:r>
    </w:p>
    <w:p w14:paraId="116FE0A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Na dzień wydawania niniejszej decyzji w tym zakresie wypowiedział się Naczelny Sąd Administracyjny w wyrokach z dnia 29 sierpnia 2022 r. w sprawach sygn. I OSK 2034/20 i  </w:t>
      </w:r>
      <w:proofErr w:type="spellStart"/>
      <w:r w:rsidRPr="003D57EA">
        <w:rPr>
          <w:rFonts w:ascii="Arial" w:eastAsia="Calibri" w:hAnsi="Arial" w:cs="Arial"/>
          <w:sz w:val="24"/>
          <w:szCs w:val="24"/>
        </w:rPr>
        <w:t>I</w:t>
      </w:r>
      <w:proofErr w:type="spellEnd"/>
      <w:r w:rsidRPr="003D57EA">
        <w:rPr>
          <w:rFonts w:ascii="Arial" w:eastAsia="Calibri" w:hAnsi="Arial" w:cs="Arial"/>
          <w:sz w:val="24"/>
          <w:szCs w:val="24"/>
        </w:rPr>
        <w:t xml:space="preserve">  OSK 2875/20. W ocenie Naczelnego Sądu Administracyjnego, ,,przepisy dekretu warszawskiego nie normują (…) skutków prawnych nabycia praw określonych w tym dekrecie przez osoby, które zawarły takie umowy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k.p.a.,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w:t>
      </w:r>
      <w:r w:rsidRPr="003D57EA">
        <w:rPr>
          <w:rFonts w:ascii="Arial" w:eastAsia="Calibri" w:hAnsi="Arial" w:cs="Arial"/>
          <w:sz w:val="24"/>
          <w:szCs w:val="24"/>
        </w:rPr>
        <w:lastRenderedPageBreak/>
        <w:t>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0C09B4D8"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p>
    <w:p w14:paraId="6B6B7DF6"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w:t>
      </w:r>
      <w:r w:rsidRPr="003D57EA">
        <w:rPr>
          <w:rFonts w:ascii="Arial" w:eastAsia="Calibri" w:hAnsi="Arial" w:cs="Arial"/>
          <w:sz w:val="24"/>
          <w:szCs w:val="24"/>
        </w:rPr>
        <w:lastRenderedPageBreak/>
        <w:t xml:space="preserve">przesłankę nieważności określoną w art. 156 § 1 pkt 2 k.p.a. także w powiązaniu z art. 30 ust. 1 pkt 4 ustawy z dnia 9  marca 2017 r.”. </w:t>
      </w:r>
    </w:p>
    <w:p w14:paraId="15CC28C0"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(sygn. akt I OPS 1/22). Znajdują swe potwierdzenie zarówno w literalnej wykładni art. 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uprawnionemu, nie zaś osobie trzeciej, negatywnych skutków nacjonalizacji należącej do niego nieruchomości warszawskiej.</w:t>
      </w:r>
    </w:p>
    <w:p w14:paraId="54441442"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Nadto zawarte w tych orzeczeniach wywody odpowiadają charakterowi dekretu warszawskiego. W doktrynie i w orzecznictwie powszechnie się bowiem wskazuje, że jest on aktem prawnym z zakresu prawa publicznego. Logicznym, a wręcz dorozumianym jest więc przyjęcie, że art. 7 kreuje prawo podmiotowe o charakterze administracyjnoprawnym, nie zaś roszczenie cywilnoprawne typowe dla aktu prawnego z zakresu prawa prywatnego. </w:t>
      </w:r>
    </w:p>
    <w:p w14:paraId="52C9FEE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Należy również podkreślić, że analogiczne stanowisko Naczelny Sąd Administracyjny zajął w orzeczeniach z dnia 29 sierpnia 2022 r., sygn. akt I OSK 707/20 i </w:t>
      </w:r>
      <w:proofErr w:type="spellStart"/>
      <w:r w:rsidRPr="003D57EA">
        <w:rPr>
          <w:rFonts w:ascii="Arial" w:eastAsia="Calibri" w:hAnsi="Arial" w:cs="Arial"/>
          <w:sz w:val="24"/>
          <w:szCs w:val="24"/>
        </w:rPr>
        <w:t>I</w:t>
      </w:r>
      <w:proofErr w:type="spellEnd"/>
      <w:r w:rsidRPr="003D57EA">
        <w:rPr>
          <w:rFonts w:ascii="Arial" w:eastAsia="Calibri" w:hAnsi="Arial" w:cs="Arial"/>
          <w:sz w:val="24"/>
          <w:szCs w:val="24"/>
        </w:rPr>
        <w:t xml:space="preserve"> OSK 1717/20. Wyrażony w nich tok rozumowania nie pozostaje również w sprzeczności z konstytucyjnymi zasadami demokratycznego państwa prawnego (art. 2 Konstytucji RP), ochrony mienia (art. 64 Konstytucji RP)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2A4465A5"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lastRenderedPageBreak/>
        <w:t xml:space="preserve">Powyższe stanowisko Naczelny Sąd Administracyjny potwierdził w wyrokach z dnia 7 lutego 2023 r. w sprawach o sygnaturze I OSK 1180/21, I OSK 1444/21, I OSK 1363/21, I OSK 1170/21. </w:t>
      </w:r>
    </w:p>
    <w:p w14:paraId="1CFC253D"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Przekładając powyższe na realia niniejszej sprawy, stwierdzić należy, że roszczenia dekretowe przysługujące dawnym właścicielom nieruchomości położonej w Warszawie przy ulicy Krakowskie Przedmieście 39, były przedmiotem 4 umów sprzedaży. </w:t>
      </w:r>
    </w:p>
    <w:p w14:paraId="3B0D4A11" w14:textId="5816E6E1" w:rsidR="00C90C5E" w:rsidRPr="003D57EA" w:rsidRDefault="00C90C5E"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Umową sprzedaży z dnia 6 marca 2000 r., sporządzoną w formie aktu notarialnego, rep. A nr , M L W, działająca w imieniu i na rzecz M H J B oraz W E G, sprzedała H D, reprezentowanej przez W S cały należący do M H J B udział wynoszący 740/14400 części wraz z roszczeniem o ustanowienie w tych samych częściach prawa wieczystego użytkowania gruntu za kwotę łączną zł oraz należący do W E G udział wynoszący 888/14400 części we współwłasności budynku znajdującego się na nieruchomości przy ul. Krakowskie Przedmieście 39, stanowiącego odrębną nieruchomość wraz z roszczeniem o ustanowienie w tych samych częściach prawa wieczystego użytkowania gruntu za kwotę łączną zł.</w:t>
      </w:r>
    </w:p>
    <w:p w14:paraId="07DF4399" w14:textId="01A43875" w:rsidR="00C90C5E" w:rsidRPr="003D57EA" w:rsidRDefault="00C90C5E"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Umową sprzedaży z dnia 14 marca 2000 r., sporządzoną w formie aktu notarialnego, rep. A nr J B, działający w imieniu i na rzecz A J, sprzedał H D, reprezentowanej przez W S, cały należący do A J udział, wynoszący 2880/14400 części we współwłasności budynku mieszkalnego znajdującego się na nieruchomości przy ul. Krakowskie Przedmieście 39, stanowiącego odrębną nieruchomość wraz z roszczeniem o  ustanowienie w tej samej części prawa wieczystego użytkowania gruntu za kwotę łączną zł.</w:t>
      </w:r>
    </w:p>
    <w:p w14:paraId="1B30FAC2" w14:textId="14169781" w:rsidR="00C90C5E" w:rsidRPr="003D57EA" w:rsidRDefault="00C90C5E"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Umową sprzedaży z dnia 9 sierpnia 2000 r., sporządzoną w formie aktu notarialnego, rep. A nr J M B, działający w imieniu i na rzecz J F R, sprzedał H D, reprezentowanej przez A E D oraz E M D, cały należący do J  R udział  wynoszący 370/14400 części we współwłasności budynku mieszkalnego znajdującego się na nieruchomości przy ul. Krakowskie Przedmieście 39, stanowiącego odrębną nieruchomość wraz z roszczeniem o ustanowienie w tej samej części prawa wieczystego użytkowania gruntu  za kwotę łączną zł.</w:t>
      </w:r>
    </w:p>
    <w:p w14:paraId="2072BFA2" w14:textId="5501884F" w:rsidR="00851144" w:rsidRPr="003D57EA" w:rsidRDefault="00C90C5E"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Umową sprzedaży z dnia 3 listopada 2000 r., sporządzoną w formie aktu notarialnego, rep. A nr E R, działając w imieniu i na rzecz K O oraz M S, sprzedała H D, reprezentowanej przez A E D oraz E M D, cały należący do K O udział wynoszący 185/14400 części oraz należący do M S udział wynoszący 185/14400 części we </w:t>
      </w:r>
      <w:r w:rsidRPr="003D57EA">
        <w:rPr>
          <w:rFonts w:ascii="Arial" w:eastAsia="Calibri" w:hAnsi="Arial" w:cs="Arial"/>
          <w:sz w:val="24"/>
          <w:szCs w:val="24"/>
        </w:rPr>
        <w:lastRenderedPageBreak/>
        <w:t>współwłasności budynku mieszkalnego znajdującego się na nieruchomości przy ul. Krakowskie Przedmieście 39, stanowiącego odrębną nieruchomość wraz z roszczeniem o ustanowienie w tych samych częściach prawa wieczystego użytkowania gruntu za całkowicie zapłacone ceny po zł, tj. za kwotę łączną zł.</w:t>
      </w:r>
    </w:p>
    <w:p w14:paraId="6D2E7A8C" w14:textId="3A6A84B1"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Na tej podstawie, Prezydent m.st. Warszawy niesłusznie uznał spadkobierców H D za następców prawnych wszystkich właścicieli hipotecznych, a więc za strony postępowania dekretowego w zakresie całości udziałów w przedmiotowej nieruchomości, pomimo że nie posiadały one w takim zakresie interesu prawnego. W wyniku przeprowadzonego postępowania, Prezydent m.st. Warszawy decyzją nr 187/GK/DW/2007 z  dnia 24 maja 2007 r. ustanowił na 99 lat prawo użytkowania wieczystego przedmiotowego gruntu na rzecz H K M oraz A D do całości nieruchomości. </w:t>
      </w:r>
    </w:p>
    <w:p w14:paraId="2B203EC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Jednocześnie należy wskazać, że Naczelny Sąd Administracyjny w wyroku z dnia 6  października 2022 r., w sprawie sygn. akt I OSK 999/21 wypowiedział się w zakresie art. 30 § 4 k.p.a. w zw. art. 7 ust. 1 Dekretu. Wskazano w nim, że „brak spełnienia (…) przesłanek przysługiwania interesu prawnego, o którym mowa w art. 28 k.p.a., konsekwentnie wyklucza zastosowanie także art. 30 § 4 k.p.a. Przepis ten znajduje bowiem zastosowanie tylko wobec tych osób, którym można przypisać przysługiwanie interesu prawnego lub obowiązku w sposób wynikający z art. 28 k.p.a. Przepis art. 30 § 4 k.p.a. nie stanowi bowiem odrębnej, konkurencyjnej wobec art. 28 k.p.a., podstawy prawnej definiującej przymiot strony w  postępowaniu administracyjnym, lecz jest pochodną powołanego art. 28 k.p.a. Omawiany art. 30 § 4 k.p.a. stanowi, że w sprawach dotyczących praw zbywalnych lub dziedzicznych w  razie zbycia prawa lub śmierci strony w toku postępowania na miejsce dotychczasowej strony wstępują jej następcy prawni. W cytowanym przepisie ustawodawca wprost odwołał się do pojęcia strony, którego art. 30 § 4 k.p.a. nie definiuje ze względu na jego zdefiniowane w art. 28 k.p.a. Z tego względu w art. 30 § 4 k.p.a. ustawodawca wskazał na prawo, z którego wynika interes prawny w procedurze administracyjnej. Chodzi więc o takie prawo, z którym ustawodawca związał w istniejącej normie prawa administracyjnego jej oddziaływanie na to prawo. W Dekrecie (…) przyznanie określonych w nim praw nastąpiło na rzecz dotychczasowego właściciela nieruchomości, stąd prawem w rozumieniu art. 30 § 4 k.p.a. jest źródło uprawnienia do uzyskania praw określonych w art. 7 ust. 1 powołanego Dekretu, tj. własność gruntu, która byłemu właścicielowi nie przysługuje </w:t>
      </w:r>
      <w:r w:rsidRPr="003D57EA">
        <w:rPr>
          <w:rFonts w:ascii="Arial" w:eastAsia="Calibri" w:hAnsi="Arial" w:cs="Arial"/>
          <w:sz w:val="24"/>
          <w:szCs w:val="24"/>
        </w:rPr>
        <w:lastRenderedPageBreak/>
        <w:t>już od dnia wejścia w życie tego Dekretu, dlatego własność ta nie może być przedmiotem zbycia przez byłego właściciela gruntu warszawskiego. Ponadto, w art. 30 § 4 k.p.a. ustawodawca wskazał na następstwo prawne wynikające ze zbycia praw zbywalnych. Tymczasem, w art. 7 ust. 1 Dekretu (…) ustawodawca wyraźnie wskazał na przyznanie określonych praw dotychczasowemu właścicielowi nieruchomości warszawskiej, które ma dopiero nastąpić stosownym rozstrzygnięciem ze sfery prawa administracyjnego. Przed wydaniem tego rozstrzygnięcia prawa wymienione w Dekrecie (…) jeszcze nie istnieją, dlatego nie są objęte art. 30 § 4 k.p.a. Przed wydaniem wspomnianego rozstrzygnięcia administracyjnego na podstawie art. 7 ust. 1 Dekretu (…) istnieje jedynie uprawnienie ukształtowane podmiotowo powołanym przepisem do tego, aby dopiero właściwy organ administracji przyznał uprawnionej osobie określone prawo. W związku z powyższym, zawarte w sprawie umowy notarialne przeniesienia praw i roszczeń nie legitymowały - w  rozumieniu art. 7 ust. 1 dekretu warszawskiego oraz w rozumieniu art. 28 kpa (tj. w  rozumieniu prawa administracyjnego) - osoby wskazanej w tej umowie, jako nabywcy praw i roszczeń (w rozumieniu prawa cywilnego) do skutecznego ubiegania się o przyznanie prawa użytkowania wieczystego na podstawie dekretu warszawskiego do gruntu nieruchomości warszawskiej określonej w decyzji Prezydenta m.st. Warszawy z [...] lipca 2014 r. Uznanie tych umów za skuteczną podstawę, w rozumieniu prawa administracyjnego, do przyznania praw powołaną decyzją osobie wskazanej w tych umowach, jako nabywcy praw i roszczeń, stanowiło zatem rażące naruszenie art. 7 ust. 1 dekretu warszawskiego w zw. z art. 28 kpa, określających podmiotowy zakres przyznania prawa do gruntu nieruchomości warszawskiej, co wyczerpuje przesłankę nieważności określoną w art. 156 § 1 pkt 2 kpa.”</w:t>
      </w:r>
    </w:p>
    <w:p w14:paraId="0F142930" w14:textId="4A43F6A9"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 świetle powyższych ustaleń oraz rozważań prawnych, w opinii Komisji, kontrolowana decyzja została wydana z rażącym naruszeniem prawa. Prezydent m.st. Warszawy niesłusznie uznał H K M oraz A D za następców prawnych wszystkich właścicieli hipotecznych, pomimo że nie posiadały on w  takim zakresie (tj. co do całości udziałów w przedmiotowej nieruchomości) interesu prawnego.  </w:t>
      </w:r>
    </w:p>
    <w:p w14:paraId="137CDD53"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Mając powyższe na uwadze, stwierdzić należy, że wydanie decyzji reprywatyzacyjnej na rzecz nabywców praw i roszczeń na podstawie umowy cywilnoprawnej, stanowi rażące naruszenie art. 7 ust. 1 dekretu warszawskiego, określającego podmiotowy </w:t>
      </w:r>
      <w:r w:rsidRPr="003D57EA">
        <w:rPr>
          <w:rFonts w:ascii="Arial" w:eastAsia="Calibri" w:hAnsi="Arial" w:cs="Arial"/>
          <w:sz w:val="24"/>
          <w:szCs w:val="24"/>
        </w:rPr>
        <w:lastRenderedPageBreak/>
        <w:t xml:space="preserve">zakres przyznania prawa do gruntu nieruchomości warszawskiej w zw. z art. 28 k.p.a., co wyczerpuje przesłankę nieważności określoną w art. 156 § 1 pkt 2 k.p.a. </w:t>
      </w:r>
    </w:p>
    <w:p w14:paraId="3843662F"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0CB3F949" w14:textId="2C5A85C4"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3.3. Elementy cywilno-prawne w decyzji reprywatyzacyjnej</w:t>
      </w:r>
    </w:p>
    <w:p w14:paraId="6F6F21AF"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Stosowanie decyzji administracyjnej jako władczej formy działania organów administracji wynikać musi z wyraźnej podstawy mającej unormowanie w obowiązujących przepisach prawa. W związku z tym, oceniając legalność decyzji reprywatyzacyjnej, rozważyć należy, czy tego rodzaju elementy mogły być objęte rozstrzygnięciem administracyjnym podejmowanym na podstawie dekretu warszawskiego. Zgodnie z art. 27 </w:t>
      </w:r>
      <w:proofErr w:type="spellStart"/>
      <w:r w:rsidRPr="003D57EA">
        <w:rPr>
          <w:rFonts w:ascii="Arial" w:eastAsia="Calibri" w:hAnsi="Arial" w:cs="Arial"/>
          <w:sz w:val="24"/>
          <w:szCs w:val="24"/>
        </w:rPr>
        <w:t>u.g.n</w:t>
      </w:r>
      <w:proofErr w:type="spellEnd"/>
      <w:r w:rsidRPr="003D57EA">
        <w:rPr>
          <w:rFonts w:ascii="Arial" w:eastAsia="Calibri" w:hAnsi="Arial" w:cs="Arial"/>
          <w:sz w:val="24"/>
          <w:szCs w:val="24"/>
        </w:rPr>
        <w:t>., sprzedaż nieruchomości albo oddanie w użytkowanie wieczyste nieruchomości gruntowej wymaga zawarcia umowy w formie aktu notarialnego. Oddanie nieruchomości gruntowej w  użytkowanie wieczyste i przeniesienie tego prawa w drodze umowy wymaga wpisu w  księdze wieczystej. Z powyższego wynika, że ustanowienie prawa użytkowania wieczystego w trybie przepisów dekretu przebiega w dwóch etapach.</w:t>
      </w:r>
    </w:p>
    <w:p w14:paraId="156C314F"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 pierwsze, w toku postępowania administracyjnego organ bada materialnoprawne przesłanki ustanowienia tego prawa (art. 7 ust. 1 i ust. 2 dekretu warszawskiego) i w przypadku spełnienia tych przesłanek wydaje decyzję administracyjną o ustanowieniu tego prawa na rzecz oznaczonych w decyzji osób. Następny etap prowadzony jest na gruncie cywilnoprawnym i  kończy się zawarciem stosownej umowy w formie aktu notarialnego, pomiędzy gminą i osobą uprawnioną z decyzji. Przepisy dekretu nie zawierają regulacji stanowiących podstawę do kształtowania w decyzji administracyjnej obowiązków przyszłego użytkownika wieczystego związanych z ustanawianiem służebności, przenoszeniem własności budynków wzniesionych na gruncie dekretowym po dniu wejścia w życie tego dekretu, w ramach postępowania administracyjnego. Nie stanowią również podstawy do określania też innych warunków w  zakresie przyszłej umowy ustanowienia użytkowania wieczystego, a tym bardziej warunków zawarcia umowy notarialnej.</w:t>
      </w:r>
    </w:p>
    <w:p w14:paraId="72AC6B8D"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Tymczasem w pkt 7 decyzji nr 187/GK/DW/2007 z dnia 24 maja 2007 r. organ wskazał, że „decyzja niniejsza z chwilą, gdy stanie się ostateczna, będzie stanowiła podstawę do zawarcia w formie aktu notarialnego umowy ustanowienia użytkowania wieczystego gruntu opisanego w pkt I decyzji. Termin zawarcia umowy w formie aktu notarialnego zostanie wyznaczony po: </w:t>
      </w:r>
    </w:p>
    <w:p w14:paraId="5BA707D7"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lastRenderedPageBreak/>
        <w:t>- rozliczeniu nakładów z tytułu kosztów poniesionych po 1945 r. przez Skarb Państwa na odbudowę budynku znajdującego się na gruncie przy ul. Krakowskie Przedmieście 39. W  przypadku braku porozumienia co do rozliczenia ww. nakładów – sprawa zostanie skierowana na drogę sądową,</w:t>
      </w:r>
    </w:p>
    <w:p w14:paraId="31E4BA9E"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wyłączeniu z decyzji Wojewody Warszawskiego nr 20726 z dnia 12 marca 1992 r. budynku mieszkalnego położonego na gruncie przedmiotowej nieruchomości,</w:t>
      </w:r>
    </w:p>
    <w:p w14:paraId="2ED80E60"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przedłożeniu przez stronę protokołu zdawczo-odbiorczego przekazującego budynek mieszkalny znajdujący się na przedmiotowym gruncie od Zakładu Gospodarowania Nieruchomościami – Śródmieście”.</w:t>
      </w:r>
    </w:p>
    <w:p w14:paraId="31AC3D96"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Nadto w pkt 9 przedmiotowej decyzji organ wskazał, że użytkownik wieczysty obowiązany jest korzystać z nieruchomości w sposób zgodny z miejscowym planem zagospodarowania przestrzennego, a w pkt 11, że umowa o oddanie gruntu w użytkowanie wieczyste może ulec rozwiązaniu przed upływem terminu, na jaki została zawarta, jeżeli użytkownik wieczysty nie przestrzega warunków określonych w pkt 9 i 10, a także gdy korzysta z terenu w sposób sprzeczny z jego przeznaczeniem lub ustalony w umowie. W pkt 13 decyzji wskazano, iż prawa i obowiązki użytkowników wieczystych nie wymienione w niniejszej decyzji regulują przepisy ustawy o gospodarce nieruchomościami oraz kodeksu cywilnego.</w:t>
      </w:r>
    </w:p>
    <w:p w14:paraId="37C36C9F"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Zgodnie ze stanowiskiem judykatury, przepisy dekretu nie zawierają jakichkolwiek regulacji pozwalających na kształtowanie na etapie postępowania administracyjnego obowiązków przyszłego użytkownika wieczystego. Artykuł 7 ust. 3 in fine dekretu stanowi wprawdzie, że w razie uwzględnienia wniosku gmina określi warunki, pod którymi umowa może zostać zawarta. Jednakże określenie tych "warunków" - uregulowane obecnie w  przepisach kodeksu cywilnego - odnosić należy do etapu postępowania cywilnego, które będzie dopiero prowadzone po wydaniu ww. decyzji. To właśnie w ramach tego drugiego etapu rozstrzyga się o "warunkach" zawarcia tej umowy. Skoro zatem normy prawa materialnego nie przewidziały w tym zakresie kompetencji orzeczniczych organów administracji publicznych, to sprawa ta, w myśl art. 2 § 3 k.p.c., należy do drogi postępowania cywilnoprawnego (…). W  tej kwestii rozstrzygnięcie Prezydenta (...) zostało wydane bez podstawy prawnej (por. WSA w  Warszawie z dnia 8.12.2017 r., sygn. akt I SA/</w:t>
      </w:r>
      <w:proofErr w:type="spellStart"/>
      <w:r w:rsidRPr="003D57EA">
        <w:rPr>
          <w:rFonts w:ascii="Arial" w:eastAsia="Calibri" w:hAnsi="Arial" w:cs="Arial"/>
          <w:sz w:val="24"/>
          <w:szCs w:val="24"/>
        </w:rPr>
        <w:t>Wa</w:t>
      </w:r>
      <w:proofErr w:type="spellEnd"/>
      <w:r w:rsidRPr="003D57EA">
        <w:rPr>
          <w:rFonts w:ascii="Arial" w:eastAsia="Calibri" w:hAnsi="Arial" w:cs="Arial"/>
          <w:sz w:val="24"/>
          <w:szCs w:val="24"/>
        </w:rPr>
        <w:t xml:space="preserve"> 999/17). </w:t>
      </w:r>
    </w:p>
    <w:p w14:paraId="5F2AF464" w14:textId="27CA77E9"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 postanowieniu z dnia 21 lutego 1997 r. , wydanym w sprawie I SA 264/97, Naczelny Sąd Administracyjny stwierdził, że ani czynności udziału w zawarciu aktu notarialnego ustanowienia prawa użytkowania wieczystego nieruchomości, ani </w:t>
      </w:r>
      <w:r w:rsidRPr="003D57EA">
        <w:rPr>
          <w:rFonts w:ascii="Arial" w:eastAsia="Calibri" w:hAnsi="Arial" w:cs="Arial"/>
          <w:sz w:val="24"/>
          <w:szCs w:val="24"/>
        </w:rPr>
        <w:lastRenderedPageBreak/>
        <w:t>czynności negocjacyjne poprzedzające zawarcie takiej umowy, nie są czynnościami z zakresu administracji publicznej w rozumieniu art. 16 ust. 1 pkt 4 ustawy z dnia 11 maja 1995 r. o Naczelnym Sądzie Administracyjnym (Dz. U. Nr 74, poz. 368).</w:t>
      </w:r>
    </w:p>
    <w:p w14:paraId="0DEE77FF" w14:textId="1D66F8F8"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Reasumując, skoro normy prawa materialnego nie przewidziały w tym zakresie kompetencji orzeczniczych organów administracji publicznej, to sprawa ta w myśl art. 2 § 3 k.p.c. należy do drogi postępowania cywilnoprawnego. Oznacza to, że Prezydent m.st. Warszawy nie mając kompetencji wynikających z art. 6 k.p.a. ani podstaw w przepisach prawa materialnego, ukształtował w sposób władczy elementy przyszłego stosunku cywilnoprawnego.</w:t>
      </w:r>
    </w:p>
    <w:p w14:paraId="107E390C"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Mając powyższe na uwadze, wydana przez Prezydenta decyzja obarczona jest kwalifikowaną wadą prawną wyrażoną w art. 156 § 1 pkt 2 k.p.a., gdyż doszło do rażącego naruszenia art. 6 k.p.a., który stanowi, że organy administracji publicznej działają na podstawie przepisów prawa w zw. z art. 1 pkt 1 k.p.a. poprzez rozstrzygnięcie w drodze decyzji administracyjnej w zakresie nie należących do właściwości organu. </w:t>
      </w:r>
    </w:p>
    <w:p w14:paraId="555F38CE"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4113208F" w14:textId="1269F4F9"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3.4. Brak nieodwracalnych skutków prawnych</w:t>
      </w:r>
    </w:p>
    <w:p w14:paraId="15D4F31B"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Kontrolowana decyzja reprywatyzacyjna nie wywołała nieodwracalnych skutków prawnych w rozumieniu art. 2 pkt 4 ustawy z dnia 9 marca 2017 r.</w:t>
      </w:r>
    </w:p>
    <w:p w14:paraId="257F0E87"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3D57EA">
        <w:rPr>
          <w:rFonts w:ascii="Arial" w:eastAsia="Calibri" w:hAnsi="Arial" w:cs="Arial"/>
          <w:sz w:val="24"/>
          <w:szCs w:val="24"/>
        </w:rPr>
        <w:t>u.g.n</w:t>
      </w:r>
      <w:proofErr w:type="spellEnd"/>
      <w:r w:rsidRPr="003D57EA">
        <w:rPr>
          <w:rFonts w:ascii="Arial" w:eastAsia="Calibri" w:hAnsi="Arial" w:cs="Arial"/>
          <w:sz w:val="24"/>
          <w:szCs w:val="24"/>
        </w:rPr>
        <w:t>.</w:t>
      </w:r>
    </w:p>
    <w:p w14:paraId="165D21F8"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0DECE12B"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Definicja zawarta w art. 2 pkt 4 ustawy z dnia 9 marca 2017 r. zawiera w sobie dwa elementy, z których jeden konstytuuje zasadę, a drugi wyjątek od niej. Pierwszy </w:t>
      </w:r>
      <w:r w:rsidRPr="003D57EA">
        <w:rPr>
          <w:rFonts w:ascii="Arial" w:eastAsia="Calibri" w:hAnsi="Arial" w:cs="Arial"/>
          <w:sz w:val="24"/>
          <w:szCs w:val="24"/>
        </w:rPr>
        <w:lastRenderedPageBreak/>
        <w:t>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5386D95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 dokonaniu analizy stanu faktycznego i prawnego, Komisja stwierdziła, że po wydaniu decyzji reprywatyzacyjnej Prezydenta m.st. Warszawy nr 187/GK/DW/2007 z dnia 24 maja 2007 r. nie miały miejsca zdarzenia prawne, które doprowadziły do nieodwracalnych skutków prawnych w rozumieniu art. 2 pkt 4 ustawy z dnia 9 marca 2017 r.</w:t>
      </w:r>
    </w:p>
    <w:p w14:paraId="774C59E2"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Ponadto decyzja nr 187/GK/DW/2007 z dnia 24 maja 2007 r. nie została wykonana zawarciem umowy o oddanie gruntu w użytkowanie wieczyste. W dziale II księgi wieczystej prowadzonej dla przedmiotowej nieruchomości prawo własności ujawnione jest na rzecz m.st. Warszawy.</w:t>
      </w:r>
    </w:p>
    <w:p w14:paraId="4721224C"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Wobec powyższego, w przedmiotowej sprawie zaistniały podstawy do stwierdzenia nieważności kontrolowanej decyzji Prezydenta m.st. Warszawy. </w:t>
      </w:r>
    </w:p>
    <w:p w14:paraId="5D2D865D"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4BCD7253" w14:textId="23A7AE13" w:rsidR="0022529B"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IV. Strony postępowania</w:t>
      </w:r>
    </w:p>
    <w:p w14:paraId="2E870E19"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w:t>
      </w:r>
    </w:p>
    <w:p w14:paraId="0E349A9E" w14:textId="71D56DEA"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Z treści cytowanego przepisu wynika, że stroną postępowania rozpoznawczego przed Komisją jest m.st. Warszawa reprezentowane przez Prezydenta m.st. Warszawy. Komisja uznała, że stronami niniejszego postępowania są również beneficjentki decyzji reprywatyzacyjnej –  H K M i A D.</w:t>
      </w:r>
    </w:p>
    <w:p w14:paraId="131C6875"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43E007CD"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V. Konkluzja</w:t>
      </w:r>
    </w:p>
    <w:p w14:paraId="04981F4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Mając na uwadze powyżej wskazane okoliczności, Komisja orzekła jak na wstępie, </w:t>
      </w:r>
    </w:p>
    <w:p w14:paraId="71E45448" w14:textId="77777777" w:rsidR="0022529B"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na podstawie art. 29 ust. 1 pkt 3a związku z art. 30 ust. 1 pkt 4 ustawy z dnia 9 marca 2017 r. w związku z art. 156 § 1 pkt 2 k.p.a. w związku z art. 38 ust. 1 ustawy z dnia 9 marca 2017 r. </w:t>
      </w:r>
    </w:p>
    <w:p w14:paraId="12A54C9B" w14:textId="749421DF"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lastRenderedPageBreak/>
        <w:t>Przewodniczący Komisji</w:t>
      </w:r>
    </w:p>
    <w:p w14:paraId="6A78A3A2"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Sebastian Kaleta</w:t>
      </w:r>
    </w:p>
    <w:p w14:paraId="312A8014"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7491FE70"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Pouczenie:</w:t>
      </w:r>
    </w:p>
    <w:p w14:paraId="1FDAFBC9"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3D57EA">
        <w:rPr>
          <w:rFonts w:ascii="Arial" w:eastAsia="Calibri" w:hAnsi="Arial" w:cs="Arial"/>
          <w:sz w:val="24"/>
          <w:szCs w:val="24"/>
        </w:rPr>
        <w:t>p.p.s.a</w:t>
      </w:r>
      <w:proofErr w:type="spellEnd"/>
      <w:r w:rsidRPr="003D57EA">
        <w:rPr>
          <w:rFonts w:ascii="Arial" w:eastAsia="Calibri" w:hAnsi="Arial" w:cs="Arial"/>
          <w:sz w:val="24"/>
          <w:szCs w:val="24"/>
        </w:rPr>
        <w:t xml:space="preserve">.). Skarga powinna czynić zadość wymogom określonym w art. 57 </w:t>
      </w:r>
      <w:proofErr w:type="spellStart"/>
      <w:r w:rsidRPr="003D57EA">
        <w:rPr>
          <w:rFonts w:ascii="Arial" w:eastAsia="Calibri" w:hAnsi="Arial" w:cs="Arial"/>
          <w:sz w:val="24"/>
          <w:szCs w:val="24"/>
        </w:rPr>
        <w:t>p.p.s.a</w:t>
      </w:r>
      <w:proofErr w:type="spellEnd"/>
      <w:r w:rsidRPr="003D57EA">
        <w:rPr>
          <w:rFonts w:ascii="Arial" w:eastAsia="Calibri" w:hAnsi="Arial" w:cs="Arial"/>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3D57EA">
        <w:rPr>
          <w:rFonts w:ascii="Arial" w:eastAsia="Calibri" w:hAnsi="Arial" w:cs="Arial"/>
          <w:sz w:val="24"/>
          <w:szCs w:val="24"/>
        </w:rPr>
        <w:t>p.p.s.a</w:t>
      </w:r>
      <w:proofErr w:type="spellEnd"/>
      <w:r w:rsidRPr="003D57EA">
        <w:rPr>
          <w:rFonts w:ascii="Arial" w:eastAsia="Calibri" w:hAnsi="Arial" w:cs="Arial"/>
          <w:sz w:val="24"/>
          <w:szCs w:val="24"/>
        </w:rPr>
        <w:t>.).</w:t>
      </w:r>
    </w:p>
    <w:p w14:paraId="2EFA137B"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2. Zgodnie z art. 57 § 5 k.p.a. termin uważa się za zachowany, jeżeli przed jego upływem pismo zostało: </w:t>
      </w:r>
    </w:p>
    <w:p w14:paraId="4ACA17C5"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45FEC259"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 xml:space="preserve">Zgodnie z art. 71 Prawa pocztowego Prezes Urzędu Komunikacji Elektronicznej dokonał wyboru Poczty Polskiej Spółki Akcyjnej z siedzibą w Warszawie jako operatora wyznaczonego do świadczenia usług powszechnych w latach 2016–2025. </w:t>
      </w:r>
    </w:p>
    <w:p w14:paraId="5972ABBE"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1F3388F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lastRenderedPageBreak/>
        <w:t xml:space="preserve">4. W myśl zaś art. 243 § 1 </w:t>
      </w:r>
      <w:proofErr w:type="spellStart"/>
      <w:r w:rsidRPr="003D57EA">
        <w:rPr>
          <w:rFonts w:ascii="Arial" w:eastAsia="Calibri" w:hAnsi="Arial" w:cs="Arial"/>
          <w:sz w:val="24"/>
          <w:szCs w:val="24"/>
        </w:rPr>
        <w:t>p.p.s.a</w:t>
      </w:r>
      <w:proofErr w:type="spellEnd"/>
      <w:r w:rsidRPr="003D57EA">
        <w:rPr>
          <w:rFonts w:ascii="Arial" w:eastAsia="Calibri"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3D57EA">
        <w:rPr>
          <w:rFonts w:ascii="Arial" w:eastAsia="Calibri" w:hAnsi="Arial" w:cs="Arial"/>
          <w:sz w:val="24"/>
          <w:szCs w:val="24"/>
        </w:rPr>
        <w:t>p.p.s.a</w:t>
      </w:r>
      <w:proofErr w:type="spellEnd"/>
      <w:r w:rsidRPr="003D57EA">
        <w:rPr>
          <w:rFonts w:ascii="Arial" w:eastAsia="Calibri" w:hAnsi="Arial" w:cs="Arial"/>
          <w:sz w:val="24"/>
          <w:szCs w:val="24"/>
        </w:rPr>
        <w:t xml:space="preserve">.). Zgodnie zaś z art. 244 § 1 </w:t>
      </w:r>
      <w:proofErr w:type="spellStart"/>
      <w:r w:rsidRPr="003D57EA">
        <w:rPr>
          <w:rFonts w:ascii="Arial" w:eastAsia="Calibri" w:hAnsi="Arial" w:cs="Arial"/>
          <w:sz w:val="24"/>
          <w:szCs w:val="24"/>
        </w:rPr>
        <w:t>p.p.s.a</w:t>
      </w:r>
      <w:proofErr w:type="spellEnd"/>
      <w:r w:rsidRPr="003D57EA">
        <w:rPr>
          <w:rFonts w:ascii="Arial" w:eastAsia="Calibri" w:hAnsi="Arial" w:cs="Arial"/>
          <w:sz w:val="24"/>
          <w:szCs w:val="24"/>
        </w:rPr>
        <w:t xml:space="preserve">. prawo pomocy obejmuje zwolnienie od kosztów sądowych oraz ustanowienie adwokata, radcy prawnego, doradcy podatkowego lub rzecznika patentowego. </w:t>
      </w:r>
    </w:p>
    <w:p w14:paraId="17195521"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1E382B8" w14:textId="77777777" w:rsidR="00851144" w:rsidRPr="003D57EA" w:rsidRDefault="00851144" w:rsidP="003D57EA">
      <w:pPr>
        <w:tabs>
          <w:tab w:val="left" w:pos="6110"/>
        </w:tabs>
        <w:spacing w:after="480" w:line="360" w:lineRule="auto"/>
        <w:contextualSpacing/>
        <w:rPr>
          <w:rFonts w:ascii="Arial" w:eastAsia="Calibri" w:hAnsi="Arial" w:cs="Arial"/>
          <w:sz w:val="24"/>
          <w:szCs w:val="24"/>
        </w:rPr>
      </w:pPr>
      <w:r w:rsidRPr="003D57EA">
        <w:rPr>
          <w:rFonts w:ascii="Arial" w:eastAsia="Calibri" w:hAnsi="Arial" w:cs="Arial"/>
          <w:sz w:val="24"/>
          <w:szCs w:val="24"/>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5BC5CFF4" w14:textId="501A9B5E" w:rsidR="00851144" w:rsidRPr="003D57EA" w:rsidRDefault="00851144" w:rsidP="003D57EA">
      <w:pPr>
        <w:tabs>
          <w:tab w:val="left" w:pos="6110"/>
        </w:tabs>
        <w:spacing w:after="480" w:line="360" w:lineRule="auto"/>
        <w:contextualSpacing/>
        <w:rPr>
          <w:rFonts w:ascii="Arial" w:eastAsia="Calibri" w:hAnsi="Arial" w:cs="Arial"/>
          <w:sz w:val="24"/>
          <w:szCs w:val="24"/>
        </w:rPr>
      </w:pPr>
    </w:p>
    <w:p w14:paraId="063F5DD2" w14:textId="77777777" w:rsidR="00C478C9" w:rsidRPr="003D57EA" w:rsidRDefault="00C478C9" w:rsidP="003D57EA">
      <w:pPr>
        <w:spacing w:after="480" w:line="360" w:lineRule="auto"/>
        <w:rPr>
          <w:rFonts w:ascii="Arial" w:hAnsi="Arial" w:cs="Arial"/>
          <w:sz w:val="24"/>
          <w:szCs w:val="24"/>
        </w:rPr>
      </w:pPr>
    </w:p>
    <w:sectPr w:rsidR="00C478C9" w:rsidRPr="003D57EA" w:rsidSect="00712D4E">
      <w:foot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24E4" w14:textId="77777777" w:rsidR="008D4C26" w:rsidRDefault="008D4C26">
      <w:pPr>
        <w:spacing w:after="0" w:line="240" w:lineRule="auto"/>
      </w:pPr>
      <w:r>
        <w:separator/>
      </w:r>
    </w:p>
  </w:endnote>
  <w:endnote w:type="continuationSeparator" w:id="0">
    <w:p w14:paraId="7FCCAD78" w14:textId="77777777" w:rsidR="008D4C26" w:rsidRDefault="008D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B289" w14:textId="77777777" w:rsidR="00D63A8C" w:rsidRPr="00B6110C" w:rsidRDefault="008D4C26" w:rsidP="003C20B9">
    <w:pPr>
      <w:pStyle w:val="Stopka"/>
      <w:jc w:val="center"/>
      <w:rPr>
        <w:rFonts w:ascii="Times New Roman" w:hAnsi="Times New Roman"/>
      </w:rPr>
    </w:pPr>
    <w:r w:rsidRPr="00B6110C">
      <w:rPr>
        <w:rFonts w:ascii="Times New Roman" w:hAnsi="Times New Roman"/>
      </w:rPr>
      <w:fldChar w:fldCharType="begin"/>
    </w:r>
    <w:r w:rsidRPr="00B6110C">
      <w:rPr>
        <w:rFonts w:ascii="Times New Roman" w:hAnsi="Times New Roman"/>
      </w:rPr>
      <w:instrText xml:space="preserve">PAGE   </w:instrText>
    </w:r>
    <w:r w:rsidRPr="00B6110C">
      <w:rPr>
        <w:rFonts w:ascii="Times New Roman" w:hAnsi="Times New Roman"/>
      </w:rPr>
      <w:instrText>\* MERGEFORMAT</w:instrText>
    </w:r>
    <w:r w:rsidRPr="00B6110C">
      <w:rPr>
        <w:rFonts w:ascii="Times New Roman" w:hAnsi="Times New Roman"/>
      </w:rPr>
      <w:fldChar w:fldCharType="separate"/>
    </w:r>
    <w:r w:rsidRPr="00B6110C">
      <w:rPr>
        <w:rFonts w:ascii="Times New Roman" w:hAnsi="Times New Roman"/>
      </w:rPr>
      <w:t>2</w:t>
    </w:r>
    <w:r w:rsidRPr="00B6110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58C6" w14:textId="77777777" w:rsidR="008D4C26" w:rsidRDefault="008D4C26">
      <w:pPr>
        <w:spacing w:after="0" w:line="240" w:lineRule="auto"/>
      </w:pPr>
      <w:r>
        <w:separator/>
      </w:r>
    </w:p>
  </w:footnote>
  <w:footnote w:type="continuationSeparator" w:id="0">
    <w:p w14:paraId="760143B0" w14:textId="77777777" w:rsidR="008D4C26" w:rsidRDefault="008D4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3CBB" w14:textId="77777777" w:rsidR="00D63A8C" w:rsidRDefault="008D4C26">
    <w:pPr>
      <w:pStyle w:val="Nagwek"/>
    </w:pPr>
    <w:r>
      <w:rPr>
        <w:noProof/>
      </w:rPr>
      <w:drawing>
        <wp:inline distT="0" distB="0" distL="0" distR="0" wp14:anchorId="7D14C3CD" wp14:editId="20A89016">
          <wp:extent cx="2591435" cy="623570"/>
          <wp:effectExtent l="0" t="0" r="0" b="5080"/>
          <wp:docPr id="1" name="Obraz 2"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44"/>
    <w:rsid w:val="00183AA2"/>
    <w:rsid w:val="001A1017"/>
    <w:rsid w:val="0022529B"/>
    <w:rsid w:val="003D57EA"/>
    <w:rsid w:val="00416D7A"/>
    <w:rsid w:val="00492719"/>
    <w:rsid w:val="004A19F7"/>
    <w:rsid w:val="00502494"/>
    <w:rsid w:val="005B118E"/>
    <w:rsid w:val="00686A02"/>
    <w:rsid w:val="00706294"/>
    <w:rsid w:val="00806653"/>
    <w:rsid w:val="00851144"/>
    <w:rsid w:val="008D4C26"/>
    <w:rsid w:val="00B22616"/>
    <w:rsid w:val="00C478C9"/>
    <w:rsid w:val="00C70AF5"/>
    <w:rsid w:val="00C90C5E"/>
    <w:rsid w:val="00CB616D"/>
    <w:rsid w:val="00CD2275"/>
    <w:rsid w:val="00D9371A"/>
    <w:rsid w:val="00EB2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79B8"/>
  <w15:chartTrackingRefBased/>
  <w15:docId w15:val="{07C742CD-DD27-492D-B451-36A8C011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114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851144"/>
    <w:rPr>
      <w:rFonts w:ascii="Calibri" w:eastAsia="Calibri" w:hAnsi="Calibri" w:cs="Times New Roman"/>
    </w:rPr>
  </w:style>
  <w:style w:type="paragraph" w:styleId="Stopka">
    <w:name w:val="footer"/>
    <w:basedOn w:val="Normalny"/>
    <w:link w:val="StopkaZnak"/>
    <w:uiPriority w:val="99"/>
    <w:unhideWhenUsed/>
    <w:rsid w:val="0085114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511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8939</Words>
  <Characters>53637</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Decyzja KR II R 93.22 z 8.03.2023 r. wersja cyfrowa [ogłoszono w BIP 17.03.2023 r.]</vt:lpstr>
    </vt:vector>
  </TitlesOfParts>
  <Company/>
  <LinksUpToDate>false</LinksUpToDate>
  <CharactersWithSpaces>62452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II R 93.22 z 8.03.2023 r. wersja cyfrowa [ogłoszono w BIP 17.03.2023 r.]</dc:title>
  <dc:subject/>
  <dc:creator>Wojnarowicz Anna  (DPA)</dc:creator>
  <cp:keywords/>
  <dc:description/>
  <cp:lastModifiedBy>Rzewińska Dorota  (DPA)</cp:lastModifiedBy>
  <cp:revision>6</cp:revision>
  <dcterms:created xsi:type="dcterms:W3CDTF">2023-03-17T08:39:00Z</dcterms:created>
  <dcterms:modified xsi:type="dcterms:W3CDTF">2023-03-17T10:41:00Z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244a7563c6fd6361c398f50dde141e7a402c3b2419756fe26c8497b1b8e06fac</vt:lpwstr>
  </property>
</Properties>
</file>