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B936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6BBDC5E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1EB6FE2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0626516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81A38EA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379A778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AAFEBAA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FF820A9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E8E8BE4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10D3A74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99FC0AD" w14:textId="2D9966E5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Szanowni Państwo: </w:t>
      </w:r>
    </w:p>
    <w:p w14:paraId="30AFAE66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- Ministerstwo Sprawiedliwości</w:t>
      </w:r>
    </w:p>
    <w:p w14:paraId="5EC25B11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12C771C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Petycja</w:t>
      </w:r>
    </w:p>
    <w:p w14:paraId="01E26882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i/>
          <w:iCs/>
          <w:sz w:val="19"/>
          <w:szCs w:val="19"/>
        </w:rPr>
        <w:t>w trybie Ustawy o petycjach z dnia 11 lipca 2014 roku (tj. Dz. U. 2018 poz. 870) p</w:t>
      </w:r>
      <w:r>
        <w:rPr>
          <w:rFonts w:asciiTheme="minorHAnsi" w:hAnsiTheme="minorHAnsi" w:cstheme="minorBidi"/>
          <w:b/>
          <w:bCs/>
          <w:sz w:val="19"/>
          <w:szCs w:val="19"/>
        </w:rPr>
        <w:t>rzekładam postulat / postulaty w interesie publicznym w celu poprawienia lub udoskonalenia systemu prawnego poprzez wprowadzenie czynów wbrew moralności, związku i rozrodu: </w:t>
      </w:r>
    </w:p>
    <w:p w14:paraId="65CFF5F3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61B6A5B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✓ Kto działa wbrew prawidłowemu zapłodnieniu poprzez działanie wbrew wiedzy partnera lub wprowadzenie w błąd co do antykoncepcji lub metod antykoncepcji, by złapać partnera na dziecko lub przymusić do pozostania w związku, podlega karze odpowiedzialności z kodeksu wykroczeń lub ustawy o aktach stanu cywilnego i kodeksie rodzinnym w zakresie podważenia rodzicielstwa świadomego.</w:t>
      </w:r>
    </w:p>
    <w:p w14:paraId="14CC184D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4CD0388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Kto dokonuje nierządu z własnej i świadomej zgody i woli podlega odpowiedzialności z kodeksu wykroczeń. </w:t>
      </w:r>
    </w:p>
    <w:p w14:paraId="780D7622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779EEC3" w14:textId="77777777" w:rsidR="006832A7" w:rsidRDefault="006832A7" w:rsidP="006832A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 xml:space="preserve">Kto prowadzi pojazd pod wpływem alkoholu (0.01 - 0.19) podlega karze upomnienia, gdy osoba zostanie złapana dwa lub więcej razy, stężenie alkoholu zsumuje się z okresu trzech lat. Powiedzmy w 2024 roku - stężenie 0,05; w 2025 roku - stężenie 0,10; w 2026 - stężenie 0,05. Więc po zsumowaniu wyszło </w:t>
      </w:r>
      <w:proofErr w:type="gramStart"/>
      <w:r>
        <w:rPr>
          <w:rFonts w:asciiTheme="minorHAnsi" w:hAnsiTheme="minorHAnsi" w:cstheme="minorBidi"/>
          <w:b/>
          <w:bCs/>
          <w:sz w:val="19"/>
          <w:szCs w:val="19"/>
        </w:rPr>
        <w:t>0,20</w:t>
      </w:r>
      <w:proofErr w:type="gramEnd"/>
      <w:r>
        <w:rPr>
          <w:rFonts w:asciiTheme="minorHAnsi" w:hAnsiTheme="minorHAnsi" w:cstheme="minorBidi"/>
          <w:b/>
          <w:bCs/>
          <w:sz w:val="19"/>
          <w:szCs w:val="19"/>
        </w:rPr>
        <w:t xml:space="preserve"> więc osoba podlega karze grzywny. </w:t>
      </w:r>
    </w:p>
    <w:p w14:paraId="3BA8996F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D"/>
    <w:rsid w:val="00124D3D"/>
    <w:rsid w:val="006832A7"/>
    <w:rsid w:val="00717C16"/>
    <w:rsid w:val="008D6A21"/>
    <w:rsid w:val="00BB2463"/>
    <w:rsid w:val="00C0537C"/>
    <w:rsid w:val="00DC6D13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2791"/>
  <w15:chartTrackingRefBased/>
  <w15:docId w15:val="{B241BA03-93FC-4427-A380-579ACA3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2A7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D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D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D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D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D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D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D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D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D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D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D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D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D3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4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D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4D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D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2026-03-20T13:44:00Z</dcterms:created>
  <dcterms:modified xsi:type="dcterms:W3CDTF">2026-03-20T13:45:00Z</dcterms:modified>
</cp:coreProperties>
</file>