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14935" w14:textId="4BCCFD5A" w:rsidR="00716AB3" w:rsidRPr="0019511D" w:rsidRDefault="0019511D" w:rsidP="004209C5">
      <w:pPr>
        <w:pStyle w:val="OZNRODZAKTUtznustawalubrozporzdzenieiorganwydajcy"/>
        <w:jc w:val="right"/>
        <w:rPr>
          <w:rFonts w:eastAsiaTheme="minorEastAsia" w:cs="Arial"/>
          <w:b w:val="0"/>
          <w:bCs w:val="0"/>
          <w:caps w:val="0"/>
          <w:spacing w:val="0"/>
          <w:kern w:val="0"/>
          <w:szCs w:val="2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Pr="0019511D">
        <w:rPr>
          <w:rFonts w:eastAsiaTheme="minorEastAsia" w:cs="Arial"/>
          <w:b w:val="0"/>
          <w:bCs w:val="0"/>
          <w:caps w:val="0"/>
          <w:spacing w:val="0"/>
          <w:kern w:val="0"/>
          <w:szCs w:val="20"/>
        </w:rPr>
        <w:t xml:space="preserve">Projekt z dnia </w:t>
      </w:r>
      <w:r w:rsidR="00190C3D">
        <w:rPr>
          <w:rFonts w:eastAsiaTheme="minorEastAsia" w:cs="Arial"/>
          <w:b w:val="0"/>
          <w:bCs w:val="0"/>
          <w:caps w:val="0"/>
          <w:spacing w:val="0"/>
          <w:kern w:val="0"/>
          <w:szCs w:val="20"/>
        </w:rPr>
        <w:t>1</w:t>
      </w:r>
      <w:r w:rsidR="00BB1364">
        <w:rPr>
          <w:rFonts w:eastAsiaTheme="minorEastAsia" w:cs="Arial"/>
          <w:b w:val="0"/>
          <w:bCs w:val="0"/>
          <w:caps w:val="0"/>
          <w:spacing w:val="0"/>
          <w:kern w:val="0"/>
          <w:szCs w:val="20"/>
        </w:rPr>
        <w:t>3</w:t>
      </w:r>
      <w:r w:rsidRPr="0019511D">
        <w:rPr>
          <w:rFonts w:eastAsiaTheme="minorEastAsia" w:cs="Arial"/>
          <w:b w:val="0"/>
          <w:bCs w:val="0"/>
          <w:caps w:val="0"/>
          <w:spacing w:val="0"/>
          <w:kern w:val="0"/>
          <w:szCs w:val="20"/>
        </w:rPr>
        <w:t>.1</w:t>
      </w:r>
      <w:r w:rsidR="00353629">
        <w:rPr>
          <w:rFonts w:eastAsiaTheme="minorEastAsia" w:cs="Arial"/>
          <w:b w:val="0"/>
          <w:bCs w:val="0"/>
          <w:caps w:val="0"/>
          <w:spacing w:val="0"/>
          <w:kern w:val="0"/>
          <w:szCs w:val="20"/>
        </w:rPr>
        <w:t>2</w:t>
      </w:r>
      <w:r w:rsidRPr="0019511D">
        <w:rPr>
          <w:rFonts w:eastAsiaTheme="minorEastAsia" w:cs="Arial"/>
          <w:b w:val="0"/>
          <w:bCs w:val="0"/>
          <w:caps w:val="0"/>
          <w:spacing w:val="0"/>
          <w:kern w:val="0"/>
          <w:szCs w:val="20"/>
        </w:rPr>
        <w:t>.2024 r.</w:t>
      </w:r>
    </w:p>
    <w:p w14:paraId="73E16F9A" w14:textId="17929582" w:rsidR="00CC65D9" w:rsidRDefault="00687B70" w:rsidP="00716AB3">
      <w:pPr>
        <w:pStyle w:val="OZNRODZAKTUtznustawalubrozporzdzenieiorganwydajcy"/>
      </w:pPr>
      <w:r>
        <w:t xml:space="preserve">Uchwała nr      </w:t>
      </w:r>
      <w:r w:rsidR="006B2898">
        <w:t>/202</w:t>
      </w:r>
      <w:r w:rsidR="0066449C">
        <w:t>4</w:t>
      </w:r>
    </w:p>
    <w:p w14:paraId="2545FABB" w14:textId="77777777" w:rsidR="00CC65D9" w:rsidRPr="00382C7A" w:rsidRDefault="00CC65D9" w:rsidP="00716AB3">
      <w:pPr>
        <w:pStyle w:val="OZNRODZAKTUtznustawalubrozporzdzenieiorganwydajcy"/>
      </w:pPr>
      <w:r w:rsidRPr="00382C7A">
        <w:t>Rady Ministrów</w:t>
      </w:r>
    </w:p>
    <w:p w14:paraId="08B08CE9" w14:textId="3068BA74" w:rsidR="00CC65D9" w:rsidRPr="00382C7A" w:rsidRDefault="00CC65D9" w:rsidP="00CC65D9">
      <w:pPr>
        <w:pStyle w:val="DATAAKTUdatauchwalenialubwydaniaaktu"/>
      </w:pPr>
      <w:r w:rsidRPr="00382C7A">
        <w:t xml:space="preserve">z </w:t>
      </w:r>
      <w:r>
        <w:t xml:space="preserve">dnia                    </w:t>
      </w:r>
      <w:r>
        <w:rPr>
          <w:rFonts w:ascii="Times New Roman" w:hAnsi="Times New Roman" w:cs="Times New Roman"/>
        </w:rPr>
        <w:t xml:space="preserve"> </w:t>
      </w:r>
      <w:r w:rsidRPr="00802A69">
        <w:rPr>
          <w:rFonts w:ascii="Times New Roman" w:hAnsi="Times New Roman" w:cs="Times New Roman"/>
        </w:rPr>
        <w:t>20</w:t>
      </w:r>
      <w:r w:rsidR="00716AB3">
        <w:rPr>
          <w:rFonts w:ascii="Times New Roman" w:hAnsi="Times New Roman" w:cs="Times New Roman"/>
        </w:rPr>
        <w:t>2</w:t>
      </w:r>
      <w:r w:rsidR="004F3D6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</w:t>
      </w:r>
    </w:p>
    <w:p w14:paraId="3DE67CA6" w14:textId="67954107" w:rsidR="00CC65D9" w:rsidRDefault="0066449C" w:rsidP="00CC65D9">
      <w:pPr>
        <w:pStyle w:val="TYTUAKTUprzedmiotregulacjiustawylubrozporzdzenia"/>
      </w:pPr>
      <w:r>
        <w:t>zmieniaj</w:t>
      </w:r>
      <w:r w:rsidR="009831ED">
        <w:t xml:space="preserve">ąca uchwałę </w:t>
      </w:r>
      <w:bookmarkStart w:id="0" w:name="_Hlk50668411"/>
      <w:r w:rsidR="002C0CA2" w:rsidRPr="002C0CA2">
        <w:t>w sprawie ustanowienia</w:t>
      </w:r>
      <w:r w:rsidR="00CC65D9" w:rsidRPr="00770C0E">
        <w:t xml:space="preserve"> program</w:t>
      </w:r>
      <w:r w:rsidR="002C0CA2">
        <w:t>u</w:t>
      </w:r>
      <w:r w:rsidR="00CC65D9" w:rsidRPr="00770C0E">
        <w:t xml:space="preserve"> wieloletni</w:t>
      </w:r>
      <w:r w:rsidR="007444DD">
        <w:t>ego</w:t>
      </w:r>
      <w:r w:rsidR="00CC65D9" w:rsidRPr="00770C0E">
        <w:t xml:space="preserve"> pod nazwą </w:t>
      </w:r>
      <w:r w:rsidR="00CC65D9" w:rsidRPr="00EE1C42">
        <w:t>„</w:t>
      </w:r>
      <w:r w:rsidR="00CC65D9" w:rsidRPr="00862836">
        <w:t xml:space="preserve">Rozbudowa </w:t>
      </w:r>
      <w:r w:rsidR="00CC65D9">
        <w:t>wraz</w:t>
      </w:r>
      <w:r w:rsidR="00F37415">
        <w:t> </w:t>
      </w:r>
      <w:r w:rsidR="00CC65D9">
        <w:t xml:space="preserve">z modernizacją </w:t>
      </w:r>
      <w:r w:rsidR="00CC65D9" w:rsidRPr="00862836">
        <w:t>Pomorskiego Uniwersytetu Medycznego w Szczecinie</w:t>
      </w:r>
      <w:r w:rsidR="00DD1F19">
        <w:t xml:space="preserve"> </w:t>
      </w:r>
      <w:r w:rsidR="00CC65D9" w:rsidRPr="00862836">
        <w:t xml:space="preserve">i </w:t>
      </w:r>
      <w:r w:rsidR="00556036" w:rsidRPr="00556036">
        <w:t>Samodzielnego Publicznego Szpitala Klinicznego Nr 1 w Szczecinie</w:t>
      </w:r>
      <w:r w:rsidR="00CC65D9">
        <w:t xml:space="preserve"> </w:t>
      </w:r>
      <w:r w:rsidR="00CC65D9" w:rsidRPr="00862836">
        <w:t xml:space="preserve">w zakresie kliniczno-dydaktycznym i medycznych </w:t>
      </w:r>
      <w:r w:rsidR="00CC65D9">
        <w:t>wdrożeń</w:t>
      </w:r>
      <w:r w:rsidR="00CC65D9" w:rsidRPr="00862836">
        <w:t xml:space="preserve"> innowacyjnych</w:t>
      </w:r>
      <w:r w:rsidR="00CC65D9" w:rsidRPr="00EE1C42">
        <w:t>”</w:t>
      </w:r>
    </w:p>
    <w:bookmarkEnd w:id="0"/>
    <w:p w14:paraId="3AFCA481" w14:textId="7899FCC7" w:rsidR="00034A65" w:rsidRDefault="00716AB3" w:rsidP="004209C5">
      <w:pPr>
        <w:pStyle w:val="ARTartustawynprozporzdzenia"/>
        <w:ind w:firstLine="284"/>
      </w:pPr>
      <w:r>
        <w:t>Na podstawie art. 136 ust 2 ustawy z dnia 27 sierpnia 2009 r. o finansach publicznych</w:t>
      </w:r>
      <w:r w:rsidR="00740CDB">
        <w:t xml:space="preserve"> </w:t>
      </w:r>
      <w:r w:rsidR="00C7269C">
        <w:t>(</w:t>
      </w:r>
      <w:r w:rsidR="00C475DB" w:rsidRPr="000D74F9">
        <w:t>Dz.</w:t>
      </w:r>
      <w:r w:rsidR="00740CDB">
        <w:t> </w:t>
      </w:r>
      <w:r w:rsidR="00C475DB" w:rsidRPr="000D74F9">
        <w:t>U. z 2024 r. poz. 1530</w:t>
      </w:r>
      <w:r w:rsidR="00F37415" w:rsidRPr="00F37415">
        <w:t>, 1572, 1717 i 1756</w:t>
      </w:r>
      <w:r w:rsidR="008C289F">
        <w:t>)</w:t>
      </w:r>
      <w:r>
        <w:t xml:space="preserve"> </w:t>
      </w:r>
      <w:r w:rsidR="00271A20">
        <w:t>Rada Ministrów uchwala</w:t>
      </w:r>
      <w:r w:rsidR="008C289F">
        <w:t>,</w:t>
      </w:r>
      <w:r w:rsidR="00271A20">
        <w:t xml:space="preserve"> co następuje:</w:t>
      </w:r>
    </w:p>
    <w:p w14:paraId="6DB9A9E6" w14:textId="3D398A15" w:rsidR="009831ED" w:rsidRPr="00B04DE9" w:rsidRDefault="00CC65D9" w:rsidP="00B025D3">
      <w:pPr>
        <w:pStyle w:val="ARTartustawynprozporzdzenia"/>
        <w:ind w:firstLine="284"/>
      </w:pPr>
      <w:bookmarkStart w:id="1" w:name="_Hlk50667540"/>
      <w:r w:rsidRPr="00810671">
        <w:rPr>
          <w:rStyle w:val="Ppogrubienie"/>
        </w:rPr>
        <w:t>§ 1.</w:t>
      </w:r>
      <w:r>
        <w:t xml:space="preserve">  </w:t>
      </w:r>
      <w:r w:rsidR="009831ED" w:rsidRPr="005D0F90">
        <w:t xml:space="preserve">W uchwale </w:t>
      </w:r>
      <w:r w:rsidR="009831ED">
        <w:t>n</w:t>
      </w:r>
      <w:r w:rsidR="009831ED" w:rsidRPr="005D0F90">
        <w:t xml:space="preserve">r 58/2019 Rady Ministrów z dnia 18 czerwca 2019 r. </w:t>
      </w:r>
      <w:bookmarkStart w:id="2" w:name="_Hlk184978854"/>
      <w:r w:rsidR="009831ED">
        <w:t>w sprawie ustanowienia</w:t>
      </w:r>
      <w:bookmarkEnd w:id="2"/>
      <w:r w:rsidR="009831ED" w:rsidRPr="005D0F90">
        <w:t xml:space="preserve"> </w:t>
      </w:r>
      <w:r w:rsidR="009831ED" w:rsidRPr="004422AE">
        <w:t>programu wieloletniego</w:t>
      </w:r>
      <w:r w:rsidR="009831ED">
        <w:t xml:space="preserve"> </w:t>
      </w:r>
      <w:r w:rsidR="009831ED" w:rsidRPr="005D0F90">
        <w:t>pod nazwą „Rozbudowa wraz z</w:t>
      </w:r>
      <w:r w:rsidR="009831ED">
        <w:t xml:space="preserve"> </w:t>
      </w:r>
      <w:r w:rsidR="009831ED" w:rsidRPr="005D0F90">
        <w:t>modernizacją Pomorskiego Uniwersytetu Medycznego w Szczecinie i Samodzielnego Publicznego Szpitala Klinicznego Nr 1 w</w:t>
      </w:r>
      <w:r w:rsidR="009831ED">
        <w:t xml:space="preserve"> </w:t>
      </w:r>
      <w:r w:rsidR="009831ED" w:rsidRPr="005D0F90">
        <w:t>Szczecinie w zakresie kliniczno-dydaktycznym i medycznych wdrożeń innowacyjnych”</w:t>
      </w:r>
      <w:r w:rsidR="009831ED">
        <w:t>,</w:t>
      </w:r>
      <w:r w:rsidR="009831ED" w:rsidRPr="005D0F90">
        <w:t xml:space="preserve"> </w:t>
      </w:r>
      <w:r w:rsidR="009831ED">
        <w:t xml:space="preserve">zmienionej </w:t>
      </w:r>
      <w:r w:rsidR="009831ED" w:rsidRPr="005D0F90">
        <w:t>uchwa</w:t>
      </w:r>
      <w:r w:rsidR="009831ED">
        <w:t>łą</w:t>
      </w:r>
      <w:r w:rsidR="009831ED" w:rsidRPr="005D0F90">
        <w:t xml:space="preserve"> </w:t>
      </w:r>
      <w:r w:rsidR="009831ED">
        <w:t>n</w:t>
      </w:r>
      <w:r w:rsidR="009831ED" w:rsidRPr="005D0F90">
        <w:t>r 197/2021 Rady Ministrów z dnia 31 grudnia 2021 r.</w:t>
      </w:r>
      <w:r w:rsidR="000F0489">
        <w:br/>
      </w:r>
      <w:r w:rsidR="004C0722">
        <w:t>i uchwał</w:t>
      </w:r>
      <w:r w:rsidR="00B025D3">
        <w:t>ą</w:t>
      </w:r>
      <w:r w:rsidR="004C0722">
        <w:t xml:space="preserve"> nr 127/2023 Rady Ministrów z dnia 5 lipca 2023 r. </w:t>
      </w:r>
      <w:r w:rsidR="009831ED" w:rsidRPr="005D0F90">
        <w:t>wprowadza się następujące zmiany:</w:t>
      </w:r>
    </w:p>
    <w:p w14:paraId="606CFD15" w14:textId="2C78E3B2" w:rsidR="000C63C7" w:rsidRPr="000C63C7" w:rsidRDefault="002B4CB6" w:rsidP="004209C5">
      <w:pPr>
        <w:pStyle w:val="Akapitzlist"/>
        <w:numPr>
          <w:ilvl w:val="0"/>
          <w:numId w:val="3"/>
        </w:numPr>
        <w:ind w:left="284" w:hanging="284"/>
        <w:jc w:val="both"/>
      </w:pPr>
      <w:r>
        <w:t xml:space="preserve">w </w:t>
      </w:r>
      <w:r w:rsidR="000030F8">
        <w:t xml:space="preserve">tytule </w:t>
      </w:r>
      <w:r w:rsidR="0009721B">
        <w:t>uchwały</w:t>
      </w:r>
      <w:r>
        <w:t xml:space="preserve"> wyrazy</w:t>
      </w:r>
      <w:r w:rsidR="006961B8">
        <w:t xml:space="preserve"> „</w:t>
      </w:r>
      <w:r w:rsidR="006961B8" w:rsidRPr="006961B8">
        <w:t>Samodzielnego Publicznego Szpitala Klinicznego Nr 1 w Szczecinie</w:t>
      </w:r>
      <w:r w:rsidR="006961B8">
        <w:t>” zastępuje się wyrazami „</w:t>
      </w:r>
      <w:r w:rsidR="004E698B" w:rsidRPr="004E698B">
        <w:t>Uniwersyteckiego Szpitala Klinicznego Nr 1 w Szczecinie</w:t>
      </w:r>
      <w:r w:rsidR="006961B8">
        <w:t>”;</w:t>
      </w:r>
    </w:p>
    <w:p w14:paraId="5276075A" w14:textId="01C43D36" w:rsidR="004C0722" w:rsidRPr="004C0722" w:rsidRDefault="00DB093E" w:rsidP="00683EEE">
      <w:pPr>
        <w:pStyle w:val="Akapitzlist"/>
        <w:numPr>
          <w:ilvl w:val="0"/>
          <w:numId w:val="3"/>
        </w:numPr>
        <w:ind w:left="284" w:hanging="284"/>
      </w:pPr>
      <w:r>
        <w:rPr>
          <w:rFonts w:cs="Times New Roman"/>
        </w:rPr>
        <w:t xml:space="preserve">w </w:t>
      </w:r>
      <w:r w:rsidR="004C0722" w:rsidRPr="00853CC8">
        <w:rPr>
          <w:rFonts w:cs="Times New Roman"/>
        </w:rPr>
        <w:t>§</w:t>
      </w:r>
      <w:r w:rsidR="004C0722">
        <w:t xml:space="preserve"> 1</w:t>
      </w:r>
      <w:r>
        <w:t xml:space="preserve"> ust. 1</w:t>
      </w:r>
      <w:r w:rsidR="00C475DB">
        <w:t xml:space="preserve"> </w:t>
      </w:r>
      <w:r w:rsidR="00AC6FE6">
        <w:t>o</w:t>
      </w:r>
      <w:r w:rsidR="004C0722">
        <w:t>trzymuje brzmienie:</w:t>
      </w:r>
    </w:p>
    <w:p w14:paraId="086C62A3" w14:textId="3BF29473" w:rsidR="00683EEE" w:rsidRDefault="00B025D3" w:rsidP="004209C5">
      <w:pPr>
        <w:pStyle w:val="ARTartustawynprozporzdzenia"/>
        <w:ind w:left="284"/>
      </w:pPr>
      <w:r>
        <w:t>„</w:t>
      </w:r>
      <w:r w:rsidR="00DB093E">
        <w:rPr>
          <w:rFonts w:cs="Times New Roman"/>
        </w:rPr>
        <w:t>1.</w:t>
      </w:r>
      <w:r w:rsidR="00C475DB">
        <w:t xml:space="preserve"> </w:t>
      </w:r>
      <w:r w:rsidR="004C0722" w:rsidRPr="00766AB5">
        <w:t xml:space="preserve">Ustanawia się program wieloletni </w:t>
      </w:r>
      <w:r w:rsidR="004C0722" w:rsidRPr="00BF33E7">
        <w:t xml:space="preserve">pod nazwą </w:t>
      </w:r>
      <w:r w:rsidR="004C0722">
        <w:t>„</w:t>
      </w:r>
      <w:r w:rsidR="004C0722" w:rsidRPr="00862836">
        <w:t xml:space="preserve">Rozbudowa </w:t>
      </w:r>
      <w:r w:rsidR="004C0722">
        <w:t xml:space="preserve">wraz z modernizacją </w:t>
      </w:r>
      <w:r w:rsidR="004C0722" w:rsidRPr="00862836">
        <w:t>Pomorskiego Uniwersytetu Medycznego w Szczecinie i</w:t>
      </w:r>
      <w:r w:rsidR="004C0722">
        <w:t xml:space="preserve"> </w:t>
      </w:r>
      <w:r>
        <w:t xml:space="preserve">Uniwersyteckiego </w:t>
      </w:r>
      <w:r w:rsidR="004C0722">
        <w:t>Szpitala Klinicznego Nr 1 w Szczecinie</w:t>
      </w:r>
      <w:r w:rsidR="004C0722" w:rsidRPr="00862836">
        <w:t xml:space="preserve"> w zakresie kliniczno-dydaktycznym i medycznych </w:t>
      </w:r>
      <w:r w:rsidR="004C0722">
        <w:t>wdrożeń</w:t>
      </w:r>
      <w:r w:rsidR="004C0722" w:rsidRPr="00862836">
        <w:t xml:space="preserve"> innowacyjnych</w:t>
      </w:r>
      <w:r w:rsidR="004C0722" w:rsidRPr="00EE1C42">
        <w:t xml:space="preserve">”, zwany </w:t>
      </w:r>
      <w:r w:rsidR="004C0722" w:rsidRPr="00BF33E7">
        <w:t>dalej „Programem”, stanowiący załącznik do uchwały</w:t>
      </w:r>
      <w:r w:rsidR="004C0722">
        <w:t>.</w:t>
      </w:r>
      <w:r>
        <w:t>”</w:t>
      </w:r>
      <w:r w:rsidR="00C97C61">
        <w:t>;</w:t>
      </w:r>
    </w:p>
    <w:p w14:paraId="15DF1535" w14:textId="7C51CF7D" w:rsidR="00683EEE" w:rsidRPr="00683EEE" w:rsidRDefault="00683EEE" w:rsidP="00683EEE">
      <w:pPr>
        <w:pStyle w:val="ARTartustawynprozporzdzenia"/>
        <w:numPr>
          <w:ilvl w:val="0"/>
          <w:numId w:val="3"/>
        </w:numPr>
        <w:ind w:left="284" w:hanging="284"/>
      </w:pPr>
      <w:r w:rsidRPr="00683EEE">
        <w:t>§ 2 otrzymuje brzmienie:</w:t>
      </w:r>
    </w:p>
    <w:p w14:paraId="2A3D5BE9" w14:textId="2C1964DB" w:rsidR="00683EEE" w:rsidRPr="00683EEE" w:rsidRDefault="00683EEE" w:rsidP="004209C5">
      <w:pPr>
        <w:pStyle w:val="ARTartustawynprozporzdzenia"/>
        <w:ind w:left="284" w:firstLine="284"/>
      </w:pPr>
      <w:r w:rsidRPr="00683EEE">
        <w:t>„§ 2. Okres realizacji Programu ustala się na lata 2019–202</w:t>
      </w:r>
      <w:r w:rsidR="00814B14">
        <w:t>7</w:t>
      </w:r>
      <w:r w:rsidRPr="00683EEE">
        <w:t>.”;</w:t>
      </w:r>
    </w:p>
    <w:p w14:paraId="32D4E26D" w14:textId="59934370" w:rsidR="00853CC8" w:rsidRDefault="00853CC8" w:rsidP="004209C5">
      <w:pPr>
        <w:pStyle w:val="ARTartustawynprozporzdzenia"/>
        <w:numPr>
          <w:ilvl w:val="0"/>
          <w:numId w:val="3"/>
        </w:numPr>
        <w:ind w:left="284" w:hanging="284"/>
        <w:rPr>
          <w:rFonts w:cs="Times"/>
        </w:rPr>
      </w:pPr>
      <w:bookmarkStart w:id="3" w:name="_Hlk114768181"/>
      <w:r>
        <w:rPr>
          <w:rFonts w:cs="Times"/>
        </w:rPr>
        <w:t xml:space="preserve">§ 4 </w:t>
      </w:r>
      <w:bookmarkEnd w:id="3"/>
      <w:r w:rsidR="00AC6FE6">
        <w:rPr>
          <w:rFonts w:cs="Times"/>
        </w:rPr>
        <w:t>o</w:t>
      </w:r>
      <w:r>
        <w:rPr>
          <w:rFonts w:cs="Times"/>
        </w:rPr>
        <w:t>trzymuje brzmienie:</w:t>
      </w:r>
    </w:p>
    <w:p w14:paraId="0DCD72ED" w14:textId="1EA6E6BE" w:rsidR="00CC65D9" w:rsidRPr="00853CC8" w:rsidRDefault="00853CC8" w:rsidP="004209C5">
      <w:pPr>
        <w:pStyle w:val="ARTartustawynprozporzdzenia"/>
        <w:ind w:left="284"/>
        <w:rPr>
          <w:rFonts w:cs="Times"/>
        </w:rPr>
      </w:pPr>
      <w:r>
        <w:rPr>
          <w:rFonts w:cs="Times"/>
        </w:rPr>
        <w:t>„</w:t>
      </w:r>
      <w:r w:rsidR="00566C87">
        <w:rPr>
          <w:rFonts w:cs="Times"/>
        </w:rPr>
        <w:t>§ 4.1</w:t>
      </w:r>
      <w:r w:rsidR="00263A0F">
        <w:rPr>
          <w:rFonts w:cs="Times"/>
        </w:rPr>
        <w:t>.</w:t>
      </w:r>
      <w:r w:rsidR="00566C87">
        <w:rPr>
          <w:rFonts w:cs="Times"/>
        </w:rPr>
        <w:t xml:space="preserve"> </w:t>
      </w:r>
      <w:r w:rsidR="00CC65D9">
        <w:t>Wartość</w:t>
      </w:r>
      <w:r w:rsidR="00CC65D9" w:rsidRPr="00240682">
        <w:t xml:space="preserve"> kosztorysowa </w:t>
      </w:r>
      <w:r w:rsidR="00566C87">
        <w:t>P</w:t>
      </w:r>
      <w:r w:rsidR="00CC65D9" w:rsidRPr="00240682">
        <w:t xml:space="preserve">rogramu wynosi </w:t>
      </w:r>
      <w:r w:rsidR="00227DF0">
        <w:t>8</w:t>
      </w:r>
      <w:r w:rsidR="002E47A9">
        <w:t>1</w:t>
      </w:r>
      <w:r w:rsidR="00814B14">
        <w:t>2 74</w:t>
      </w:r>
      <w:r w:rsidR="0070721A">
        <w:t>2</w:t>
      </w:r>
      <w:r w:rsidR="00833DB6">
        <w:t xml:space="preserve"> tys.</w:t>
      </w:r>
      <w:r w:rsidR="00CC65D9" w:rsidRPr="00240682">
        <w:t xml:space="preserve"> zł, w tym:</w:t>
      </w:r>
    </w:p>
    <w:p w14:paraId="1DBE9404" w14:textId="6929521F" w:rsidR="00CC65D9" w:rsidRPr="00263A0F" w:rsidRDefault="00CC65D9" w:rsidP="004209C5">
      <w:pPr>
        <w:pStyle w:val="PKTpunkt"/>
        <w:ind w:left="794"/>
      </w:pPr>
      <w:r w:rsidRPr="00240682">
        <w:t>1</w:t>
      </w:r>
      <w:r w:rsidRPr="00263A0F">
        <w:t>)</w:t>
      </w:r>
      <w:r w:rsidR="00263A0F">
        <w:tab/>
      </w:r>
      <w:r w:rsidRPr="00263A0F">
        <w:t xml:space="preserve">nakłady z budżetu państwa </w:t>
      </w:r>
      <w:r w:rsidR="00DB1BB2">
        <w:sym w:font="Symbol" w:char="F02D"/>
      </w:r>
      <w:r w:rsidRPr="00263A0F">
        <w:t xml:space="preserve"> </w:t>
      </w:r>
      <w:r w:rsidR="00227DF0" w:rsidRPr="00263A0F">
        <w:t>802</w:t>
      </w:r>
      <w:r w:rsidRPr="00263A0F">
        <w:t xml:space="preserve"> 098 </w:t>
      </w:r>
      <w:r w:rsidR="00833DB6" w:rsidRPr="00263A0F">
        <w:t>tys.</w:t>
      </w:r>
      <w:r w:rsidRPr="00263A0F">
        <w:t xml:space="preserve"> zł,</w:t>
      </w:r>
    </w:p>
    <w:p w14:paraId="33410D7C" w14:textId="0960A830" w:rsidR="00CC65D9" w:rsidRPr="00263A0F" w:rsidRDefault="00CC65D9" w:rsidP="004209C5">
      <w:pPr>
        <w:pStyle w:val="PKTpunkt"/>
        <w:ind w:left="794"/>
      </w:pPr>
      <w:r w:rsidRPr="00263A0F">
        <w:t>2)</w:t>
      </w:r>
      <w:r w:rsidR="00BD06AE">
        <w:tab/>
      </w:r>
      <w:r w:rsidRPr="00263A0F">
        <w:t xml:space="preserve">środki własne </w:t>
      </w:r>
      <w:r w:rsidR="007D2317" w:rsidRPr="00263A0F">
        <w:t>i</w:t>
      </w:r>
      <w:r w:rsidRPr="00263A0F">
        <w:t>nwestora</w:t>
      </w:r>
      <w:r w:rsidR="00DB1BB2">
        <w:t xml:space="preserve"> </w:t>
      </w:r>
      <w:r w:rsidR="00DB1BB2">
        <w:sym w:font="Symbol" w:char="F02D"/>
      </w:r>
      <w:r w:rsidR="00DB1BB2">
        <w:t xml:space="preserve"> </w:t>
      </w:r>
      <w:r w:rsidR="00AB7D92" w:rsidRPr="00263A0F">
        <w:t>9 030</w:t>
      </w:r>
      <w:r w:rsidRPr="00263A0F">
        <w:t xml:space="preserve"> </w:t>
      </w:r>
      <w:r w:rsidR="00833DB6" w:rsidRPr="00263A0F">
        <w:t>tys.</w:t>
      </w:r>
      <w:r w:rsidRPr="00263A0F">
        <w:t xml:space="preserve"> </w:t>
      </w:r>
      <w:r w:rsidR="002E47A9" w:rsidRPr="00263A0F">
        <w:t>z</w:t>
      </w:r>
      <w:r w:rsidRPr="00263A0F">
        <w:t>ł</w:t>
      </w:r>
      <w:r w:rsidR="002E47A9" w:rsidRPr="00263A0F">
        <w:t>,</w:t>
      </w:r>
    </w:p>
    <w:p w14:paraId="5F923CD9" w14:textId="77777777" w:rsidR="00AF0CFE" w:rsidRDefault="002E47A9" w:rsidP="004209C5">
      <w:pPr>
        <w:pStyle w:val="ARTartustawynprozporzdzenia"/>
        <w:ind w:left="284"/>
      </w:pPr>
      <w:r w:rsidRPr="00263A0F">
        <w:lastRenderedPageBreak/>
        <w:t>3)</w:t>
      </w:r>
      <w:r w:rsidR="00963A35">
        <w:tab/>
      </w:r>
      <w:r w:rsidRPr="00263A0F">
        <w:t xml:space="preserve">środki z </w:t>
      </w:r>
      <w:r w:rsidR="00A57DEF" w:rsidRPr="00263A0F">
        <w:t>Wojewódzkiego Funduszu Ochrony Środowiska i Gospodarki Wodnej w</w:t>
      </w:r>
      <w:r w:rsidR="001B65B4">
        <w:t> </w:t>
      </w:r>
      <w:r w:rsidR="00A57DEF" w:rsidRPr="00263A0F">
        <w:t>Szczecinie</w:t>
      </w:r>
      <w:r w:rsidR="00F61F0D" w:rsidRPr="00263A0F">
        <w:t>,</w:t>
      </w:r>
      <w:r w:rsidR="00F61F0D">
        <w:t xml:space="preserve"> </w:t>
      </w:r>
      <w:r w:rsidR="00705586">
        <w:t xml:space="preserve">zwane </w:t>
      </w:r>
      <w:r w:rsidR="00A57DEF">
        <w:t>dalej „</w:t>
      </w:r>
      <w:r w:rsidR="004A3DCB">
        <w:t>środk</w:t>
      </w:r>
      <w:r w:rsidR="00705586">
        <w:t>am</w:t>
      </w:r>
      <w:r w:rsidR="004A3DCB">
        <w:t xml:space="preserve">i z </w:t>
      </w:r>
      <w:r>
        <w:t>innych źródeł</w:t>
      </w:r>
      <w:r w:rsidR="00A57DEF">
        <w:t>”</w:t>
      </w:r>
      <w:r>
        <w:t xml:space="preserve"> </w:t>
      </w:r>
      <w:r w:rsidR="001B65B4">
        <w:sym w:font="Symbol" w:char="F02D"/>
      </w:r>
      <w:r w:rsidR="001B65B4">
        <w:t xml:space="preserve"> </w:t>
      </w:r>
      <w:r w:rsidR="00AB7D92">
        <w:t>1 614</w:t>
      </w:r>
      <w:r w:rsidR="00833DB6">
        <w:t xml:space="preserve"> tys.</w:t>
      </w:r>
      <w:r>
        <w:t xml:space="preserve"> zł.</w:t>
      </w:r>
      <w:r w:rsidR="003C29F0">
        <w:tab/>
      </w:r>
    </w:p>
    <w:p w14:paraId="61AF1214" w14:textId="2E8F591A" w:rsidR="00CC65D9" w:rsidRPr="008630AA" w:rsidRDefault="00CC65D9" w:rsidP="004209C5">
      <w:pPr>
        <w:pStyle w:val="ARTartustawynprozporzdzenia"/>
        <w:ind w:left="284"/>
      </w:pPr>
      <w:r w:rsidRPr="008630AA">
        <w:t>2. Nakłady, o których mowa w ust. 1, w poszczególnych latach wynos</w:t>
      </w:r>
      <w:r w:rsidR="00BE3884">
        <w:t>zą</w:t>
      </w:r>
      <w:r w:rsidRPr="008630AA">
        <w:t>:</w:t>
      </w:r>
    </w:p>
    <w:p w14:paraId="145586C6" w14:textId="14C24335" w:rsidR="00CC65D9" w:rsidRDefault="00CC65D9" w:rsidP="004209C5">
      <w:pPr>
        <w:pStyle w:val="PKTpunkt"/>
        <w:ind w:left="794"/>
      </w:pPr>
      <w:r w:rsidRPr="00EE1C42">
        <w:t>1)</w:t>
      </w:r>
      <w:r w:rsidRPr="00EE1C42">
        <w:tab/>
        <w:t xml:space="preserve">2019 r. – </w:t>
      </w:r>
      <w:r>
        <w:t>1</w:t>
      </w:r>
      <w:r w:rsidR="00833DB6">
        <w:t>5</w:t>
      </w:r>
      <w:r>
        <w:t xml:space="preserve"> </w:t>
      </w:r>
      <w:r w:rsidR="00833DB6">
        <w:t xml:space="preserve">tys. </w:t>
      </w:r>
      <w:r w:rsidRPr="00EE1C42">
        <w:t>zł, w tym:</w:t>
      </w:r>
    </w:p>
    <w:p w14:paraId="7E179400" w14:textId="42C784C4" w:rsidR="0013275A" w:rsidRPr="00EE1C42" w:rsidRDefault="0013275A" w:rsidP="004209C5">
      <w:pPr>
        <w:pStyle w:val="PKTpunkt"/>
        <w:numPr>
          <w:ilvl w:val="0"/>
          <w:numId w:val="17"/>
        </w:numPr>
      </w:pPr>
      <w:r>
        <w:t xml:space="preserve">budżetu państwa – 0 </w:t>
      </w:r>
      <w:r w:rsidR="00833DB6">
        <w:t xml:space="preserve">tys. </w:t>
      </w:r>
      <w:r>
        <w:t>zł</w:t>
      </w:r>
      <w:r w:rsidR="00034A65">
        <w:t>,</w:t>
      </w:r>
    </w:p>
    <w:p w14:paraId="302016EC" w14:textId="355B5848" w:rsidR="00CC65D9" w:rsidRDefault="00CC65D9" w:rsidP="004209C5">
      <w:pPr>
        <w:pStyle w:val="ZFRAGzmfragmentunpzdaniaartykuempunktem"/>
        <w:numPr>
          <w:ilvl w:val="0"/>
          <w:numId w:val="17"/>
        </w:numPr>
      </w:pPr>
      <w:r w:rsidRPr="00EE1C42">
        <w:t xml:space="preserve">środki własne </w:t>
      </w:r>
      <w:r w:rsidR="00566C87">
        <w:t>i</w:t>
      </w:r>
      <w:r w:rsidRPr="00EE1C42">
        <w:t>nwestora</w:t>
      </w:r>
      <w:r>
        <w:t xml:space="preserve"> </w:t>
      </w:r>
      <w:r w:rsidRPr="00EE1C42">
        <w:t xml:space="preserve">– </w:t>
      </w:r>
      <w:r w:rsidR="00001841">
        <w:t>1</w:t>
      </w:r>
      <w:r w:rsidR="00833DB6">
        <w:t>5</w:t>
      </w:r>
      <w:r w:rsidRPr="00EE1C42">
        <w:t xml:space="preserve"> </w:t>
      </w:r>
      <w:r w:rsidR="00833DB6">
        <w:t xml:space="preserve">tys. </w:t>
      </w:r>
      <w:r w:rsidR="002E47A9">
        <w:t>zł,</w:t>
      </w:r>
    </w:p>
    <w:p w14:paraId="3E36F9E3" w14:textId="7B3D20C0" w:rsidR="002E47A9" w:rsidRPr="002E47A9" w:rsidRDefault="002E47A9" w:rsidP="004209C5">
      <w:pPr>
        <w:pStyle w:val="PKTpunkt"/>
        <w:numPr>
          <w:ilvl w:val="0"/>
          <w:numId w:val="17"/>
        </w:numPr>
      </w:pPr>
      <w:r>
        <w:t xml:space="preserve">środki z innych źródeł – 0 </w:t>
      </w:r>
      <w:r w:rsidR="00833DB6">
        <w:t xml:space="preserve">tys. </w:t>
      </w:r>
      <w:r>
        <w:t>zł;</w:t>
      </w:r>
    </w:p>
    <w:p w14:paraId="5A1C3007" w14:textId="0A452679" w:rsidR="00CC65D9" w:rsidRPr="00EE1C42" w:rsidRDefault="0026427F" w:rsidP="004209C5">
      <w:pPr>
        <w:pStyle w:val="PKTpunkt"/>
        <w:ind w:left="794"/>
      </w:pPr>
      <w:r>
        <w:t>2)</w:t>
      </w:r>
      <w:r>
        <w:tab/>
        <w:t>2020 r. – 10</w:t>
      </w:r>
      <w:r w:rsidR="00833DB6">
        <w:t> </w:t>
      </w:r>
      <w:r w:rsidR="00566C87">
        <w:t>82</w:t>
      </w:r>
      <w:r w:rsidR="00833DB6">
        <w:t>6 tys.</w:t>
      </w:r>
      <w:r w:rsidR="00CC65D9" w:rsidRPr="00EE1C42">
        <w:t xml:space="preserve"> zł, w tym:</w:t>
      </w:r>
    </w:p>
    <w:p w14:paraId="066B63A6" w14:textId="117AFD3B" w:rsidR="00CC65D9" w:rsidRPr="00EE1C42" w:rsidRDefault="00CC65D9" w:rsidP="004209C5">
      <w:pPr>
        <w:pStyle w:val="PKTpunkt"/>
        <w:numPr>
          <w:ilvl w:val="0"/>
          <w:numId w:val="18"/>
        </w:numPr>
      </w:pPr>
      <w:r w:rsidRPr="00EE1C42">
        <w:t>budżet państw</w:t>
      </w:r>
      <w:r w:rsidR="00BE3884">
        <w:t xml:space="preserve">a </w:t>
      </w:r>
      <w:r w:rsidRPr="00EE1C42">
        <w:t>– 10</w:t>
      </w:r>
      <w:r w:rsidR="00D92115">
        <w:t> </w:t>
      </w:r>
      <w:r w:rsidR="00566C87">
        <w:t>81</w:t>
      </w:r>
      <w:r w:rsidR="00D92115">
        <w:t xml:space="preserve">4 </w:t>
      </w:r>
      <w:r w:rsidR="00833DB6">
        <w:t>tys.</w:t>
      </w:r>
      <w:r w:rsidRPr="00EE1C42">
        <w:t xml:space="preserve"> zł</w:t>
      </w:r>
      <w:r w:rsidR="00034A65">
        <w:t>,</w:t>
      </w:r>
    </w:p>
    <w:p w14:paraId="60DA8862" w14:textId="64A66121" w:rsidR="00CC65D9" w:rsidRDefault="00CC65D9" w:rsidP="004209C5">
      <w:pPr>
        <w:pStyle w:val="PKTpunkt"/>
        <w:numPr>
          <w:ilvl w:val="0"/>
          <w:numId w:val="18"/>
        </w:numPr>
      </w:pPr>
      <w:r w:rsidRPr="00EE1C42">
        <w:t xml:space="preserve">środki własne </w:t>
      </w:r>
      <w:r w:rsidR="00566C87">
        <w:t>i</w:t>
      </w:r>
      <w:r w:rsidRPr="00EE1C42">
        <w:t>nwestora</w:t>
      </w:r>
      <w:r w:rsidR="002E47A9">
        <w:t xml:space="preserve"> </w:t>
      </w:r>
      <w:r w:rsidRPr="00EE1C42">
        <w:t xml:space="preserve">– </w:t>
      </w:r>
      <w:r>
        <w:t>1</w:t>
      </w:r>
      <w:r w:rsidR="00833DB6">
        <w:t>2 tys.</w:t>
      </w:r>
      <w:r w:rsidRPr="00EE1C42">
        <w:t xml:space="preserve"> zł</w:t>
      </w:r>
      <w:r w:rsidR="00395B6C">
        <w:t>,</w:t>
      </w:r>
    </w:p>
    <w:p w14:paraId="2563DF87" w14:textId="731E65E0" w:rsidR="00395B6C" w:rsidRPr="00395B6C" w:rsidRDefault="00395B6C" w:rsidP="004209C5">
      <w:pPr>
        <w:pStyle w:val="PKTpunkt"/>
        <w:numPr>
          <w:ilvl w:val="0"/>
          <w:numId w:val="18"/>
        </w:numPr>
      </w:pPr>
      <w:r>
        <w:t xml:space="preserve">środki z innych źródeł – 0 </w:t>
      </w:r>
      <w:r w:rsidR="00833DB6">
        <w:t xml:space="preserve">tys. </w:t>
      </w:r>
      <w:r>
        <w:t>zł;</w:t>
      </w:r>
    </w:p>
    <w:p w14:paraId="3AAEF078" w14:textId="65E887E0" w:rsidR="00CC65D9" w:rsidRPr="00EE1C42" w:rsidRDefault="00CC65D9" w:rsidP="004209C5">
      <w:pPr>
        <w:pStyle w:val="PKTpunkt"/>
        <w:ind w:left="794"/>
      </w:pPr>
      <w:r>
        <w:t>3)</w:t>
      </w:r>
      <w:r>
        <w:tab/>
        <w:t>2021 r. – 20 </w:t>
      </w:r>
      <w:r w:rsidR="00535ECA">
        <w:t>317</w:t>
      </w:r>
      <w:r w:rsidRPr="00EE1C42">
        <w:t xml:space="preserve"> </w:t>
      </w:r>
      <w:r w:rsidR="00833DB6">
        <w:t>tys.</w:t>
      </w:r>
      <w:r w:rsidRPr="00EE1C42">
        <w:t xml:space="preserve"> zł, w tym:</w:t>
      </w:r>
    </w:p>
    <w:p w14:paraId="644BEF67" w14:textId="77693E41" w:rsidR="00CC65D9" w:rsidRPr="00EE1C42" w:rsidRDefault="00CC65D9" w:rsidP="004209C5">
      <w:pPr>
        <w:pStyle w:val="PKTpunkt"/>
        <w:numPr>
          <w:ilvl w:val="0"/>
          <w:numId w:val="19"/>
        </w:numPr>
      </w:pPr>
      <w:r w:rsidRPr="00EE1C42">
        <w:t>budżet państwa</w:t>
      </w:r>
      <w:r>
        <w:t xml:space="preserve"> </w:t>
      </w:r>
      <w:r w:rsidRPr="00EE1C42">
        <w:t xml:space="preserve">– </w:t>
      </w:r>
      <w:r w:rsidRPr="0092345F">
        <w:t>20</w:t>
      </w:r>
      <w:r w:rsidR="00833DB6">
        <w:t> </w:t>
      </w:r>
      <w:r w:rsidR="00566C87">
        <w:t>13</w:t>
      </w:r>
      <w:r w:rsidR="00001841">
        <w:t>5</w:t>
      </w:r>
      <w:r w:rsidR="00833DB6">
        <w:t xml:space="preserve"> tys.</w:t>
      </w:r>
      <w:r w:rsidRPr="00EE1C42">
        <w:t xml:space="preserve"> zł</w:t>
      </w:r>
      <w:r w:rsidR="00034A65">
        <w:t>,</w:t>
      </w:r>
    </w:p>
    <w:p w14:paraId="502C2B04" w14:textId="7DFEEC07" w:rsidR="00CC65D9" w:rsidRDefault="00CC65D9" w:rsidP="004209C5">
      <w:pPr>
        <w:pStyle w:val="PKTpunkt"/>
        <w:numPr>
          <w:ilvl w:val="0"/>
          <w:numId w:val="19"/>
        </w:numPr>
      </w:pPr>
      <w:r w:rsidRPr="00EE1C42">
        <w:t xml:space="preserve">środki własne </w:t>
      </w:r>
      <w:r w:rsidR="00566C87">
        <w:t>i</w:t>
      </w:r>
      <w:r w:rsidRPr="00EE1C42">
        <w:t>nwestora</w:t>
      </w:r>
      <w:r>
        <w:t xml:space="preserve"> </w:t>
      </w:r>
      <w:r w:rsidRPr="00EE1C42">
        <w:t>–</w:t>
      </w:r>
      <w:r>
        <w:t xml:space="preserve"> </w:t>
      </w:r>
      <w:r w:rsidRPr="00EE1C42">
        <w:t>1</w:t>
      </w:r>
      <w:r w:rsidR="00535ECA">
        <w:t>82</w:t>
      </w:r>
      <w:r w:rsidRPr="00EE1C42">
        <w:t xml:space="preserve"> </w:t>
      </w:r>
      <w:r w:rsidR="00833DB6">
        <w:t>tys.</w:t>
      </w:r>
      <w:r w:rsidRPr="00EE1C42">
        <w:t xml:space="preserve"> zł</w:t>
      </w:r>
      <w:r w:rsidR="00395B6C">
        <w:t>,</w:t>
      </w:r>
    </w:p>
    <w:p w14:paraId="10A55C51" w14:textId="70373397" w:rsidR="00395B6C" w:rsidRPr="00395B6C" w:rsidRDefault="00395B6C" w:rsidP="004209C5">
      <w:pPr>
        <w:pStyle w:val="PKTpunkt"/>
        <w:numPr>
          <w:ilvl w:val="0"/>
          <w:numId w:val="19"/>
        </w:numPr>
      </w:pPr>
      <w:r>
        <w:t xml:space="preserve">środki z innych źródeł – 0 </w:t>
      </w:r>
      <w:r w:rsidR="00833DB6">
        <w:t xml:space="preserve">tys. </w:t>
      </w:r>
      <w:r>
        <w:t>zł;</w:t>
      </w:r>
    </w:p>
    <w:p w14:paraId="497B282C" w14:textId="1A8B6E1F" w:rsidR="00CC65D9" w:rsidRPr="00EE1C42" w:rsidRDefault="00BB70FF" w:rsidP="004209C5">
      <w:pPr>
        <w:pStyle w:val="PKTpunkt"/>
        <w:ind w:left="794"/>
      </w:pPr>
      <w:r>
        <w:t>4)</w:t>
      </w:r>
      <w:r>
        <w:tab/>
        <w:t>2022 r. – 1</w:t>
      </w:r>
      <w:r w:rsidR="00001841">
        <w:t>1</w:t>
      </w:r>
      <w:r w:rsidR="00833DB6">
        <w:t> </w:t>
      </w:r>
      <w:r w:rsidR="00001841">
        <w:t>02</w:t>
      </w:r>
      <w:r w:rsidR="00833DB6">
        <w:t xml:space="preserve">5 tys. </w:t>
      </w:r>
      <w:r w:rsidR="00CC65D9" w:rsidRPr="00EE1C42">
        <w:t>zł</w:t>
      </w:r>
      <w:r w:rsidR="0076356B">
        <w:t>,</w:t>
      </w:r>
      <w:r w:rsidR="00CC65D9" w:rsidRPr="00EE1C42">
        <w:t xml:space="preserve"> w tym:</w:t>
      </w:r>
    </w:p>
    <w:p w14:paraId="14C0F328" w14:textId="171401C0" w:rsidR="00CC65D9" w:rsidRPr="00EE1C42" w:rsidRDefault="00CC65D9" w:rsidP="004209C5">
      <w:pPr>
        <w:pStyle w:val="PKTpunkt"/>
        <w:numPr>
          <w:ilvl w:val="0"/>
          <w:numId w:val="20"/>
        </w:numPr>
      </w:pPr>
      <w:r w:rsidRPr="00EE1C42">
        <w:t>budżet państwa</w:t>
      </w:r>
      <w:r w:rsidR="00BB70FF">
        <w:t xml:space="preserve"> – 10</w:t>
      </w:r>
      <w:r w:rsidR="00833DB6">
        <w:t> </w:t>
      </w:r>
      <w:r w:rsidR="00227DF0">
        <w:t>38</w:t>
      </w:r>
      <w:r w:rsidR="00833DB6">
        <w:t>2 tys.</w:t>
      </w:r>
      <w:r w:rsidRPr="00EE1C42">
        <w:t xml:space="preserve"> zł</w:t>
      </w:r>
      <w:r w:rsidR="00034A65">
        <w:t>,</w:t>
      </w:r>
    </w:p>
    <w:p w14:paraId="493D10D5" w14:textId="522EC155" w:rsidR="00CC65D9" w:rsidRDefault="00CC65D9" w:rsidP="004209C5">
      <w:pPr>
        <w:pStyle w:val="PKTpunkt"/>
        <w:numPr>
          <w:ilvl w:val="0"/>
          <w:numId w:val="20"/>
        </w:numPr>
      </w:pPr>
      <w:r w:rsidRPr="00EE1C42">
        <w:t xml:space="preserve">środki własne </w:t>
      </w:r>
      <w:r w:rsidR="009C392D">
        <w:t>i</w:t>
      </w:r>
      <w:r w:rsidRPr="00EE1C42">
        <w:t>nwestora</w:t>
      </w:r>
      <w:r>
        <w:t xml:space="preserve"> </w:t>
      </w:r>
      <w:r w:rsidRPr="00EE1C42">
        <w:t>–</w:t>
      </w:r>
      <w:r>
        <w:t xml:space="preserve"> </w:t>
      </w:r>
      <w:r w:rsidRPr="00EE1C42">
        <w:t>6</w:t>
      </w:r>
      <w:r w:rsidR="00DD49F6">
        <w:t>4</w:t>
      </w:r>
      <w:r w:rsidR="00833DB6">
        <w:t>3</w:t>
      </w:r>
      <w:r w:rsidR="00001841">
        <w:t xml:space="preserve"> </w:t>
      </w:r>
      <w:r w:rsidR="00833DB6">
        <w:t>tys.</w:t>
      </w:r>
      <w:r w:rsidRPr="00EE1C42">
        <w:t xml:space="preserve"> zł</w:t>
      </w:r>
      <w:r w:rsidR="00395B6C">
        <w:t>,</w:t>
      </w:r>
    </w:p>
    <w:p w14:paraId="3AF11077" w14:textId="10C31361" w:rsidR="00395B6C" w:rsidRPr="00395B6C" w:rsidRDefault="00395B6C" w:rsidP="004209C5">
      <w:pPr>
        <w:pStyle w:val="PKTpunkt"/>
        <w:numPr>
          <w:ilvl w:val="0"/>
          <w:numId w:val="20"/>
        </w:numPr>
      </w:pPr>
      <w:r>
        <w:t xml:space="preserve">środki z innych źródeł – 0 </w:t>
      </w:r>
      <w:r w:rsidR="00833DB6">
        <w:t xml:space="preserve">tys. </w:t>
      </w:r>
      <w:r>
        <w:t>zł;</w:t>
      </w:r>
    </w:p>
    <w:p w14:paraId="46BBAA46" w14:textId="720C4C43" w:rsidR="00CC65D9" w:rsidRPr="00EE1C42" w:rsidRDefault="00CC65D9" w:rsidP="004209C5">
      <w:pPr>
        <w:pStyle w:val="PKTpunkt"/>
        <w:ind w:left="794"/>
      </w:pPr>
      <w:r>
        <w:t>5)</w:t>
      </w:r>
      <w:r>
        <w:tab/>
        <w:t>2023 r. – 1</w:t>
      </w:r>
      <w:r w:rsidR="00395B6C">
        <w:t>7</w:t>
      </w:r>
      <w:r w:rsidR="00001841">
        <w:t> 59</w:t>
      </w:r>
      <w:r w:rsidR="00833DB6">
        <w:t>7</w:t>
      </w:r>
      <w:r w:rsidR="00001841">
        <w:t xml:space="preserve"> </w:t>
      </w:r>
      <w:r w:rsidR="00833DB6">
        <w:t>tys.</w:t>
      </w:r>
      <w:r w:rsidRPr="00EE1C42">
        <w:t xml:space="preserve"> zł</w:t>
      </w:r>
      <w:r w:rsidR="0076356B">
        <w:t>,</w:t>
      </w:r>
      <w:r w:rsidRPr="00EE1C42">
        <w:t xml:space="preserve"> w tym:</w:t>
      </w:r>
    </w:p>
    <w:p w14:paraId="288012AD" w14:textId="3E205037" w:rsidR="00CC65D9" w:rsidRPr="00EE1C42" w:rsidRDefault="00CC65D9" w:rsidP="004209C5">
      <w:pPr>
        <w:pStyle w:val="PKTpunkt"/>
        <w:numPr>
          <w:ilvl w:val="0"/>
          <w:numId w:val="21"/>
        </w:numPr>
      </w:pPr>
      <w:r w:rsidRPr="00EE1C42">
        <w:t>budżet państwa</w:t>
      </w:r>
      <w:r>
        <w:t xml:space="preserve"> </w:t>
      </w:r>
      <w:r w:rsidRPr="00EE1C42">
        <w:t xml:space="preserve">– </w:t>
      </w:r>
      <w:r w:rsidR="00395B6C">
        <w:t>17</w:t>
      </w:r>
      <w:r w:rsidR="00001841">
        <w:t> </w:t>
      </w:r>
      <w:r w:rsidR="00395B6C">
        <w:t>11</w:t>
      </w:r>
      <w:r w:rsidR="00833DB6">
        <w:t>4</w:t>
      </w:r>
      <w:r w:rsidR="00001841">
        <w:t xml:space="preserve"> </w:t>
      </w:r>
      <w:r w:rsidR="00833DB6">
        <w:t>tys.</w:t>
      </w:r>
      <w:r w:rsidRPr="00EE1C42">
        <w:t xml:space="preserve"> zł</w:t>
      </w:r>
      <w:r w:rsidR="00034A65">
        <w:t>,</w:t>
      </w:r>
    </w:p>
    <w:p w14:paraId="5459491E" w14:textId="0F7A2C49" w:rsidR="00CC65D9" w:rsidRDefault="00CC65D9" w:rsidP="004209C5">
      <w:pPr>
        <w:pStyle w:val="PKTpunkt"/>
        <w:numPr>
          <w:ilvl w:val="0"/>
          <w:numId w:val="21"/>
        </w:numPr>
      </w:pPr>
      <w:r w:rsidRPr="00EE1C42">
        <w:t xml:space="preserve">środki własne </w:t>
      </w:r>
      <w:r w:rsidR="007F449B">
        <w:t>i</w:t>
      </w:r>
      <w:r w:rsidRPr="00EE1C42">
        <w:t>nwestora</w:t>
      </w:r>
      <w:r>
        <w:t xml:space="preserve"> </w:t>
      </w:r>
      <w:r w:rsidRPr="00EE1C42">
        <w:t>–</w:t>
      </w:r>
      <w:r w:rsidR="009C392D">
        <w:t xml:space="preserve"> </w:t>
      </w:r>
      <w:r w:rsidR="00DD49F6">
        <w:t>4</w:t>
      </w:r>
      <w:r w:rsidR="00395B6C">
        <w:t>83</w:t>
      </w:r>
      <w:r w:rsidR="00001841">
        <w:t xml:space="preserve"> </w:t>
      </w:r>
      <w:r w:rsidR="00833DB6">
        <w:t>tys.</w:t>
      </w:r>
      <w:r w:rsidRPr="00EE1C42">
        <w:t xml:space="preserve"> zł</w:t>
      </w:r>
      <w:r w:rsidR="00395B6C">
        <w:t>,</w:t>
      </w:r>
    </w:p>
    <w:p w14:paraId="1DF4BFDE" w14:textId="26CB3CE4" w:rsidR="00395B6C" w:rsidRDefault="00395B6C" w:rsidP="004209C5">
      <w:pPr>
        <w:pStyle w:val="PKTpunkt"/>
        <w:numPr>
          <w:ilvl w:val="0"/>
          <w:numId w:val="21"/>
        </w:numPr>
      </w:pPr>
      <w:r>
        <w:t>środki z innych źródeł – 0 zł;</w:t>
      </w:r>
    </w:p>
    <w:p w14:paraId="0056EEAD" w14:textId="6F04FA7E" w:rsidR="00CC65D9" w:rsidRPr="00EE1C42" w:rsidRDefault="00CC65D9" w:rsidP="004209C5">
      <w:pPr>
        <w:pStyle w:val="PKTpunkt"/>
        <w:ind w:left="794"/>
      </w:pPr>
      <w:r w:rsidRPr="00EE1C42">
        <w:t>6)</w:t>
      </w:r>
      <w:r w:rsidRPr="00EE1C42">
        <w:tab/>
        <w:t>2024 r.</w:t>
      </w:r>
      <w:r>
        <w:t xml:space="preserve"> </w:t>
      </w:r>
      <w:r w:rsidRPr="00EE1C42">
        <w:t xml:space="preserve">– </w:t>
      </w:r>
      <w:r w:rsidR="00A95369">
        <w:t>16</w:t>
      </w:r>
      <w:r w:rsidR="00343289">
        <w:t>3 033</w:t>
      </w:r>
      <w:r w:rsidR="00833DB6">
        <w:t xml:space="preserve"> tys.</w:t>
      </w:r>
      <w:r w:rsidRPr="00EE1C42">
        <w:t xml:space="preserve"> zł, w tym:</w:t>
      </w:r>
    </w:p>
    <w:p w14:paraId="220F101B" w14:textId="3D560335" w:rsidR="00CC65D9" w:rsidRPr="00EE1C42" w:rsidRDefault="00CC65D9" w:rsidP="004209C5">
      <w:pPr>
        <w:pStyle w:val="PKTpunkt"/>
        <w:numPr>
          <w:ilvl w:val="0"/>
          <w:numId w:val="22"/>
        </w:numPr>
      </w:pPr>
      <w:r w:rsidRPr="00EE1C42">
        <w:t>budżet państwa</w:t>
      </w:r>
      <w:r>
        <w:t xml:space="preserve"> </w:t>
      </w:r>
      <w:r w:rsidRPr="00EE1C42">
        <w:t xml:space="preserve">– </w:t>
      </w:r>
      <w:r w:rsidR="00A95369">
        <w:t>1</w:t>
      </w:r>
      <w:r w:rsidR="00AB7D92">
        <w:t>58 122</w:t>
      </w:r>
      <w:r w:rsidR="007A23DF">
        <w:t xml:space="preserve"> </w:t>
      </w:r>
      <w:r w:rsidR="00833DB6">
        <w:t>tys.</w:t>
      </w:r>
      <w:r w:rsidRPr="00EE1C42">
        <w:t xml:space="preserve"> zł</w:t>
      </w:r>
      <w:r w:rsidR="00034A65">
        <w:t>,</w:t>
      </w:r>
    </w:p>
    <w:p w14:paraId="36E9AA90" w14:textId="42CFFE3D" w:rsidR="00CC65D9" w:rsidRDefault="00CC65D9" w:rsidP="004209C5">
      <w:pPr>
        <w:pStyle w:val="PKTpunkt"/>
        <w:numPr>
          <w:ilvl w:val="0"/>
          <w:numId w:val="22"/>
        </w:numPr>
      </w:pPr>
      <w:r w:rsidRPr="00EE1C42">
        <w:t xml:space="preserve">środki własne </w:t>
      </w:r>
      <w:r w:rsidR="009C392D">
        <w:t>i</w:t>
      </w:r>
      <w:r w:rsidRPr="00EE1C42">
        <w:t>nwestora</w:t>
      </w:r>
      <w:r>
        <w:t xml:space="preserve"> – </w:t>
      </w:r>
      <w:r w:rsidR="00343289">
        <w:t>3 297</w:t>
      </w:r>
      <w:r w:rsidR="004F5EDA">
        <w:t xml:space="preserve"> </w:t>
      </w:r>
      <w:r w:rsidR="00833DB6">
        <w:t>tys.</w:t>
      </w:r>
      <w:r w:rsidRPr="00EE1C42">
        <w:t xml:space="preserve"> zł</w:t>
      </w:r>
      <w:r w:rsidR="00CC1FA4">
        <w:t>,</w:t>
      </w:r>
    </w:p>
    <w:p w14:paraId="0CF29CBA" w14:textId="39A5ADD2" w:rsidR="00CC1FA4" w:rsidRPr="00CC1FA4" w:rsidRDefault="00CC1FA4" w:rsidP="004209C5">
      <w:pPr>
        <w:pStyle w:val="PKTpunkt"/>
        <w:numPr>
          <w:ilvl w:val="0"/>
          <w:numId w:val="22"/>
        </w:numPr>
      </w:pPr>
      <w:r>
        <w:t xml:space="preserve">środki z innych źródeł – </w:t>
      </w:r>
      <w:r w:rsidR="00AB7D92">
        <w:t>1 614</w:t>
      </w:r>
      <w:r w:rsidR="004F5EDA">
        <w:t xml:space="preserve"> </w:t>
      </w:r>
      <w:r w:rsidR="00833DB6">
        <w:t>tys.</w:t>
      </w:r>
      <w:r>
        <w:t xml:space="preserve"> zł;</w:t>
      </w:r>
    </w:p>
    <w:p w14:paraId="3D411481" w14:textId="5CD69E99" w:rsidR="00CC65D9" w:rsidRPr="00EE1C42" w:rsidRDefault="00F25E45" w:rsidP="004209C5">
      <w:pPr>
        <w:pStyle w:val="PKTpunkt"/>
        <w:ind w:left="794"/>
      </w:pPr>
      <w:r>
        <w:t>7)</w:t>
      </w:r>
      <w:r>
        <w:tab/>
        <w:t xml:space="preserve">2025 r. – </w:t>
      </w:r>
      <w:r w:rsidR="00A95369">
        <w:t>2</w:t>
      </w:r>
      <w:r w:rsidR="002B4BAB">
        <w:t>6</w:t>
      </w:r>
      <w:r w:rsidR="00343289">
        <w:t>6 914</w:t>
      </w:r>
      <w:r w:rsidR="00AB7D92">
        <w:t xml:space="preserve"> </w:t>
      </w:r>
      <w:r w:rsidR="00833DB6">
        <w:t>tys.</w:t>
      </w:r>
      <w:r w:rsidR="00BE3884">
        <w:t xml:space="preserve"> zł</w:t>
      </w:r>
      <w:r w:rsidR="0076356B">
        <w:t>,</w:t>
      </w:r>
      <w:r w:rsidR="00CC65D9" w:rsidRPr="00EE1C42">
        <w:t xml:space="preserve"> w tym:</w:t>
      </w:r>
    </w:p>
    <w:p w14:paraId="04BC6991" w14:textId="210288EF" w:rsidR="00CC65D9" w:rsidRPr="00EE1C42" w:rsidRDefault="00CC65D9" w:rsidP="004209C5">
      <w:pPr>
        <w:pStyle w:val="PKTpunkt"/>
        <w:numPr>
          <w:ilvl w:val="0"/>
          <w:numId w:val="23"/>
        </w:numPr>
      </w:pPr>
      <w:r w:rsidRPr="00EE1C42">
        <w:t>budżet państwa</w:t>
      </w:r>
      <w:r>
        <w:t xml:space="preserve"> </w:t>
      </w:r>
      <w:r w:rsidRPr="00EE1C42">
        <w:t xml:space="preserve">– </w:t>
      </w:r>
      <w:r w:rsidR="00A95369">
        <w:t>264 385</w:t>
      </w:r>
      <w:r w:rsidR="00C96B7B">
        <w:t xml:space="preserve"> </w:t>
      </w:r>
      <w:r w:rsidR="00833DB6">
        <w:t>tys.</w:t>
      </w:r>
      <w:r w:rsidRPr="00EE1C42">
        <w:t xml:space="preserve"> zł</w:t>
      </w:r>
      <w:r w:rsidR="00034A65">
        <w:t>,</w:t>
      </w:r>
    </w:p>
    <w:p w14:paraId="7132FC12" w14:textId="5BBFA106" w:rsidR="0013275A" w:rsidRDefault="00CC65D9" w:rsidP="004209C5">
      <w:pPr>
        <w:pStyle w:val="PKTpunkt"/>
        <w:numPr>
          <w:ilvl w:val="0"/>
          <w:numId w:val="23"/>
        </w:numPr>
      </w:pPr>
      <w:r w:rsidRPr="00EE1C42">
        <w:t xml:space="preserve">środki własne </w:t>
      </w:r>
      <w:r w:rsidR="0013275A">
        <w:t>i</w:t>
      </w:r>
      <w:r w:rsidRPr="00EE1C42">
        <w:t>nwestora</w:t>
      </w:r>
      <w:r>
        <w:t xml:space="preserve"> </w:t>
      </w:r>
      <w:r w:rsidRPr="00EE1C42">
        <w:t>–</w:t>
      </w:r>
      <w:r w:rsidR="00F25E45">
        <w:t xml:space="preserve"> </w:t>
      </w:r>
      <w:r w:rsidR="00343289">
        <w:t>2 529</w:t>
      </w:r>
      <w:r w:rsidR="00833DB6">
        <w:t xml:space="preserve"> tys.</w:t>
      </w:r>
      <w:r w:rsidR="0013275A">
        <w:t xml:space="preserve"> zł</w:t>
      </w:r>
      <w:r w:rsidR="00E52E3E">
        <w:t>,</w:t>
      </w:r>
    </w:p>
    <w:p w14:paraId="785D9229" w14:textId="240A2A4E" w:rsidR="00E52E3E" w:rsidRPr="00E52E3E" w:rsidRDefault="00E52E3E" w:rsidP="004209C5">
      <w:pPr>
        <w:pStyle w:val="PKTpunkt"/>
        <w:numPr>
          <w:ilvl w:val="0"/>
          <w:numId w:val="23"/>
        </w:numPr>
      </w:pPr>
      <w:r>
        <w:t xml:space="preserve">środki z innych źródeł – </w:t>
      </w:r>
      <w:r w:rsidR="002B4BAB">
        <w:t>0</w:t>
      </w:r>
      <w:r w:rsidR="004F5EDA">
        <w:t xml:space="preserve"> </w:t>
      </w:r>
      <w:r w:rsidR="00833DB6">
        <w:t xml:space="preserve">tys. </w:t>
      </w:r>
      <w:r>
        <w:t>zł;</w:t>
      </w:r>
    </w:p>
    <w:p w14:paraId="03189602" w14:textId="308F41F4" w:rsidR="0013275A" w:rsidRDefault="0013275A" w:rsidP="004209C5">
      <w:pPr>
        <w:pStyle w:val="PKTpunkt"/>
        <w:ind w:left="794"/>
      </w:pPr>
      <w:r>
        <w:t>8)</w:t>
      </w:r>
      <w:r>
        <w:tab/>
        <w:t xml:space="preserve">2026 r. – </w:t>
      </w:r>
      <w:r w:rsidR="00BB70FF">
        <w:t>2</w:t>
      </w:r>
      <w:r w:rsidR="00A95369">
        <w:t>1</w:t>
      </w:r>
      <w:r w:rsidR="00E4496D">
        <w:t>8</w:t>
      </w:r>
      <w:r w:rsidR="00A95369">
        <w:t xml:space="preserve"> </w:t>
      </w:r>
      <w:r w:rsidR="00C7269C">
        <w:t>620 zł</w:t>
      </w:r>
      <w:r w:rsidR="0076356B">
        <w:t>,</w:t>
      </w:r>
      <w:r w:rsidR="007D2317">
        <w:t xml:space="preserve"> w tym:</w:t>
      </w:r>
    </w:p>
    <w:p w14:paraId="042333CB" w14:textId="394039FD" w:rsidR="0013275A" w:rsidRDefault="00BB70FF" w:rsidP="004209C5">
      <w:pPr>
        <w:pStyle w:val="PKTpunkt"/>
        <w:numPr>
          <w:ilvl w:val="0"/>
          <w:numId w:val="24"/>
        </w:numPr>
      </w:pPr>
      <w:r>
        <w:t xml:space="preserve">budżet państwa – </w:t>
      </w:r>
      <w:r w:rsidR="00227DF0">
        <w:t>2</w:t>
      </w:r>
      <w:r w:rsidR="00A95369">
        <w:t>1</w:t>
      </w:r>
      <w:r w:rsidR="00E4496D">
        <w:t>6</w:t>
      </w:r>
      <w:r w:rsidR="00A95369">
        <w:t xml:space="preserve"> 751</w:t>
      </w:r>
      <w:r w:rsidR="002E2209">
        <w:t xml:space="preserve"> tys.</w:t>
      </w:r>
      <w:r w:rsidR="0013275A">
        <w:t xml:space="preserve"> zł</w:t>
      </w:r>
      <w:r w:rsidR="00034A65">
        <w:t>,</w:t>
      </w:r>
    </w:p>
    <w:p w14:paraId="65FFB9FD" w14:textId="67B28A94" w:rsidR="0013275A" w:rsidRDefault="0013275A" w:rsidP="004209C5">
      <w:pPr>
        <w:pStyle w:val="PKTpunkt"/>
        <w:numPr>
          <w:ilvl w:val="0"/>
          <w:numId w:val="24"/>
        </w:numPr>
      </w:pPr>
      <w:r>
        <w:t xml:space="preserve">środki własne inwestora </w:t>
      </w:r>
      <w:r w:rsidR="00BB70FF">
        <w:t xml:space="preserve">– </w:t>
      </w:r>
      <w:r w:rsidR="007959FF">
        <w:t>1 8</w:t>
      </w:r>
      <w:r w:rsidR="00DD49F6">
        <w:t>6</w:t>
      </w:r>
      <w:r w:rsidR="002E2209">
        <w:t>9 tys.</w:t>
      </w:r>
      <w:r>
        <w:t xml:space="preserve"> zł</w:t>
      </w:r>
      <w:r w:rsidR="00E52E3E">
        <w:t>,</w:t>
      </w:r>
    </w:p>
    <w:p w14:paraId="548E1F1F" w14:textId="5E1CCCC5" w:rsidR="00E52E3E" w:rsidRDefault="00E52E3E" w:rsidP="004209C5">
      <w:pPr>
        <w:pStyle w:val="PKTpunkt"/>
        <w:numPr>
          <w:ilvl w:val="0"/>
          <w:numId w:val="24"/>
        </w:numPr>
      </w:pPr>
      <w:r>
        <w:lastRenderedPageBreak/>
        <w:t xml:space="preserve">środki z innych źródeł – 0 </w:t>
      </w:r>
      <w:r w:rsidR="002E2209">
        <w:t xml:space="preserve">tys. </w:t>
      </w:r>
      <w:r>
        <w:t>zł</w:t>
      </w:r>
      <w:r w:rsidR="00294925">
        <w:t>;</w:t>
      </w:r>
    </w:p>
    <w:p w14:paraId="01F6A431" w14:textId="02E1F67A" w:rsidR="00A95369" w:rsidRDefault="00A95369" w:rsidP="004209C5">
      <w:pPr>
        <w:pStyle w:val="PKTpunkt"/>
        <w:ind w:left="794"/>
      </w:pPr>
      <w:r>
        <w:t>9)</w:t>
      </w:r>
      <w:r>
        <w:tab/>
        <w:t>2027 r. –</w:t>
      </w:r>
      <w:r w:rsidR="00E4496D">
        <w:t xml:space="preserve"> </w:t>
      </w:r>
      <w:r w:rsidR="00F11E65">
        <w:t>104 39</w:t>
      </w:r>
      <w:r w:rsidR="000E08DC">
        <w:t>5</w:t>
      </w:r>
      <w:r w:rsidR="0070721A">
        <w:t xml:space="preserve"> </w:t>
      </w:r>
      <w:r>
        <w:t>tys. zł</w:t>
      </w:r>
      <w:r w:rsidR="0076356B">
        <w:t>,</w:t>
      </w:r>
      <w:r>
        <w:t xml:space="preserve"> w tym:</w:t>
      </w:r>
    </w:p>
    <w:p w14:paraId="5BD27001" w14:textId="11E877F6" w:rsidR="00A95369" w:rsidRDefault="00A95369" w:rsidP="0076356B">
      <w:pPr>
        <w:pStyle w:val="PKTpunkt"/>
        <w:numPr>
          <w:ilvl w:val="0"/>
          <w:numId w:val="34"/>
        </w:numPr>
      </w:pPr>
      <w:r>
        <w:t xml:space="preserve">budżet państwa – </w:t>
      </w:r>
      <w:r w:rsidR="00AB7D92">
        <w:t>104 39</w:t>
      </w:r>
      <w:r w:rsidR="000E08DC">
        <w:t>5</w:t>
      </w:r>
      <w:r>
        <w:t xml:space="preserve"> tys. zł,</w:t>
      </w:r>
    </w:p>
    <w:p w14:paraId="15A1CF69" w14:textId="1E4EDC68" w:rsidR="00A95369" w:rsidRDefault="00A95369" w:rsidP="0076356B">
      <w:pPr>
        <w:pStyle w:val="PKTpunkt"/>
        <w:numPr>
          <w:ilvl w:val="0"/>
          <w:numId w:val="34"/>
        </w:numPr>
      </w:pPr>
      <w:r>
        <w:t>środki własne inwestora – 0 tys. zł,</w:t>
      </w:r>
    </w:p>
    <w:p w14:paraId="33CF17AE" w14:textId="526A328F" w:rsidR="00A95369" w:rsidRDefault="00A95369" w:rsidP="0076356B">
      <w:pPr>
        <w:pStyle w:val="PKTpunkt"/>
        <w:numPr>
          <w:ilvl w:val="0"/>
          <w:numId w:val="34"/>
        </w:numPr>
      </w:pPr>
      <w:r>
        <w:t>środki z innych źródeł – 0 tys. zł.”</w:t>
      </w:r>
      <w:r w:rsidR="00294925">
        <w:t>;</w:t>
      </w:r>
    </w:p>
    <w:p w14:paraId="56A9CA43" w14:textId="3412B34A" w:rsidR="0013275A" w:rsidRDefault="00034A65" w:rsidP="004209C5">
      <w:pPr>
        <w:pStyle w:val="ARTartustawynprozporzdzenia"/>
        <w:numPr>
          <w:ilvl w:val="0"/>
          <w:numId w:val="3"/>
        </w:numPr>
        <w:ind w:left="284" w:hanging="284"/>
      </w:pPr>
      <w:r>
        <w:t>załącznik do uchwały</w:t>
      </w:r>
      <w:r w:rsidR="009D4326">
        <w:t xml:space="preserve"> otrzymuje brzmienie określone w załączniku do niniejszej uchwały</w:t>
      </w:r>
      <w:r w:rsidR="00CA7B14">
        <w:t>.</w:t>
      </w:r>
    </w:p>
    <w:p w14:paraId="43CC3F6F" w14:textId="58F82557" w:rsidR="009D4326" w:rsidRDefault="00810671" w:rsidP="00810671">
      <w:pPr>
        <w:pStyle w:val="ARTartustawynprozporzdzenia"/>
        <w:ind w:firstLine="0"/>
      </w:pPr>
      <w:r w:rsidRPr="00810671">
        <w:rPr>
          <w:rFonts w:cs="Times"/>
          <w:b/>
          <w:bCs/>
        </w:rPr>
        <w:t>§</w:t>
      </w:r>
      <w:r w:rsidRPr="00810671">
        <w:rPr>
          <w:b/>
          <w:bCs/>
        </w:rPr>
        <w:t xml:space="preserve"> 2.</w:t>
      </w:r>
      <w:r w:rsidR="00CC65D9" w:rsidRPr="00EE1C42">
        <w:t xml:space="preserve"> Uchwała wchodzi w życie z dniem podjęcia.</w:t>
      </w:r>
    </w:p>
    <w:p w14:paraId="2A4EDCBE" w14:textId="77777777" w:rsidR="004924C3" w:rsidRDefault="004924C3" w:rsidP="00810671">
      <w:pPr>
        <w:pStyle w:val="ARTartustawynprozporzdzenia"/>
        <w:ind w:firstLine="0"/>
      </w:pPr>
    </w:p>
    <w:p w14:paraId="0DD1EA46" w14:textId="0766E126" w:rsidR="009D4326" w:rsidRDefault="009D4326" w:rsidP="009D4326">
      <w:pPr>
        <w:pStyle w:val="ARTartustawynprozporzdzenia"/>
        <w:ind w:left="4248" w:firstLine="708"/>
        <w:rPr>
          <w:b/>
          <w:bCs/>
        </w:rPr>
      </w:pPr>
      <w:r>
        <w:rPr>
          <w:b/>
          <w:bCs/>
        </w:rPr>
        <w:t>PREZES RADY MINISTRÓW</w:t>
      </w:r>
    </w:p>
    <w:p w14:paraId="450856D5" w14:textId="051B955E" w:rsidR="009D4326" w:rsidRPr="009D4326" w:rsidRDefault="009D4326" w:rsidP="009D4326">
      <w:pPr>
        <w:pStyle w:val="ARTartustawynprozporzdzenia"/>
        <w:ind w:left="4248" w:firstLine="708"/>
        <w:rPr>
          <w:b/>
          <w:bCs/>
        </w:rPr>
      </w:pPr>
      <w:r>
        <w:rPr>
          <w:b/>
          <w:bCs/>
        </w:rPr>
        <w:t xml:space="preserve"> </w:t>
      </w:r>
      <w:r w:rsidR="00E52E3E">
        <w:rPr>
          <w:b/>
          <w:bCs/>
        </w:rPr>
        <w:t xml:space="preserve">          </w:t>
      </w:r>
    </w:p>
    <w:bookmarkEnd w:id="1"/>
    <w:p w14:paraId="23ADEE19" w14:textId="77777777" w:rsidR="00F61F0D" w:rsidRDefault="00F61F0D">
      <w:pPr>
        <w:widowControl/>
        <w:autoSpaceDE/>
        <w:autoSpaceDN/>
        <w:adjustRightInd/>
        <w:spacing w:after="160" w:line="259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14:paraId="6FB9C48D" w14:textId="174741A4" w:rsidR="00764496" w:rsidRDefault="00764496" w:rsidP="00764496">
      <w:pPr>
        <w:jc w:val="center"/>
        <w:rPr>
          <w:rFonts w:eastAsiaTheme="minorHAnsi"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UZASADNIENIE</w:t>
      </w:r>
    </w:p>
    <w:p w14:paraId="70089B78" w14:textId="6BB6FB65" w:rsidR="009C07A6" w:rsidRDefault="0086740D" w:rsidP="00513604">
      <w:pPr>
        <w:ind w:firstLine="142"/>
        <w:jc w:val="both"/>
        <w:rPr>
          <w:rFonts w:cs="Times New Roman"/>
          <w:bCs/>
          <w:szCs w:val="24"/>
        </w:rPr>
      </w:pPr>
      <w:bookmarkStart w:id="4" w:name="_Hlk157617913"/>
      <w:r>
        <w:rPr>
          <w:rFonts w:cs="Times New Roman"/>
          <w:bCs/>
          <w:szCs w:val="24"/>
        </w:rPr>
        <w:t>Celem</w:t>
      </w:r>
      <w:r w:rsidR="00A21E4D" w:rsidRPr="00513604">
        <w:rPr>
          <w:rFonts w:cs="Times New Roman"/>
          <w:bCs/>
          <w:szCs w:val="24"/>
        </w:rPr>
        <w:t xml:space="preserve"> </w:t>
      </w:r>
      <w:r w:rsidRPr="0086740D">
        <w:rPr>
          <w:rFonts w:cs="Times New Roman"/>
          <w:bCs/>
          <w:szCs w:val="24"/>
        </w:rPr>
        <w:t>projektowanej uchwały Rady Ministrów</w:t>
      </w:r>
      <w:r w:rsidR="00C31787">
        <w:rPr>
          <w:rFonts w:cs="Times New Roman"/>
          <w:bCs/>
          <w:szCs w:val="24"/>
        </w:rPr>
        <w:t xml:space="preserve"> </w:t>
      </w:r>
      <w:r w:rsidRPr="0086740D">
        <w:rPr>
          <w:rFonts w:cs="Times New Roman"/>
          <w:bCs/>
          <w:szCs w:val="24"/>
        </w:rPr>
        <w:t>jest zmiana programu wieloletniego pod nazwą „Rozbudowa wraz z modernizacją Pomorskiego Uniwersytetu Medycznego w</w:t>
      </w:r>
      <w:r w:rsidR="00BE0770">
        <w:rPr>
          <w:rFonts w:cs="Times New Roman"/>
          <w:bCs/>
          <w:szCs w:val="24"/>
        </w:rPr>
        <w:t> </w:t>
      </w:r>
      <w:r w:rsidRPr="0086740D">
        <w:rPr>
          <w:rFonts w:cs="Times New Roman"/>
          <w:bCs/>
          <w:szCs w:val="24"/>
        </w:rPr>
        <w:t>Szczecinie</w:t>
      </w:r>
      <w:r>
        <w:rPr>
          <w:rFonts w:cs="Times New Roman"/>
          <w:bCs/>
          <w:szCs w:val="24"/>
        </w:rPr>
        <w:t xml:space="preserve"> </w:t>
      </w:r>
      <w:r w:rsidRPr="0086740D">
        <w:rPr>
          <w:rFonts w:cs="Times New Roman"/>
          <w:bCs/>
          <w:szCs w:val="24"/>
        </w:rPr>
        <w:t>i Samodzielnego Publicznego Szpitala Klinicznego Nr 1 w</w:t>
      </w:r>
      <w:r w:rsidR="003D5676">
        <w:rPr>
          <w:rFonts w:cs="Times New Roman"/>
          <w:bCs/>
          <w:szCs w:val="24"/>
        </w:rPr>
        <w:t> </w:t>
      </w:r>
      <w:r w:rsidRPr="0086740D">
        <w:rPr>
          <w:rFonts w:cs="Times New Roman"/>
          <w:bCs/>
          <w:szCs w:val="24"/>
        </w:rPr>
        <w:t>Szczecinie w zakresie kliniczno-dydaktycznym i medycznych wdrożeń innowacyjnych”</w:t>
      </w:r>
      <w:r>
        <w:rPr>
          <w:rFonts w:cs="Times New Roman"/>
          <w:bCs/>
          <w:szCs w:val="24"/>
        </w:rPr>
        <w:t>, zwanego dalej „Programem”</w:t>
      </w:r>
      <w:r w:rsidR="006026E6">
        <w:rPr>
          <w:rFonts w:cs="Times New Roman"/>
          <w:bCs/>
          <w:szCs w:val="24"/>
        </w:rPr>
        <w:t>,</w:t>
      </w:r>
      <w:r w:rsidR="000268DC" w:rsidRPr="000268DC">
        <w:rPr>
          <w:rFonts w:cs="Times New Roman"/>
          <w:bCs/>
          <w:szCs w:val="24"/>
        </w:rPr>
        <w:t xml:space="preserve"> </w:t>
      </w:r>
      <w:r w:rsidR="00BA7503">
        <w:rPr>
          <w:rFonts w:cs="Times New Roman"/>
          <w:bCs/>
          <w:szCs w:val="24"/>
        </w:rPr>
        <w:t>związana z koniecznością</w:t>
      </w:r>
      <w:r w:rsidR="009C07A6">
        <w:rPr>
          <w:rFonts w:cs="Times New Roman"/>
          <w:bCs/>
          <w:szCs w:val="24"/>
        </w:rPr>
        <w:t>:</w:t>
      </w:r>
      <w:r>
        <w:rPr>
          <w:rFonts w:cs="Times New Roman"/>
          <w:bCs/>
          <w:szCs w:val="24"/>
        </w:rPr>
        <w:t xml:space="preserve"> </w:t>
      </w:r>
    </w:p>
    <w:p w14:paraId="4AB58D16" w14:textId="488D16A6" w:rsidR="00810846" w:rsidRPr="00810846" w:rsidRDefault="00A21E4D" w:rsidP="00810846">
      <w:pPr>
        <w:pStyle w:val="Akapitzlist"/>
        <w:numPr>
          <w:ilvl w:val="0"/>
          <w:numId w:val="26"/>
        </w:numPr>
        <w:jc w:val="both"/>
        <w:rPr>
          <w:rFonts w:cs="Times New Roman"/>
          <w:szCs w:val="24"/>
        </w:rPr>
      </w:pPr>
      <w:r w:rsidRPr="009C07A6">
        <w:rPr>
          <w:rFonts w:cs="Times New Roman"/>
          <w:bCs/>
          <w:szCs w:val="24"/>
        </w:rPr>
        <w:t>zwiększenia Wartości Kosztorysowej Inwestycji, zwane</w:t>
      </w:r>
      <w:r w:rsidR="0086740D" w:rsidRPr="009C07A6">
        <w:rPr>
          <w:rFonts w:cs="Times New Roman"/>
          <w:bCs/>
          <w:szCs w:val="24"/>
        </w:rPr>
        <w:t>j</w:t>
      </w:r>
      <w:r w:rsidRPr="009C07A6">
        <w:rPr>
          <w:rFonts w:cs="Times New Roman"/>
          <w:bCs/>
          <w:szCs w:val="24"/>
        </w:rPr>
        <w:t xml:space="preserve"> dalej „WKI”</w:t>
      </w:r>
      <w:r w:rsidR="00810846">
        <w:rPr>
          <w:rFonts w:cs="Times New Roman"/>
          <w:bCs/>
          <w:szCs w:val="24"/>
        </w:rPr>
        <w:t xml:space="preserve">, </w:t>
      </w:r>
      <w:r w:rsidR="00810846" w:rsidRPr="00810846">
        <w:rPr>
          <w:rFonts w:cs="Times New Roman"/>
          <w:szCs w:val="24"/>
        </w:rPr>
        <w:t>przez wzrost udziału środków własnych oraz środków termomodernizacyjnych z Wojewódzkiego Funduszu Ochrony Środowiska i Gospodarki Wodnej w Szczecinie, zwanego dalej „</w:t>
      </w:r>
      <w:proofErr w:type="spellStart"/>
      <w:r w:rsidR="00810846" w:rsidRPr="00810846">
        <w:rPr>
          <w:rFonts w:cs="Times New Roman"/>
          <w:szCs w:val="24"/>
        </w:rPr>
        <w:t>WFOŚiGW</w:t>
      </w:r>
      <w:proofErr w:type="spellEnd"/>
      <w:r w:rsidR="00810846" w:rsidRPr="00810846">
        <w:rPr>
          <w:rFonts w:cs="Times New Roman"/>
          <w:szCs w:val="24"/>
        </w:rPr>
        <w:t>”, dostosowując ich wysokość do wielkości wynikających z ww. harmonogramów, bez zmiany wielkości środków z budżetu państwa przyznanych uchwałą nr 127/2023 Rady Ministrów z dnia 5 lipca 2023 r. zmieniając</w:t>
      </w:r>
      <w:r w:rsidR="00BA7503">
        <w:rPr>
          <w:rFonts w:cs="Times New Roman"/>
          <w:szCs w:val="24"/>
        </w:rPr>
        <w:t>ą</w:t>
      </w:r>
      <w:r w:rsidR="00810846" w:rsidRPr="00810846">
        <w:rPr>
          <w:rFonts w:cs="Times New Roman"/>
          <w:szCs w:val="24"/>
        </w:rPr>
        <w:t xml:space="preserve"> uchwałę w</w:t>
      </w:r>
      <w:r w:rsidR="00BA7503">
        <w:rPr>
          <w:rFonts w:cs="Times New Roman"/>
          <w:szCs w:val="24"/>
        </w:rPr>
        <w:t> </w:t>
      </w:r>
      <w:r w:rsidR="00810846" w:rsidRPr="00810846">
        <w:rPr>
          <w:rFonts w:cs="Times New Roman"/>
          <w:szCs w:val="24"/>
        </w:rPr>
        <w:t>sprawie ustanowienia programu wieloletniego pod nazwą „Rozbudowa wraz z</w:t>
      </w:r>
      <w:r w:rsidR="00BA7503">
        <w:rPr>
          <w:rFonts w:cs="Times New Roman"/>
          <w:szCs w:val="24"/>
        </w:rPr>
        <w:t> </w:t>
      </w:r>
      <w:r w:rsidR="00810846" w:rsidRPr="00810846">
        <w:rPr>
          <w:rFonts w:cs="Times New Roman"/>
          <w:szCs w:val="24"/>
        </w:rPr>
        <w:t>modernizacją Pomorskiego Uniwersytetu Medycznego w Szczecinie i Samodzielnego Publicznego Szpitala Klinicznego Nr 1 w Szczecinie w zakresie kliniczno-dydaktycznym i medycznych wdrożeń innowacyjnych”;</w:t>
      </w:r>
    </w:p>
    <w:p w14:paraId="35958508" w14:textId="1DE56237" w:rsidR="00BA7503" w:rsidRPr="00BA7503" w:rsidRDefault="00BA7503" w:rsidP="009C07A6">
      <w:pPr>
        <w:pStyle w:val="Akapitzlist"/>
        <w:numPr>
          <w:ilvl w:val="0"/>
          <w:numId w:val="26"/>
        </w:numPr>
        <w:jc w:val="both"/>
        <w:rPr>
          <w:rFonts w:cs="Times New Roman"/>
          <w:szCs w:val="24"/>
        </w:rPr>
      </w:pPr>
      <w:r w:rsidRPr="00BA7503">
        <w:t xml:space="preserve">określenia dodatkowego źródła finansowania w Programie, przez dodanie jako źródła finansowania </w:t>
      </w:r>
      <w:proofErr w:type="spellStart"/>
      <w:r w:rsidRPr="00BA7503">
        <w:t>WFOŚiGW</w:t>
      </w:r>
      <w:proofErr w:type="spellEnd"/>
      <w:r>
        <w:t>;</w:t>
      </w:r>
    </w:p>
    <w:p w14:paraId="4F08615D" w14:textId="2C5FC4F4" w:rsidR="000B40D7" w:rsidRPr="00810846" w:rsidRDefault="000B40D7" w:rsidP="009C07A6">
      <w:pPr>
        <w:pStyle w:val="Akapitzlist"/>
        <w:numPr>
          <w:ilvl w:val="0"/>
          <w:numId w:val="26"/>
        </w:numPr>
        <w:jc w:val="both"/>
        <w:rPr>
          <w:rFonts w:cs="Times New Roman"/>
          <w:szCs w:val="24"/>
        </w:rPr>
      </w:pPr>
      <w:r>
        <w:rPr>
          <w:rFonts w:cs="Times New Roman"/>
          <w:bCs/>
          <w:szCs w:val="24"/>
        </w:rPr>
        <w:t xml:space="preserve">zmiany </w:t>
      </w:r>
      <w:r w:rsidR="00A21E4D" w:rsidRPr="009C07A6">
        <w:rPr>
          <w:rFonts w:cs="Times New Roman"/>
          <w:bCs/>
          <w:szCs w:val="24"/>
        </w:rPr>
        <w:t xml:space="preserve">finansowania </w:t>
      </w:r>
      <w:r>
        <w:rPr>
          <w:rFonts w:cs="Times New Roman"/>
          <w:bCs/>
          <w:szCs w:val="24"/>
        </w:rPr>
        <w:t xml:space="preserve">Programu </w:t>
      </w:r>
      <w:r w:rsidR="00A21E4D" w:rsidRPr="009C07A6">
        <w:rPr>
          <w:rFonts w:cs="Times New Roman"/>
          <w:bCs/>
          <w:szCs w:val="24"/>
        </w:rPr>
        <w:t>w poszczególnych latach realizacji Programu</w:t>
      </w:r>
      <w:r w:rsidR="00FF067A">
        <w:rPr>
          <w:rFonts w:cs="Times New Roman"/>
          <w:bCs/>
          <w:szCs w:val="24"/>
        </w:rPr>
        <w:t>:</w:t>
      </w:r>
    </w:p>
    <w:p w14:paraId="7910D849" w14:textId="711382E7" w:rsidR="00810846" w:rsidRDefault="00810846" w:rsidP="004209C5">
      <w:pPr>
        <w:pStyle w:val="Akapitzlist"/>
        <w:widowControl/>
        <w:numPr>
          <w:ilvl w:val="1"/>
          <w:numId w:val="26"/>
        </w:numPr>
        <w:autoSpaceDE/>
        <w:autoSpaceDN/>
        <w:adjustRightInd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zwiększenia środków dotacyjnych </w:t>
      </w:r>
      <w:r w:rsidR="00FF067A">
        <w:rPr>
          <w:rFonts w:cs="Times New Roman"/>
          <w:szCs w:val="24"/>
        </w:rPr>
        <w:t>w</w:t>
      </w:r>
      <w:r>
        <w:rPr>
          <w:rFonts w:cs="Times New Roman"/>
          <w:szCs w:val="24"/>
        </w:rPr>
        <w:t xml:space="preserve"> latach 2025</w:t>
      </w:r>
      <w:r>
        <w:rPr>
          <w:rFonts w:cs="Times New Roman"/>
          <w:szCs w:val="24"/>
        </w:rPr>
        <w:sym w:font="Symbol" w:char="F02D"/>
      </w:r>
      <w:r>
        <w:rPr>
          <w:rFonts w:cs="Times New Roman"/>
          <w:szCs w:val="24"/>
        </w:rPr>
        <w:t>2027 w związku z</w:t>
      </w:r>
      <w:r w:rsidR="00BA7503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 xml:space="preserve">niewykorzystaniem pełnych kwot </w:t>
      </w:r>
      <w:proofErr w:type="gramStart"/>
      <w:r>
        <w:rPr>
          <w:rFonts w:cs="Times New Roman"/>
          <w:szCs w:val="24"/>
        </w:rPr>
        <w:t>w  latach</w:t>
      </w:r>
      <w:proofErr w:type="gramEnd"/>
      <w:r>
        <w:rPr>
          <w:rFonts w:cs="Times New Roman"/>
          <w:szCs w:val="24"/>
        </w:rPr>
        <w:t xml:space="preserve"> 2023–2024</w:t>
      </w:r>
      <w:r w:rsidR="007B5691">
        <w:rPr>
          <w:rFonts w:cs="Times New Roman"/>
          <w:szCs w:val="24"/>
        </w:rPr>
        <w:t>,</w:t>
      </w:r>
    </w:p>
    <w:p w14:paraId="25F95208" w14:textId="39C992D6" w:rsidR="00810846" w:rsidRPr="00810846" w:rsidRDefault="00810846" w:rsidP="004209C5">
      <w:pPr>
        <w:pStyle w:val="Akapitzlist"/>
        <w:widowControl/>
        <w:numPr>
          <w:ilvl w:val="1"/>
          <w:numId w:val="26"/>
        </w:numPr>
        <w:autoSpaceDE/>
        <w:autoSpaceDN/>
        <w:adjustRightInd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zmniejszenia części środków dotacyjnych przyznanych </w:t>
      </w:r>
      <w:r w:rsidR="00FF067A">
        <w:rPr>
          <w:rFonts w:cs="Times New Roman"/>
          <w:szCs w:val="24"/>
        </w:rPr>
        <w:t xml:space="preserve">w </w:t>
      </w:r>
      <w:r>
        <w:rPr>
          <w:rFonts w:cs="Times New Roman"/>
          <w:szCs w:val="24"/>
        </w:rPr>
        <w:t xml:space="preserve">2026 r. oraz </w:t>
      </w:r>
      <w:r w:rsidR="00FF067A">
        <w:rPr>
          <w:rFonts w:cs="Times New Roman"/>
          <w:szCs w:val="24"/>
        </w:rPr>
        <w:t xml:space="preserve">wprowadzenia dodatkowych </w:t>
      </w:r>
      <w:r>
        <w:rPr>
          <w:rFonts w:cs="Times New Roman"/>
          <w:szCs w:val="24"/>
        </w:rPr>
        <w:t>środków w 2027 r.;</w:t>
      </w:r>
    </w:p>
    <w:p w14:paraId="7F7E2627" w14:textId="551C1D64" w:rsidR="00810846" w:rsidRPr="000B40D7" w:rsidRDefault="00A21E4D" w:rsidP="009C07A6">
      <w:pPr>
        <w:pStyle w:val="Akapitzlist"/>
        <w:numPr>
          <w:ilvl w:val="0"/>
          <w:numId w:val="26"/>
        </w:numPr>
        <w:jc w:val="both"/>
        <w:rPr>
          <w:rFonts w:cs="Times New Roman"/>
          <w:szCs w:val="24"/>
        </w:rPr>
      </w:pPr>
      <w:r w:rsidRPr="009C07A6">
        <w:rPr>
          <w:rFonts w:cs="Times New Roman"/>
          <w:bCs/>
          <w:szCs w:val="24"/>
        </w:rPr>
        <w:t>wydłużenia okresu realizacji Programu o dodatkowy rok</w:t>
      </w:r>
      <w:r w:rsidR="009C07A6" w:rsidRPr="009C07A6">
        <w:rPr>
          <w:rFonts w:cs="Times New Roman"/>
          <w:bCs/>
          <w:szCs w:val="24"/>
        </w:rPr>
        <w:t>,</w:t>
      </w:r>
      <w:r w:rsidRPr="009C07A6">
        <w:rPr>
          <w:rFonts w:cs="Times New Roman"/>
          <w:bCs/>
          <w:szCs w:val="24"/>
        </w:rPr>
        <w:t xml:space="preserve"> tj. do 2027</w:t>
      </w:r>
      <w:r w:rsidR="0086740D" w:rsidRPr="009C07A6">
        <w:rPr>
          <w:rFonts w:cs="Times New Roman"/>
          <w:bCs/>
          <w:szCs w:val="24"/>
        </w:rPr>
        <w:t> r</w:t>
      </w:r>
      <w:r w:rsidR="00810846">
        <w:rPr>
          <w:rFonts w:cs="Times New Roman"/>
          <w:bCs/>
          <w:szCs w:val="24"/>
        </w:rPr>
        <w:t xml:space="preserve">. </w:t>
      </w:r>
      <w:proofErr w:type="gramStart"/>
      <w:r w:rsidR="00213957">
        <w:rPr>
          <w:rFonts w:cs="Times New Roman"/>
          <w:bCs/>
          <w:szCs w:val="24"/>
        </w:rPr>
        <w:t>–</w:t>
      </w:r>
      <w:r w:rsidR="00810846">
        <w:rPr>
          <w:rFonts w:cs="Times New Roman"/>
          <w:bCs/>
          <w:szCs w:val="24"/>
        </w:rPr>
        <w:t xml:space="preserve"> </w:t>
      </w:r>
      <w:r w:rsidR="00810846" w:rsidRPr="00810846">
        <w:rPr>
          <w:rFonts w:cs="Times New Roman"/>
          <w:szCs w:val="24"/>
        </w:rPr>
        <w:t xml:space="preserve"> </w:t>
      </w:r>
      <w:r w:rsidR="00810846">
        <w:rPr>
          <w:rFonts w:cs="Times New Roman"/>
          <w:szCs w:val="24"/>
        </w:rPr>
        <w:t>z</w:t>
      </w:r>
      <w:proofErr w:type="gramEnd"/>
      <w:r w:rsidR="00810846">
        <w:rPr>
          <w:rFonts w:cs="Times New Roman"/>
          <w:szCs w:val="24"/>
        </w:rPr>
        <w:t xml:space="preserve"> lat 2019–2026 na lata 2019–2027, w tym zmiany realizacji zadania nr 1 na lata 2019–2027 i zadania nr 6 na lata 2022–2025</w:t>
      </w:r>
      <w:r w:rsidR="00BA7503">
        <w:rPr>
          <w:rFonts w:cs="Times New Roman"/>
          <w:szCs w:val="24"/>
        </w:rPr>
        <w:t>;</w:t>
      </w:r>
    </w:p>
    <w:p w14:paraId="6230ADA1" w14:textId="1216BE1E" w:rsidR="00BA7503" w:rsidRPr="004209C5" w:rsidRDefault="00704A8E" w:rsidP="00810846">
      <w:pPr>
        <w:pStyle w:val="Akapitzlist"/>
        <w:numPr>
          <w:ilvl w:val="0"/>
          <w:numId w:val="26"/>
        </w:numPr>
        <w:jc w:val="both"/>
        <w:rPr>
          <w:rFonts w:cs="Times New Roman"/>
          <w:b/>
          <w:bCs/>
          <w:szCs w:val="24"/>
        </w:rPr>
      </w:pPr>
      <w:r w:rsidRPr="00810846">
        <w:rPr>
          <w:rFonts w:cs="Times New Roman"/>
          <w:bCs/>
          <w:szCs w:val="24"/>
        </w:rPr>
        <w:t xml:space="preserve">zmiany </w:t>
      </w:r>
      <w:r w:rsidR="00A21E4D" w:rsidRPr="00810846">
        <w:rPr>
          <w:rFonts w:cs="Times New Roman"/>
          <w:bCs/>
          <w:szCs w:val="24"/>
        </w:rPr>
        <w:t>nazwy</w:t>
      </w:r>
      <w:r w:rsidRPr="00810846">
        <w:rPr>
          <w:rFonts w:cs="Times New Roman"/>
          <w:bCs/>
          <w:szCs w:val="24"/>
        </w:rPr>
        <w:t xml:space="preserve"> Programu</w:t>
      </w:r>
      <w:r w:rsidR="00810846" w:rsidRPr="00810846">
        <w:rPr>
          <w:rFonts w:cs="Times New Roman"/>
          <w:bCs/>
          <w:szCs w:val="24"/>
        </w:rPr>
        <w:t xml:space="preserve"> wynikającej ze z</w:t>
      </w:r>
      <w:bookmarkEnd w:id="4"/>
      <w:r w:rsidR="00810846" w:rsidRPr="00810846">
        <w:rPr>
          <w:rFonts w:cs="Times New Roman"/>
          <w:szCs w:val="24"/>
        </w:rPr>
        <w:t>miany nazwy Samodzielnego Publicznego Szpitala Klinicznego nr 1 Pomorskiego Uniwersytetu Medycznego Nr 1 im. Prof. Tadeusza Sokołowskiego w Szczecinie na Uniwersytecki Szpital Kliniczny Nr 1 w</w:t>
      </w:r>
      <w:r w:rsidR="00BA7503">
        <w:rPr>
          <w:rFonts w:cs="Times New Roman"/>
          <w:szCs w:val="24"/>
        </w:rPr>
        <w:t> </w:t>
      </w:r>
      <w:r w:rsidR="00810846" w:rsidRPr="00810846">
        <w:rPr>
          <w:rFonts w:cs="Times New Roman"/>
          <w:szCs w:val="24"/>
        </w:rPr>
        <w:t>Szczecinie, zwanego dalej „Szpitalem”</w:t>
      </w:r>
      <w:r w:rsidR="00BA7503">
        <w:rPr>
          <w:rFonts w:cs="Times New Roman"/>
          <w:szCs w:val="24"/>
        </w:rPr>
        <w:t>;</w:t>
      </w:r>
    </w:p>
    <w:p w14:paraId="41FF4A33" w14:textId="4938149B" w:rsidR="00810846" w:rsidRPr="00810846" w:rsidRDefault="00BA7503" w:rsidP="004209C5">
      <w:pPr>
        <w:pStyle w:val="Akapitzlist"/>
        <w:numPr>
          <w:ilvl w:val="0"/>
          <w:numId w:val="26"/>
        </w:numPr>
        <w:jc w:val="both"/>
        <w:rPr>
          <w:rFonts w:cs="Times New Roman"/>
          <w:b/>
          <w:bCs/>
          <w:szCs w:val="24"/>
        </w:rPr>
      </w:pPr>
      <w:r w:rsidRPr="00BA7503">
        <w:t>dostosowania kosztów w poszczególnych zadaniach inwestycyjnych realizowanych</w:t>
      </w:r>
      <w:r w:rsidRPr="00BA7503">
        <w:br/>
        <w:t>w ramach Programu do wartości wynikających z harmonogramów rzeczowo-finansowych przedłożonych przez wyłonionych wykonawców robót budowlanych w tych zadaniach, w</w:t>
      </w:r>
      <w:r>
        <w:t> </w:t>
      </w:r>
      <w:r w:rsidRPr="00BA7503">
        <w:t>tym dokonani</w:t>
      </w:r>
      <w:r w:rsidR="00FF067A">
        <w:t>a</w:t>
      </w:r>
      <w:r w:rsidRPr="00BA7503">
        <w:t xml:space="preserve"> stosownych przesunięć środków między zadaniami bez zwiększenia </w:t>
      </w:r>
      <w:r w:rsidRPr="00BA7503">
        <w:lastRenderedPageBreak/>
        <w:t>ogólnych środków dotacyjnych</w:t>
      </w:r>
      <w:r w:rsidRPr="00810846">
        <w:rPr>
          <w:rFonts w:cs="Times New Roman"/>
          <w:szCs w:val="24"/>
        </w:rPr>
        <w:t>.</w:t>
      </w:r>
    </w:p>
    <w:p w14:paraId="252ADABC" w14:textId="3606FA8E" w:rsidR="00764496" w:rsidRDefault="00BA7503" w:rsidP="007F1980">
      <w:pPr>
        <w:ind w:firstLine="708"/>
        <w:jc w:val="both"/>
        <w:rPr>
          <w:rFonts w:cs="Times New Roman"/>
          <w:i/>
          <w:iCs/>
          <w:szCs w:val="24"/>
        </w:rPr>
      </w:pPr>
      <w:r>
        <w:rPr>
          <w:rFonts w:cs="Times New Roman"/>
          <w:szCs w:val="24"/>
        </w:rPr>
        <w:t xml:space="preserve"> </w:t>
      </w:r>
      <w:r w:rsidR="00764496">
        <w:rPr>
          <w:rFonts w:cs="Times New Roman"/>
          <w:szCs w:val="24"/>
        </w:rPr>
        <w:t xml:space="preserve">W dniu 18 czerwca 2019 r. </w:t>
      </w:r>
      <w:r w:rsidR="00532343">
        <w:rPr>
          <w:rFonts w:cs="Times New Roman"/>
          <w:szCs w:val="24"/>
        </w:rPr>
        <w:t>u</w:t>
      </w:r>
      <w:r w:rsidR="00764496">
        <w:rPr>
          <w:rFonts w:cs="Times New Roman"/>
          <w:szCs w:val="24"/>
        </w:rPr>
        <w:t xml:space="preserve">chwałą Nr 58/2019 </w:t>
      </w:r>
      <w:r w:rsidR="006026E6">
        <w:rPr>
          <w:rFonts w:cs="Times New Roman"/>
          <w:szCs w:val="24"/>
        </w:rPr>
        <w:t>R</w:t>
      </w:r>
      <w:r w:rsidR="00BC7AB8">
        <w:rPr>
          <w:rFonts w:cs="Times New Roman"/>
          <w:szCs w:val="24"/>
        </w:rPr>
        <w:t xml:space="preserve">ada </w:t>
      </w:r>
      <w:r w:rsidR="006026E6">
        <w:rPr>
          <w:rFonts w:cs="Times New Roman"/>
          <w:szCs w:val="24"/>
        </w:rPr>
        <w:t>M</w:t>
      </w:r>
      <w:r w:rsidR="00BC7AB8">
        <w:rPr>
          <w:rFonts w:cs="Times New Roman"/>
          <w:szCs w:val="24"/>
        </w:rPr>
        <w:t>inistrów</w:t>
      </w:r>
      <w:r w:rsidR="00AE0D17">
        <w:rPr>
          <w:rFonts w:cs="Times New Roman"/>
          <w:szCs w:val="24"/>
        </w:rPr>
        <w:t xml:space="preserve"> </w:t>
      </w:r>
      <w:r w:rsidR="00764496">
        <w:rPr>
          <w:rFonts w:cs="Times New Roman"/>
          <w:szCs w:val="24"/>
        </w:rPr>
        <w:t xml:space="preserve">ustanowiła </w:t>
      </w:r>
      <w:r w:rsidR="00513604">
        <w:rPr>
          <w:rFonts w:cs="Times New Roman"/>
          <w:szCs w:val="24"/>
        </w:rPr>
        <w:t xml:space="preserve">Program, </w:t>
      </w:r>
      <w:r w:rsidR="00764496">
        <w:rPr>
          <w:rFonts w:cs="Times New Roman"/>
          <w:iCs/>
          <w:szCs w:val="24"/>
        </w:rPr>
        <w:t>którego realizację powierzono Pomorskiemu Uniwersytetowi Medycznemu w Szczecinie</w:t>
      </w:r>
      <w:r w:rsidR="0086740D">
        <w:rPr>
          <w:rFonts w:cs="Times New Roman"/>
          <w:iCs/>
          <w:szCs w:val="24"/>
        </w:rPr>
        <w:t>, zwan</w:t>
      </w:r>
      <w:r w:rsidR="006026E6">
        <w:rPr>
          <w:rFonts w:cs="Times New Roman"/>
          <w:iCs/>
          <w:szCs w:val="24"/>
        </w:rPr>
        <w:t>emu</w:t>
      </w:r>
      <w:r w:rsidR="0086740D">
        <w:rPr>
          <w:rFonts w:cs="Times New Roman"/>
          <w:iCs/>
          <w:szCs w:val="24"/>
        </w:rPr>
        <w:t xml:space="preserve"> dalej „Inwestorem”</w:t>
      </w:r>
      <w:r w:rsidR="00764496">
        <w:rPr>
          <w:rFonts w:cs="Times New Roman"/>
          <w:iCs/>
          <w:szCs w:val="24"/>
        </w:rPr>
        <w:t>. W</w:t>
      </w:r>
      <w:r w:rsidR="00790BFA">
        <w:rPr>
          <w:rFonts w:cs="Times New Roman"/>
          <w:iCs/>
          <w:szCs w:val="24"/>
        </w:rPr>
        <w:t> </w:t>
      </w:r>
      <w:r w:rsidR="0086740D">
        <w:rPr>
          <w:rFonts w:cs="Times New Roman"/>
          <w:iCs/>
          <w:szCs w:val="24"/>
        </w:rPr>
        <w:t>P</w:t>
      </w:r>
      <w:r w:rsidR="00764496">
        <w:rPr>
          <w:rFonts w:cs="Times New Roman"/>
          <w:iCs/>
          <w:szCs w:val="24"/>
        </w:rPr>
        <w:t>rogramie tym zaplanowano realizację sześciu następujących zadań inwestycyjnych:</w:t>
      </w:r>
    </w:p>
    <w:p w14:paraId="03DC91C6" w14:textId="05C8FBD6" w:rsidR="00764496" w:rsidRPr="007B5691" w:rsidRDefault="00764496" w:rsidP="00513604">
      <w:pPr>
        <w:pStyle w:val="Akapitzlist"/>
        <w:widowControl/>
        <w:numPr>
          <w:ilvl w:val="0"/>
          <w:numId w:val="9"/>
        </w:numPr>
        <w:autoSpaceDE/>
        <w:autoSpaceDN/>
        <w:adjustRightInd/>
        <w:ind w:left="426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Zadania nr 1 pn. </w:t>
      </w:r>
      <w:r>
        <w:rPr>
          <w:rFonts w:cs="Times New Roman"/>
          <w:i/>
          <w:iCs/>
          <w:szCs w:val="24"/>
        </w:rPr>
        <w:t>„Budowa budynku kliniczno-dydaktyczno-badawczego”</w:t>
      </w:r>
      <w:r>
        <w:rPr>
          <w:rFonts w:cs="Times New Roman"/>
          <w:szCs w:val="24"/>
        </w:rPr>
        <w:t xml:space="preserve"> </w:t>
      </w:r>
      <w:r w:rsidR="0086740D" w:rsidRPr="007B5691">
        <w:rPr>
          <w:rFonts w:cs="Times New Roman"/>
          <w:szCs w:val="24"/>
        </w:rPr>
        <w:t>r</w:t>
      </w:r>
      <w:r w:rsidRPr="007B5691">
        <w:rPr>
          <w:rFonts w:cs="Times New Roman"/>
          <w:szCs w:val="24"/>
        </w:rPr>
        <w:t xml:space="preserve">ealizowanego wspólnie przez </w:t>
      </w:r>
      <w:r w:rsidR="0086740D" w:rsidRPr="007B5691">
        <w:rPr>
          <w:rFonts w:cs="Times New Roman"/>
          <w:szCs w:val="24"/>
        </w:rPr>
        <w:t>Inwestora</w:t>
      </w:r>
      <w:r w:rsidRPr="007B5691">
        <w:rPr>
          <w:rFonts w:cs="Times New Roman"/>
          <w:szCs w:val="24"/>
        </w:rPr>
        <w:t xml:space="preserve"> i </w:t>
      </w:r>
      <w:r w:rsidR="00E4531F" w:rsidRPr="007B5691">
        <w:rPr>
          <w:rFonts w:cs="Times New Roman"/>
          <w:szCs w:val="24"/>
        </w:rPr>
        <w:t>Szpital</w:t>
      </w:r>
      <w:r w:rsidR="0086740D" w:rsidRPr="007B5691">
        <w:rPr>
          <w:rFonts w:cs="Times New Roman"/>
          <w:szCs w:val="24"/>
        </w:rPr>
        <w:t xml:space="preserve">, </w:t>
      </w:r>
      <w:r w:rsidRPr="0086740D">
        <w:t xml:space="preserve">oraz pięciu realizowanych samodzielnie przez </w:t>
      </w:r>
      <w:r w:rsidR="0086740D">
        <w:t>Szpital</w:t>
      </w:r>
      <w:r w:rsidRPr="0086740D">
        <w:t>:</w:t>
      </w:r>
    </w:p>
    <w:p w14:paraId="3FD11A7E" w14:textId="77777777" w:rsidR="00764496" w:rsidRDefault="00764496" w:rsidP="00764496">
      <w:pPr>
        <w:pStyle w:val="Akapitzlist"/>
        <w:widowControl/>
        <w:numPr>
          <w:ilvl w:val="0"/>
          <w:numId w:val="9"/>
        </w:numPr>
        <w:autoSpaceDE/>
        <w:autoSpaceDN/>
        <w:adjustRightInd/>
        <w:ind w:left="426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Zadania nr 2 pn. </w:t>
      </w:r>
      <w:r>
        <w:rPr>
          <w:rFonts w:cs="Times New Roman"/>
          <w:i/>
          <w:iCs/>
          <w:szCs w:val="24"/>
        </w:rPr>
        <w:t>„Budowa wraz z wyposażeniem przyszpitalnego obiektu z przeznaczeniem na Centralną Sterylizatornię”,</w:t>
      </w:r>
    </w:p>
    <w:p w14:paraId="53F22B24" w14:textId="458BBAAA" w:rsidR="00764496" w:rsidRDefault="00764496" w:rsidP="00764496">
      <w:pPr>
        <w:pStyle w:val="Akapitzlist"/>
        <w:widowControl/>
        <w:numPr>
          <w:ilvl w:val="0"/>
          <w:numId w:val="9"/>
        </w:numPr>
        <w:autoSpaceDE/>
        <w:autoSpaceDN/>
        <w:adjustRightInd/>
        <w:ind w:left="426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Zadania nr 3 pn. </w:t>
      </w:r>
      <w:r>
        <w:rPr>
          <w:rFonts w:cs="Times New Roman"/>
          <w:i/>
          <w:iCs/>
          <w:szCs w:val="24"/>
        </w:rPr>
        <w:t>„Rozbudowa Oddziału Klinicznego Onkologii, Chemioterapii</w:t>
      </w:r>
      <w:r>
        <w:rPr>
          <w:rFonts w:cs="Times New Roman"/>
          <w:i/>
          <w:iCs/>
          <w:szCs w:val="24"/>
        </w:rPr>
        <w:br/>
        <w:t>i Immunoterapii Nowotworów</w:t>
      </w:r>
      <w:r w:rsidR="00EF5612">
        <w:rPr>
          <w:rFonts w:cs="Times New Roman"/>
          <w:i/>
          <w:iCs/>
          <w:szCs w:val="24"/>
        </w:rPr>
        <w:t>”</w:t>
      </w:r>
      <w:r>
        <w:rPr>
          <w:rFonts w:cs="Times New Roman"/>
          <w:i/>
          <w:iCs/>
          <w:szCs w:val="24"/>
        </w:rPr>
        <w:t>”</w:t>
      </w:r>
      <w:r w:rsidR="006026E6">
        <w:rPr>
          <w:rFonts w:cs="Times New Roman"/>
          <w:i/>
          <w:iCs/>
          <w:szCs w:val="24"/>
        </w:rPr>
        <w:t>,</w:t>
      </w:r>
    </w:p>
    <w:p w14:paraId="0C6DD5FA" w14:textId="7E597442" w:rsidR="00764496" w:rsidRPr="004209C5" w:rsidRDefault="00764496" w:rsidP="00146599">
      <w:pPr>
        <w:pStyle w:val="Akapitzlist"/>
        <w:widowControl/>
        <w:numPr>
          <w:ilvl w:val="0"/>
          <w:numId w:val="9"/>
        </w:numPr>
        <w:autoSpaceDE/>
        <w:autoSpaceDN/>
        <w:adjustRightInd/>
        <w:jc w:val="both"/>
        <w:rPr>
          <w:rFonts w:cs="Times New Roman"/>
          <w:i/>
          <w:iCs/>
          <w:szCs w:val="24"/>
        </w:rPr>
      </w:pPr>
      <w:r>
        <w:rPr>
          <w:rFonts w:cs="Times New Roman"/>
          <w:szCs w:val="24"/>
        </w:rPr>
        <w:t xml:space="preserve">Zadania nr 4 pn. </w:t>
      </w:r>
      <w:r w:rsidR="00146599" w:rsidRPr="004209C5">
        <w:rPr>
          <w:rFonts w:cs="Times New Roman"/>
          <w:i/>
          <w:iCs/>
          <w:szCs w:val="24"/>
        </w:rPr>
        <w:t>„Uruchomienie ponadregionalnego ośrodka żywienia pozajelitowego i dojelitowego dla dzieci z województw zachodniopomorskiego i innych</w:t>
      </w:r>
      <w:r w:rsidR="00115163">
        <w:rPr>
          <w:rFonts w:cs="Times New Roman"/>
          <w:i/>
          <w:iCs/>
          <w:szCs w:val="24"/>
        </w:rPr>
        <w:t xml:space="preserve"> </w:t>
      </w:r>
      <w:r w:rsidR="00146599" w:rsidRPr="004209C5">
        <w:rPr>
          <w:rFonts w:cs="Times New Roman"/>
          <w:i/>
          <w:iCs/>
          <w:szCs w:val="24"/>
        </w:rPr>
        <w:t>z Oddziałem Pediatrii i Żywienia”</w:t>
      </w:r>
      <w:r w:rsidRPr="004209C5">
        <w:rPr>
          <w:rFonts w:cs="Times New Roman"/>
          <w:i/>
          <w:iCs/>
          <w:szCs w:val="24"/>
        </w:rPr>
        <w:t>,</w:t>
      </w:r>
    </w:p>
    <w:p w14:paraId="6CB69FC0" w14:textId="77777777" w:rsidR="00764496" w:rsidRDefault="00764496" w:rsidP="00764496">
      <w:pPr>
        <w:pStyle w:val="Akapitzlist"/>
        <w:widowControl/>
        <w:numPr>
          <w:ilvl w:val="0"/>
          <w:numId w:val="9"/>
        </w:numPr>
        <w:autoSpaceDE/>
        <w:autoSpaceDN/>
        <w:adjustRightInd/>
        <w:ind w:left="426" w:hanging="284"/>
        <w:jc w:val="both"/>
        <w:rPr>
          <w:rFonts w:cs="Times New Roman"/>
          <w:i/>
          <w:iCs/>
          <w:szCs w:val="24"/>
        </w:rPr>
      </w:pPr>
      <w:r>
        <w:rPr>
          <w:rFonts w:cs="Times New Roman"/>
          <w:szCs w:val="24"/>
        </w:rPr>
        <w:t xml:space="preserve">Zadania nr 5 pn. </w:t>
      </w:r>
      <w:r>
        <w:rPr>
          <w:rFonts w:cs="Times New Roman"/>
          <w:i/>
          <w:iCs/>
          <w:szCs w:val="24"/>
        </w:rPr>
        <w:t>„Rozbudowa Przyklinicznych Poradni Specjalistycznych dla Dorosłych</w:t>
      </w:r>
      <w:r>
        <w:rPr>
          <w:rFonts w:cs="Times New Roman"/>
          <w:i/>
          <w:iCs/>
          <w:szCs w:val="24"/>
        </w:rPr>
        <w:br/>
        <w:t>i dla Dzieci”,</w:t>
      </w:r>
    </w:p>
    <w:p w14:paraId="351B70FA" w14:textId="69B77124" w:rsidR="00764496" w:rsidRDefault="00764496" w:rsidP="00764496">
      <w:pPr>
        <w:pStyle w:val="Akapitzlist"/>
        <w:widowControl/>
        <w:numPr>
          <w:ilvl w:val="0"/>
          <w:numId w:val="9"/>
        </w:numPr>
        <w:autoSpaceDE/>
        <w:autoSpaceDN/>
        <w:adjustRightInd/>
        <w:ind w:left="426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Zadania nr 6 pn. </w:t>
      </w:r>
      <w:r>
        <w:rPr>
          <w:rFonts w:cs="Times New Roman"/>
          <w:i/>
          <w:iCs/>
          <w:szCs w:val="24"/>
        </w:rPr>
        <w:t>„Uniwersyteckie Ponadregionalne Centrum Chirurgii Głowy i Szyi”</w:t>
      </w:r>
      <w:r>
        <w:rPr>
          <w:rFonts w:cs="Times New Roman"/>
          <w:szCs w:val="24"/>
        </w:rPr>
        <w:t>.</w:t>
      </w:r>
    </w:p>
    <w:p w14:paraId="4DBD0485" w14:textId="3A0FE59F" w:rsidR="00764496" w:rsidRDefault="00764496" w:rsidP="007B237D">
      <w:pPr>
        <w:ind w:firstLine="426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 największym zadaniu nr 1 zawarcie umowy z wyłonionym wykonawcą nastąpiło dopiero</w:t>
      </w:r>
      <w:r w:rsidR="00F733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w dniu 28 sierpnia 2023 r.</w:t>
      </w:r>
      <w:r w:rsidR="00AB5942">
        <w:rPr>
          <w:rFonts w:cs="Times New Roman"/>
          <w:szCs w:val="24"/>
        </w:rPr>
        <w:t xml:space="preserve">, co </w:t>
      </w:r>
      <w:r>
        <w:rPr>
          <w:rFonts w:cs="Times New Roman"/>
          <w:szCs w:val="24"/>
        </w:rPr>
        <w:t>był</w:t>
      </w:r>
      <w:r w:rsidR="00AB5942">
        <w:rPr>
          <w:rFonts w:cs="Times New Roman"/>
          <w:szCs w:val="24"/>
        </w:rPr>
        <w:t>o</w:t>
      </w:r>
      <w:r>
        <w:rPr>
          <w:rFonts w:cs="Times New Roman"/>
          <w:szCs w:val="24"/>
        </w:rPr>
        <w:t xml:space="preserve"> </w:t>
      </w:r>
      <w:r w:rsidR="006026E6">
        <w:rPr>
          <w:rFonts w:cs="Times New Roman"/>
          <w:szCs w:val="24"/>
        </w:rPr>
        <w:t xml:space="preserve">wynikiem </w:t>
      </w:r>
      <w:r>
        <w:rPr>
          <w:rFonts w:cs="Times New Roman"/>
          <w:szCs w:val="24"/>
        </w:rPr>
        <w:t xml:space="preserve">rozpatrzenia </w:t>
      </w:r>
      <w:r w:rsidR="00BE0770">
        <w:rPr>
          <w:rFonts w:cs="Times New Roman"/>
          <w:szCs w:val="24"/>
        </w:rPr>
        <w:t xml:space="preserve">przez Krajową Izbę Odwoławczą </w:t>
      </w:r>
      <w:r>
        <w:rPr>
          <w:rFonts w:cs="Times New Roman"/>
          <w:szCs w:val="24"/>
        </w:rPr>
        <w:t>odwołania złożonego przez jednego z oferentów w</w:t>
      </w:r>
      <w:r w:rsidR="006026E6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przedmiocie wyboru wykonawcy. Natomiast w zadaniu nr 4 podpisanie umowy nastąpiło w</w:t>
      </w:r>
      <w:r w:rsidR="006026E6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 xml:space="preserve">dniu 10 lipca 2023 r., a w zadaniu nr 6 w dniu 14 lipca 2023 r. </w:t>
      </w:r>
    </w:p>
    <w:p w14:paraId="67632F31" w14:textId="134E5623" w:rsidR="00764496" w:rsidRDefault="00764496" w:rsidP="00513604">
      <w:pPr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Niestety z uwagi na upływ czasu oraz zaplanowaną kolejność wykonania prac budowlanych prowadzonych w tego rodzajach zadaniach inwestycyjnych nie było możliwości uzyskania efektów, które pozwalał</w:t>
      </w:r>
      <w:r w:rsidR="00115163">
        <w:rPr>
          <w:rFonts w:cs="Times New Roman"/>
          <w:szCs w:val="24"/>
        </w:rPr>
        <w:t>y</w:t>
      </w:r>
      <w:r>
        <w:rPr>
          <w:rFonts w:cs="Times New Roman"/>
          <w:szCs w:val="24"/>
        </w:rPr>
        <w:t xml:space="preserve">by w pełnej wysokości wykorzystać środki dotacyjne przyznane na 2023 r. </w:t>
      </w:r>
      <w:bookmarkStart w:id="5" w:name="_Hlk177497137"/>
      <w:r>
        <w:rPr>
          <w:rFonts w:cs="Times New Roman"/>
          <w:szCs w:val="24"/>
        </w:rPr>
        <w:t xml:space="preserve">Stan taki spowodował, że w 2023 r. z przyznanych środków z budżetu państwa </w:t>
      </w:r>
      <w:bookmarkStart w:id="6" w:name="_Hlk123569861"/>
      <w:r>
        <w:rPr>
          <w:rFonts w:cs="Times New Roman"/>
          <w:szCs w:val="24"/>
        </w:rPr>
        <w:t>z części 46 – Zdrowie, w rozdziale 73014 –</w:t>
      </w:r>
      <w:r w:rsidR="00C43DC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Działalność dydaktyczna i badawcza w</w:t>
      </w:r>
      <w:r w:rsidR="00CC23A0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wysokości 70 182 000 zł wykorzystano środki w wysokość 9 816 225,25 zł, natomiast w</w:t>
      </w:r>
      <w:r w:rsidR="00CC23A0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rozdziale 85112</w:t>
      </w:r>
      <w:r w:rsidR="00C43DC2">
        <w:rPr>
          <w:rFonts w:cs="Times New Roman"/>
          <w:szCs w:val="24"/>
        </w:rPr>
        <w:t xml:space="preserve"> </w:t>
      </w:r>
      <w:r w:rsidR="00C43DC2">
        <w:rPr>
          <w:rFonts w:cs="Times New Roman"/>
          <w:szCs w:val="24"/>
        </w:rPr>
        <w:sym w:font="Symbol" w:char="F02D"/>
      </w:r>
      <w:r w:rsidR="00C43DC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Szpitale kliniczne z przyznanych środków w wysokości 56 805 000 zł wykorzystano środki w wysokości 7 297 429,99 zł.</w:t>
      </w:r>
    </w:p>
    <w:p w14:paraId="63165293" w14:textId="05AE3093" w:rsidR="00764496" w:rsidRDefault="00764496" w:rsidP="00513604">
      <w:pPr>
        <w:ind w:firstLine="426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 związku z powyższym</w:t>
      </w:r>
      <w:r w:rsidR="00BE0770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niezbędne jest </w:t>
      </w:r>
      <w:r w:rsidR="00CC23A0">
        <w:rPr>
          <w:rFonts w:cs="Times New Roman"/>
          <w:szCs w:val="24"/>
        </w:rPr>
        <w:t xml:space="preserve">dokonanie </w:t>
      </w:r>
      <w:r w:rsidR="00146599">
        <w:rPr>
          <w:rFonts w:cs="Times New Roman"/>
          <w:szCs w:val="24"/>
        </w:rPr>
        <w:t xml:space="preserve">zmian </w:t>
      </w:r>
      <w:r>
        <w:rPr>
          <w:rFonts w:cs="Times New Roman"/>
          <w:szCs w:val="24"/>
        </w:rPr>
        <w:t xml:space="preserve">środków </w:t>
      </w:r>
      <w:r w:rsidR="00CC23A0">
        <w:rPr>
          <w:rFonts w:cs="Times New Roman"/>
          <w:szCs w:val="24"/>
        </w:rPr>
        <w:t xml:space="preserve">poniesionych </w:t>
      </w:r>
      <w:r w:rsidR="00C170D0">
        <w:rPr>
          <w:rFonts w:cs="Times New Roman"/>
          <w:szCs w:val="24"/>
        </w:rPr>
        <w:t>w</w:t>
      </w:r>
      <w:r w:rsidR="00BE0770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2023</w:t>
      </w:r>
      <w:r w:rsidR="00F61F0D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 xml:space="preserve">r. </w:t>
      </w:r>
      <w:r w:rsidR="00C170D0">
        <w:rPr>
          <w:rFonts w:cs="Times New Roman"/>
          <w:szCs w:val="24"/>
        </w:rPr>
        <w:t xml:space="preserve">oraz </w:t>
      </w:r>
      <w:r w:rsidR="00CC23A0">
        <w:rPr>
          <w:rFonts w:cs="Times New Roman"/>
          <w:szCs w:val="24"/>
        </w:rPr>
        <w:t xml:space="preserve">wprowadzenie zmian w harmonogramie finansowania inwestycji w kolejnych </w:t>
      </w:r>
      <w:r w:rsidR="00C170D0">
        <w:rPr>
          <w:rFonts w:cs="Times New Roman"/>
          <w:szCs w:val="24"/>
        </w:rPr>
        <w:t xml:space="preserve">latach realizacji </w:t>
      </w:r>
      <w:r w:rsidR="00CC23A0">
        <w:rPr>
          <w:rFonts w:cs="Times New Roman"/>
          <w:szCs w:val="24"/>
        </w:rPr>
        <w:t>P</w:t>
      </w:r>
      <w:r w:rsidR="00C170D0">
        <w:rPr>
          <w:rFonts w:cs="Times New Roman"/>
          <w:szCs w:val="24"/>
        </w:rPr>
        <w:t>rogramu</w:t>
      </w:r>
      <w:r w:rsidR="00CC23A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w</w:t>
      </w:r>
      <w:r>
        <w:rPr>
          <w:szCs w:val="24"/>
        </w:rPr>
        <w:t xml:space="preserve"> następujący sposób:</w:t>
      </w:r>
    </w:p>
    <w:p w14:paraId="6A6AC131" w14:textId="527345D7" w:rsidR="00764496" w:rsidRDefault="00764496" w:rsidP="004209C5">
      <w:pPr>
        <w:widowControl/>
        <w:numPr>
          <w:ilvl w:val="0"/>
          <w:numId w:val="28"/>
        </w:numPr>
        <w:autoSpaceDE/>
        <w:autoSpaceDN/>
        <w:adjustRightInd/>
        <w:contextualSpacing/>
        <w:jc w:val="both"/>
        <w:rPr>
          <w:rFonts w:cstheme="minorBidi"/>
          <w:szCs w:val="24"/>
        </w:rPr>
      </w:pPr>
      <w:r>
        <w:rPr>
          <w:szCs w:val="24"/>
        </w:rPr>
        <w:lastRenderedPageBreak/>
        <w:t xml:space="preserve">w rozdziale 73014 – Działalność dydaktyczna i badawcza </w:t>
      </w:r>
      <w:bookmarkStart w:id="7" w:name="_Hlk183021182"/>
      <w:r w:rsidR="0095635E">
        <w:rPr>
          <w:szCs w:val="24"/>
        </w:rPr>
        <w:t xml:space="preserve">konieczne jest </w:t>
      </w:r>
      <w:r w:rsidR="00C170D0">
        <w:rPr>
          <w:szCs w:val="24"/>
        </w:rPr>
        <w:t>zmniejszenie środków</w:t>
      </w:r>
      <w:bookmarkEnd w:id="7"/>
      <w:r w:rsidR="00C170D0">
        <w:rPr>
          <w:szCs w:val="24"/>
        </w:rPr>
        <w:t xml:space="preserve"> </w:t>
      </w:r>
      <w:r>
        <w:rPr>
          <w:szCs w:val="24"/>
        </w:rPr>
        <w:t xml:space="preserve">w wysokości 60 365 774 zł </w:t>
      </w:r>
      <w:r w:rsidR="0095635E">
        <w:rPr>
          <w:szCs w:val="24"/>
        </w:rPr>
        <w:t xml:space="preserve">i zwiększenie o te środki dotacji </w:t>
      </w:r>
      <w:r>
        <w:rPr>
          <w:szCs w:val="24"/>
        </w:rPr>
        <w:t xml:space="preserve">na </w:t>
      </w:r>
      <w:r w:rsidRPr="006E6F64">
        <w:rPr>
          <w:szCs w:val="24"/>
        </w:rPr>
        <w:t>2027 r.</w:t>
      </w:r>
      <w:r w:rsidR="007B5691">
        <w:rPr>
          <w:szCs w:val="24"/>
        </w:rPr>
        <w:t>;</w:t>
      </w:r>
    </w:p>
    <w:p w14:paraId="1C82754E" w14:textId="6C9E2040" w:rsidR="00764496" w:rsidRDefault="00764496" w:rsidP="004209C5">
      <w:pPr>
        <w:widowControl/>
        <w:numPr>
          <w:ilvl w:val="0"/>
          <w:numId w:val="28"/>
        </w:numPr>
        <w:autoSpaceDE/>
        <w:autoSpaceDN/>
        <w:adjustRightInd/>
        <w:contextualSpacing/>
        <w:jc w:val="both"/>
        <w:rPr>
          <w:szCs w:val="24"/>
        </w:rPr>
      </w:pPr>
      <w:r>
        <w:rPr>
          <w:szCs w:val="24"/>
        </w:rPr>
        <w:t xml:space="preserve">w rozdziale 851112 – Szpitale kliniczne </w:t>
      </w:r>
      <w:r w:rsidR="0095635E" w:rsidRPr="0095635E">
        <w:rPr>
          <w:szCs w:val="24"/>
        </w:rPr>
        <w:t xml:space="preserve">konieczne jest zmniejszenie środków </w:t>
      </w:r>
      <w:r>
        <w:rPr>
          <w:szCs w:val="24"/>
        </w:rPr>
        <w:t xml:space="preserve">w wysokości 49 505 570 </w:t>
      </w:r>
      <w:proofErr w:type="gramStart"/>
      <w:r>
        <w:rPr>
          <w:szCs w:val="24"/>
        </w:rPr>
        <w:t>zł,</w:t>
      </w:r>
      <w:proofErr w:type="gramEnd"/>
      <w:r>
        <w:rPr>
          <w:szCs w:val="24"/>
        </w:rPr>
        <w:t xml:space="preserve"> </w:t>
      </w:r>
      <w:r w:rsidR="0095635E" w:rsidRPr="0095635E">
        <w:rPr>
          <w:szCs w:val="24"/>
        </w:rPr>
        <w:t>i zwiększenie o te środki dotacji</w:t>
      </w:r>
      <w:r>
        <w:rPr>
          <w:szCs w:val="24"/>
        </w:rPr>
        <w:t xml:space="preserve"> na 2025 r.</w:t>
      </w:r>
    </w:p>
    <w:bookmarkEnd w:id="5"/>
    <w:p w14:paraId="53DAF884" w14:textId="16F2A8A5" w:rsidR="00764496" w:rsidRDefault="00146599" w:rsidP="00513604">
      <w:pPr>
        <w:ind w:firstLine="426"/>
        <w:jc w:val="both"/>
        <w:rPr>
          <w:rFonts w:cs="Times New Roman"/>
          <w:szCs w:val="24"/>
        </w:rPr>
      </w:pPr>
      <w:r>
        <w:rPr>
          <w:szCs w:val="24"/>
        </w:rPr>
        <w:t>N</w:t>
      </w:r>
      <w:r w:rsidR="00764496">
        <w:rPr>
          <w:szCs w:val="24"/>
        </w:rPr>
        <w:t>iewykorzystani</w:t>
      </w:r>
      <w:r>
        <w:rPr>
          <w:szCs w:val="24"/>
        </w:rPr>
        <w:t>e</w:t>
      </w:r>
      <w:r w:rsidR="00764496">
        <w:rPr>
          <w:szCs w:val="24"/>
        </w:rPr>
        <w:t xml:space="preserve"> środków dotacyjnych </w:t>
      </w:r>
      <w:r>
        <w:rPr>
          <w:szCs w:val="24"/>
        </w:rPr>
        <w:t xml:space="preserve">miało miejsce również </w:t>
      </w:r>
      <w:r w:rsidR="00764496">
        <w:rPr>
          <w:szCs w:val="24"/>
        </w:rPr>
        <w:t xml:space="preserve">w </w:t>
      </w:r>
      <w:r w:rsidR="00CC23A0">
        <w:rPr>
          <w:szCs w:val="24"/>
        </w:rPr>
        <w:t>roku bieżącym</w:t>
      </w:r>
      <w:r w:rsidR="00764496">
        <w:rPr>
          <w:szCs w:val="24"/>
        </w:rPr>
        <w:t xml:space="preserve">, </w:t>
      </w:r>
      <w:r w:rsidR="00871C6C">
        <w:rPr>
          <w:szCs w:val="24"/>
        </w:rPr>
        <w:t xml:space="preserve">co </w:t>
      </w:r>
      <w:r>
        <w:rPr>
          <w:szCs w:val="24"/>
        </w:rPr>
        <w:t xml:space="preserve">spowodowane jest </w:t>
      </w:r>
      <w:r w:rsidR="00764496">
        <w:rPr>
          <w:szCs w:val="24"/>
        </w:rPr>
        <w:t>brak</w:t>
      </w:r>
      <w:r>
        <w:rPr>
          <w:szCs w:val="24"/>
        </w:rPr>
        <w:t>iem</w:t>
      </w:r>
      <w:r w:rsidR="00764496">
        <w:rPr>
          <w:szCs w:val="24"/>
        </w:rPr>
        <w:t xml:space="preserve"> możliwości wykonania wszystkich zaplanowanych prac budowlano</w:t>
      </w:r>
      <w:r w:rsidR="00924148">
        <w:rPr>
          <w:szCs w:val="24"/>
        </w:rPr>
        <w:t>-</w:t>
      </w:r>
      <w:r w:rsidR="00764496">
        <w:rPr>
          <w:szCs w:val="24"/>
        </w:rPr>
        <w:t xml:space="preserve">instalacyjnych w największym zadaniu realizowanym w </w:t>
      </w:r>
      <w:r w:rsidR="00513604">
        <w:rPr>
          <w:szCs w:val="24"/>
        </w:rPr>
        <w:t>P</w:t>
      </w:r>
      <w:r w:rsidR="00764496">
        <w:rPr>
          <w:szCs w:val="24"/>
        </w:rPr>
        <w:t>rogramie</w:t>
      </w:r>
      <w:r w:rsidR="00924148">
        <w:rPr>
          <w:szCs w:val="24"/>
        </w:rPr>
        <w:t>,</w:t>
      </w:r>
      <w:r w:rsidR="00764496">
        <w:rPr>
          <w:szCs w:val="24"/>
        </w:rPr>
        <w:t xml:space="preserve"> tj. zadaniu nr</w:t>
      </w:r>
      <w:r w:rsidR="00871C6C">
        <w:rPr>
          <w:szCs w:val="24"/>
        </w:rPr>
        <w:t> </w:t>
      </w:r>
      <w:r w:rsidR="00764496">
        <w:rPr>
          <w:szCs w:val="24"/>
        </w:rPr>
        <w:t>1</w:t>
      </w:r>
      <w:r w:rsidR="00CC23A0">
        <w:rPr>
          <w:szCs w:val="24"/>
        </w:rPr>
        <w:t xml:space="preserve">. </w:t>
      </w:r>
      <w:r w:rsidR="00764496">
        <w:rPr>
          <w:szCs w:val="24"/>
        </w:rPr>
        <w:t xml:space="preserve">Niezrealizowanie </w:t>
      </w:r>
      <w:r w:rsidR="000B77DB">
        <w:rPr>
          <w:szCs w:val="24"/>
        </w:rPr>
        <w:t xml:space="preserve">w 2024 r. </w:t>
      </w:r>
      <w:r w:rsidR="00764496">
        <w:rPr>
          <w:szCs w:val="24"/>
        </w:rPr>
        <w:t xml:space="preserve">zaplanowanych robót </w:t>
      </w:r>
      <w:r w:rsidR="00A21E4D">
        <w:rPr>
          <w:szCs w:val="24"/>
        </w:rPr>
        <w:t>spowodowane</w:t>
      </w:r>
      <w:r w:rsidR="00764496">
        <w:rPr>
          <w:szCs w:val="24"/>
        </w:rPr>
        <w:t xml:space="preserve"> jest opóźnienie</w:t>
      </w:r>
      <w:r w:rsidR="00A21E4D">
        <w:rPr>
          <w:szCs w:val="24"/>
        </w:rPr>
        <w:t>m</w:t>
      </w:r>
      <w:r w:rsidR="00764496">
        <w:rPr>
          <w:szCs w:val="24"/>
        </w:rPr>
        <w:t xml:space="preserve">, które rozpoczęło się </w:t>
      </w:r>
      <w:r w:rsidR="00871C6C">
        <w:rPr>
          <w:szCs w:val="24"/>
        </w:rPr>
        <w:t xml:space="preserve">już </w:t>
      </w:r>
      <w:r w:rsidR="00764496">
        <w:rPr>
          <w:szCs w:val="24"/>
        </w:rPr>
        <w:t>w 2022 r.</w:t>
      </w:r>
      <w:r w:rsidR="00871C6C">
        <w:rPr>
          <w:szCs w:val="24"/>
        </w:rPr>
        <w:t xml:space="preserve"> Powstałe opóźnienie jest </w:t>
      </w:r>
      <w:r w:rsidR="00CC23A0">
        <w:rPr>
          <w:szCs w:val="24"/>
        </w:rPr>
        <w:t>wynikiem</w:t>
      </w:r>
      <w:r w:rsidR="00764496">
        <w:rPr>
          <w:szCs w:val="24"/>
        </w:rPr>
        <w:t xml:space="preserve"> zmian</w:t>
      </w:r>
      <w:r w:rsidR="00CC23A0">
        <w:rPr>
          <w:szCs w:val="24"/>
        </w:rPr>
        <w:t xml:space="preserve"> </w:t>
      </w:r>
      <w:r w:rsidR="00764496">
        <w:rPr>
          <w:szCs w:val="24"/>
        </w:rPr>
        <w:t>gospodarcz</w:t>
      </w:r>
      <w:r w:rsidR="00A21E4D">
        <w:rPr>
          <w:szCs w:val="24"/>
        </w:rPr>
        <w:t>y</w:t>
      </w:r>
      <w:r w:rsidR="00CC23A0">
        <w:rPr>
          <w:szCs w:val="24"/>
        </w:rPr>
        <w:t>ch</w:t>
      </w:r>
      <w:r w:rsidR="00764496">
        <w:rPr>
          <w:szCs w:val="24"/>
        </w:rPr>
        <w:t xml:space="preserve"> na rynku budowlanym (tj. znaczny wzrost cen materiałów i usług), któr</w:t>
      </w:r>
      <w:r w:rsidR="00A21E4D">
        <w:rPr>
          <w:szCs w:val="24"/>
        </w:rPr>
        <w:t>e</w:t>
      </w:r>
      <w:r w:rsidR="00764496">
        <w:rPr>
          <w:szCs w:val="24"/>
        </w:rPr>
        <w:t xml:space="preserve"> wymusiły wówczas unieważnienie postępowania przetargowego w przedmiocie wyłonienia wykonawcy robót budowlano</w:t>
      </w:r>
      <w:r w:rsidR="00057D21">
        <w:rPr>
          <w:szCs w:val="24"/>
        </w:rPr>
        <w:t>-</w:t>
      </w:r>
      <w:r w:rsidR="00764496">
        <w:rPr>
          <w:szCs w:val="24"/>
        </w:rPr>
        <w:t>instalacyjnych z powodu braku wystarczających środków dotacyjnych w</w:t>
      </w:r>
      <w:r w:rsidR="00BA7503">
        <w:rPr>
          <w:szCs w:val="24"/>
        </w:rPr>
        <w:t> </w:t>
      </w:r>
      <w:r w:rsidR="00513604">
        <w:rPr>
          <w:szCs w:val="24"/>
        </w:rPr>
        <w:t>P</w:t>
      </w:r>
      <w:r w:rsidR="00764496">
        <w:rPr>
          <w:szCs w:val="24"/>
        </w:rPr>
        <w:t xml:space="preserve">rogramie. </w:t>
      </w:r>
      <w:r w:rsidR="0095635E">
        <w:rPr>
          <w:szCs w:val="24"/>
        </w:rPr>
        <w:t>Po zwiększeniu środków dotacji w 2023 r. i zmniejszeniu zakresu rzeczowego dla zadania nr 1</w:t>
      </w:r>
      <w:r w:rsidR="00CC23A0">
        <w:rPr>
          <w:szCs w:val="24"/>
        </w:rPr>
        <w:t>,</w:t>
      </w:r>
      <w:r w:rsidR="0095635E">
        <w:rPr>
          <w:szCs w:val="24"/>
        </w:rPr>
        <w:t xml:space="preserve"> w którym zrezygnowano z budowy trzeciego piętra we wszystkich skrzydłach budynku</w:t>
      </w:r>
      <w:r w:rsidR="00CC23A0">
        <w:rPr>
          <w:szCs w:val="24"/>
        </w:rPr>
        <w:t>,</w:t>
      </w:r>
      <w:r w:rsidR="0095635E">
        <w:rPr>
          <w:szCs w:val="24"/>
        </w:rPr>
        <w:t xml:space="preserve"> przystąpiono do prac </w:t>
      </w:r>
      <w:r w:rsidR="00764496">
        <w:rPr>
          <w:szCs w:val="24"/>
        </w:rPr>
        <w:t xml:space="preserve">na podstawie istniejącego pozwolenia na budowę i posiadanej dokumentacji projektowej przy jednoczesnym uruchomieniu prac projektowych. Generalny </w:t>
      </w:r>
      <w:r w:rsidR="00871C6C">
        <w:rPr>
          <w:szCs w:val="24"/>
        </w:rPr>
        <w:t>W</w:t>
      </w:r>
      <w:r w:rsidR="00764496">
        <w:rPr>
          <w:szCs w:val="24"/>
        </w:rPr>
        <w:t xml:space="preserve">ykonawca, aby zmieścić się w wynagrodzeniu określonym w swojej ofercie założył, że opracuje na podstawie istniejącej, przekazanej przez </w:t>
      </w:r>
      <w:r w:rsidR="00D16C67">
        <w:rPr>
          <w:szCs w:val="24"/>
        </w:rPr>
        <w:t>I</w:t>
      </w:r>
      <w:r w:rsidR="00764496">
        <w:rPr>
          <w:szCs w:val="24"/>
        </w:rPr>
        <w:t>nwestora dokumentacji projektowej i</w:t>
      </w:r>
      <w:r w:rsidR="00871C6C">
        <w:rPr>
          <w:szCs w:val="24"/>
        </w:rPr>
        <w:t> </w:t>
      </w:r>
      <w:r w:rsidR="00764496">
        <w:rPr>
          <w:szCs w:val="24"/>
        </w:rPr>
        <w:t>P</w:t>
      </w:r>
      <w:r w:rsidR="003220E0">
        <w:rPr>
          <w:szCs w:val="24"/>
        </w:rPr>
        <w:t xml:space="preserve">rogramu </w:t>
      </w:r>
      <w:r w:rsidR="00764496">
        <w:rPr>
          <w:szCs w:val="24"/>
        </w:rPr>
        <w:t>F</w:t>
      </w:r>
      <w:r w:rsidR="003220E0">
        <w:rPr>
          <w:szCs w:val="24"/>
        </w:rPr>
        <w:t>unkcjonalno</w:t>
      </w:r>
      <w:r w:rsidR="002C3120">
        <w:rPr>
          <w:szCs w:val="24"/>
        </w:rPr>
        <w:t>-</w:t>
      </w:r>
      <w:r w:rsidR="00764496">
        <w:rPr>
          <w:szCs w:val="24"/>
        </w:rPr>
        <w:t>U</w:t>
      </w:r>
      <w:r w:rsidR="003220E0">
        <w:rPr>
          <w:szCs w:val="24"/>
        </w:rPr>
        <w:t>żytkow</w:t>
      </w:r>
      <w:r w:rsidR="002C3120">
        <w:rPr>
          <w:szCs w:val="24"/>
        </w:rPr>
        <w:t>ego</w:t>
      </w:r>
      <w:r w:rsidR="00871C6C">
        <w:rPr>
          <w:szCs w:val="24"/>
        </w:rPr>
        <w:t>, zwanego dalej „</w:t>
      </w:r>
      <w:r w:rsidR="003220E0">
        <w:rPr>
          <w:szCs w:val="24"/>
        </w:rPr>
        <w:t>PFU</w:t>
      </w:r>
      <w:r w:rsidR="00871C6C">
        <w:rPr>
          <w:szCs w:val="24"/>
        </w:rPr>
        <w:t>”,</w:t>
      </w:r>
      <w:r w:rsidR="00764496">
        <w:rPr>
          <w:szCs w:val="24"/>
        </w:rPr>
        <w:t xml:space="preserve"> </w:t>
      </w:r>
      <w:r w:rsidR="001C0466">
        <w:rPr>
          <w:szCs w:val="24"/>
        </w:rPr>
        <w:t>oraz</w:t>
      </w:r>
      <w:r w:rsidR="00764496">
        <w:rPr>
          <w:szCs w:val="24"/>
        </w:rPr>
        <w:t xml:space="preserve"> ścisłej współpracy z</w:t>
      </w:r>
      <w:r w:rsidR="00BA7503">
        <w:rPr>
          <w:szCs w:val="24"/>
        </w:rPr>
        <w:t> </w:t>
      </w:r>
      <w:r w:rsidR="00764496">
        <w:rPr>
          <w:szCs w:val="24"/>
        </w:rPr>
        <w:t xml:space="preserve">inwestorem nową dokumentację projektową. Od samego początku </w:t>
      </w:r>
      <w:r w:rsidR="003220E0">
        <w:rPr>
          <w:szCs w:val="24"/>
        </w:rPr>
        <w:t xml:space="preserve">Generalny </w:t>
      </w:r>
      <w:r w:rsidR="00871C6C">
        <w:rPr>
          <w:szCs w:val="24"/>
        </w:rPr>
        <w:t>W</w:t>
      </w:r>
      <w:r w:rsidR="00764496">
        <w:rPr>
          <w:szCs w:val="24"/>
        </w:rPr>
        <w:t xml:space="preserve">ykonawca założył również, że aby zmieścić się w środkach przewidzianych w tym zadaniu będzie musiał zastosować inne rozwiązania niż te przyjęte w </w:t>
      </w:r>
      <w:r w:rsidR="001C0466">
        <w:rPr>
          <w:szCs w:val="24"/>
        </w:rPr>
        <w:t xml:space="preserve">już istniejącej </w:t>
      </w:r>
      <w:r w:rsidR="00764496">
        <w:rPr>
          <w:szCs w:val="24"/>
        </w:rPr>
        <w:t xml:space="preserve">dokumentacji projektowej. W trakcie tej współpracy w procesie uzgadniania wymagań i oczekiwań projektowych </w:t>
      </w:r>
      <w:r w:rsidR="006E6F64">
        <w:rPr>
          <w:szCs w:val="24"/>
        </w:rPr>
        <w:t>I</w:t>
      </w:r>
      <w:r w:rsidR="00764496">
        <w:rPr>
          <w:szCs w:val="24"/>
        </w:rPr>
        <w:t xml:space="preserve">nwestor </w:t>
      </w:r>
      <w:r w:rsidR="00CC23A0">
        <w:rPr>
          <w:szCs w:val="24"/>
        </w:rPr>
        <w:t>d</w:t>
      </w:r>
      <w:r w:rsidR="00764496">
        <w:rPr>
          <w:szCs w:val="24"/>
        </w:rPr>
        <w:t xml:space="preserve">okonał </w:t>
      </w:r>
      <w:bookmarkStart w:id="8" w:name="_Hlk182684632"/>
      <w:r w:rsidR="00764496">
        <w:rPr>
          <w:szCs w:val="24"/>
        </w:rPr>
        <w:t>ponownie szczegółowej analizy pod względem funkcjonalności jednostek, które mają być ulokowane w obiekcie z</w:t>
      </w:r>
      <w:r w:rsidR="00CC23A0">
        <w:rPr>
          <w:szCs w:val="24"/>
        </w:rPr>
        <w:t> </w:t>
      </w:r>
      <w:r w:rsidR="00764496">
        <w:rPr>
          <w:szCs w:val="24"/>
        </w:rPr>
        <w:t xml:space="preserve">uwzględnieniem zmniejszonej powierzchni budynku oraz oczekiwań przyszłych użytkowników ulokowanych w tym obiekcie, w zakresie spełnienia wymogów jakie obowiązują w tego rodzaju jednostkach zapewniających prowadzenie badań i </w:t>
      </w:r>
      <w:r w:rsidR="00871C6C">
        <w:rPr>
          <w:szCs w:val="24"/>
        </w:rPr>
        <w:t xml:space="preserve">udzielanie </w:t>
      </w:r>
      <w:r w:rsidR="00764496">
        <w:rPr>
          <w:szCs w:val="24"/>
        </w:rPr>
        <w:t xml:space="preserve">świadczeń </w:t>
      </w:r>
      <w:r w:rsidR="00871C6C">
        <w:rPr>
          <w:szCs w:val="24"/>
        </w:rPr>
        <w:t xml:space="preserve">opieki zdrowotnej </w:t>
      </w:r>
      <w:r w:rsidR="00764496">
        <w:rPr>
          <w:szCs w:val="24"/>
        </w:rPr>
        <w:t xml:space="preserve">z uwzględnieniem również rozwiązań zaproponowanych przez </w:t>
      </w:r>
      <w:r w:rsidR="00871C6C">
        <w:rPr>
          <w:szCs w:val="24"/>
        </w:rPr>
        <w:t>G</w:t>
      </w:r>
      <w:r w:rsidR="00764496">
        <w:rPr>
          <w:szCs w:val="24"/>
        </w:rPr>
        <w:t xml:space="preserve">eneralnego </w:t>
      </w:r>
      <w:r w:rsidR="00871C6C">
        <w:rPr>
          <w:szCs w:val="24"/>
        </w:rPr>
        <w:t>W</w:t>
      </w:r>
      <w:r w:rsidR="00764496">
        <w:rPr>
          <w:szCs w:val="24"/>
        </w:rPr>
        <w:t xml:space="preserve">ykonawcę. </w:t>
      </w:r>
      <w:r w:rsidR="00764496">
        <w:rPr>
          <w:rFonts w:cs="Times New Roman"/>
          <w:szCs w:val="24"/>
        </w:rPr>
        <w:t>W wyniku tego procesu zaszła konieczność zmiany funkcjonalnej w obszarze czterech jednostek klin</w:t>
      </w:r>
      <w:r w:rsidR="00764496">
        <w:rPr>
          <w:rFonts w:cs="Times New Roman"/>
        </w:rPr>
        <w:t xml:space="preserve">icznych, </w:t>
      </w:r>
      <w:r w:rsidR="00764496">
        <w:rPr>
          <w:rFonts w:cs="Times New Roman"/>
          <w:szCs w:val="24"/>
        </w:rPr>
        <w:t>trzech jednostek dydaktycznych oraz układu sal seminaryjnych i wykładowych.</w:t>
      </w:r>
    </w:p>
    <w:p w14:paraId="127CCF3A" w14:textId="77777777" w:rsidR="00764496" w:rsidRDefault="00764496" w:rsidP="007B237D">
      <w:pPr>
        <w:ind w:firstLine="426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Zmiany projektowe w odniesieniu do posiadanej dokumentacji projektowej i samego PFU dotyczą głównie następujących jednostek:</w:t>
      </w:r>
    </w:p>
    <w:p w14:paraId="59268D6E" w14:textId="71DD98CD" w:rsidR="00764496" w:rsidRDefault="00764496" w:rsidP="004209C5">
      <w:pPr>
        <w:pStyle w:val="Akapitzlist"/>
        <w:widowControl/>
        <w:numPr>
          <w:ilvl w:val="0"/>
          <w:numId w:val="29"/>
        </w:numPr>
        <w:autoSpaceDE/>
        <w:autoSpaceDN/>
        <w:adjustRightInd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klinicznych: Ambulatoryjna Opieka Onkologiczna, Dział Onkologicznego Leczenia Wspomagającego, </w:t>
      </w:r>
      <w:proofErr w:type="spellStart"/>
      <w:r>
        <w:rPr>
          <w:rFonts w:cs="Times New Roman"/>
          <w:szCs w:val="24"/>
        </w:rPr>
        <w:t>Dilo</w:t>
      </w:r>
      <w:proofErr w:type="spellEnd"/>
      <w:r>
        <w:rPr>
          <w:rFonts w:cs="Times New Roman"/>
          <w:szCs w:val="24"/>
        </w:rPr>
        <w:t xml:space="preserve"> z Fizjoterapią Onkologiczną, Laboratorium Mikrobiologiczne, Centrum Badań Klinicznych</w:t>
      </w:r>
      <w:r w:rsidR="00F24BCD">
        <w:rPr>
          <w:rFonts w:cs="Times New Roman"/>
          <w:szCs w:val="24"/>
        </w:rPr>
        <w:t>;</w:t>
      </w:r>
    </w:p>
    <w:p w14:paraId="370C98FE" w14:textId="0B6B1946" w:rsidR="00764496" w:rsidRDefault="00764496" w:rsidP="004209C5">
      <w:pPr>
        <w:pStyle w:val="Akapitzlist"/>
        <w:widowControl/>
        <w:numPr>
          <w:ilvl w:val="0"/>
          <w:numId w:val="29"/>
        </w:numPr>
        <w:autoSpaceDE/>
        <w:autoSpaceDN/>
        <w:adjustRightInd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dydaktycznych: Zakład Farmakokinetyki i Farmacji Klinicznej, Katedry Zakładu Fizjologii, Zakład Biologii</w:t>
      </w:r>
      <w:r w:rsidR="002C3120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Parazytologii i Botaniki Farmaceutycznej umiejscowion</w:t>
      </w:r>
      <w:r w:rsidR="002C3120">
        <w:rPr>
          <w:rFonts w:cs="Times New Roman"/>
          <w:szCs w:val="24"/>
        </w:rPr>
        <w:t>y</w:t>
      </w:r>
      <w:r>
        <w:rPr>
          <w:rFonts w:cs="Times New Roman"/>
          <w:szCs w:val="24"/>
        </w:rPr>
        <w:t xml:space="preserve"> w obiekcie w zamian za pierwotnie umiejscowiony Zakład Nanotechnologii Farmaceutycznej</w:t>
      </w:r>
    </w:p>
    <w:bookmarkEnd w:id="8"/>
    <w:p w14:paraId="717C52B9" w14:textId="04352CD9" w:rsidR="00B32C5F" w:rsidRPr="005D785C" w:rsidRDefault="00B32C5F" w:rsidP="004209C5">
      <w:pPr>
        <w:widowControl/>
        <w:autoSpaceDE/>
        <w:autoSpaceDN/>
        <w:adjustRightInd/>
        <w:jc w:val="both"/>
        <w:rPr>
          <w:rFonts w:cs="Times New Roman"/>
          <w:szCs w:val="24"/>
        </w:rPr>
      </w:pPr>
      <w:r w:rsidRPr="005D785C">
        <w:rPr>
          <w:rFonts w:cs="Times New Roman"/>
          <w:szCs w:val="24"/>
        </w:rPr>
        <w:t xml:space="preserve">oraz w </w:t>
      </w:r>
      <w:r w:rsidR="00213957">
        <w:rPr>
          <w:rFonts w:cs="Times New Roman"/>
          <w:szCs w:val="24"/>
        </w:rPr>
        <w:t>części</w:t>
      </w:r>
      <w:r w:rsidR="002C3120">
        <w:rPr>
          <w:rFonts w:cs="Times New Roman"/>
          <w:szCs w:val="24"/>
        </w:rPr>
        <w:t>ach</w:t>
      </w:r>
      <w:r w:rsidR="005D785C" w:rsidRPr="005D785C">
        <w:rPr>
          <w:rFonts w:cs="Times New Roman"/>
          <w:szCs w:val="24"/>
        </w:rPr>
        <w:t xml:space="preserve"> </w:t>
      </w:r>
      <w:r w:rsidRPr="005D785C">
        <w:rPr>
          <w:rFonts w:cs="Times New Roman"/>
          <w:szCs w:val="24"/>
        </w:rPr>
        <w:t xml:space="preserve">wspólnych projektowanego obiektu, użytkowanych </w:t>
      </w:r>
      <w:r w:rsidR="00A25229" w:rsidRPr="005D785C">
        <w:rPr>
          <w:rFonts w:cs="Times New Roman"/>
          <w:szCs w:val="24"/>
        </w:rPr>
        <w:t xml:space="preserve">przez Inwestora oraz Szpital </w:t>
      </w:r>
      <w:r w:rsidRPr="005D785C">
        <w:rPr>
          <w:rFonts w:cs="Times New Roman"/>
          <w:szCs w:val="24"/>
        </w:rPr>
        <w:t>w zakresie układu i lokalizacji sal seminaryjnych, wykładowych, sanitariatów, pomieszczeń gospodarczych itp.</w:t>
      </w:r>
    </w:p>
    <w:p w14:paraId="497E7F96" w14:textId="26B27AB1" w:rsidR="00B32C5F" w:rsidRPr="00B32C5F" w:rsidRDefault="00B32C5F" w:rsidP="00513604">
      <w:pPr>
        <w:ind w:firstLine="708"/>
        <w:jc w:val="both"/>
        <w:rPr>
          <w:rFonts w:cs="Times New Roman"/>
          <w:szCs w:val="24"/>
        </w:rPr>
      </w:pPr>
      <w:r w:rsidRPr="00B32C5F">
        <w:rPr>
          <w:rFonts w:cs="Times New Roman"/>
          <w:szCs w:val="24"/>
        </w:rPr>
        <w:t>Zmiany w jednostkach klinicznych dotyczą stworzenia dodatkowych pomieszczeń sanitarnych (toalet, łazienek) dostosowanych dla potrzeb osób niepełnosprawnych, co przełoży się na zapewnienie pacjentom najwyższej jakości świadczonych usług medycznych</w:t>
      </w:r>
      <w:r w:rsidR="00DC13DE">
        <w:rPr>
          <w:rFonts w:cs="Times New Roman"/>
          <w:szCs w:val="24"/>
        </w:rPr>
        <w:t>.</w:t>
      </w:r>
      <w:r w:rsidRPr="00B32C5F">
        <w:rPr>
          <w:rFonts w:cs="Times New Roman"/>
          <w:szCs w:val="24"/>
        </w:rPr>
        <w:t xml:space="preserve"> Zmiany te wynikają </w:t>
      </w:r>
      <w:r w:rsidR="00DC13DE" w:rsidRPr="00B32C5F">
        <w:rPr>
          <w:rFonts w:cs="Times New Roman"/>
          <w:szCs w:val="24"/>
        </w:rPr>
        <w:t xml:space="preserve">również </w:t>
      </w:r>
      <w:r w:rsidRPr="00B32C5F">
        <w:rPr>
          <w:rFonts w:cs="Times New Roman"/>
          <w:szCs w:val="24"/>
        </w:rPr>
        <w:t xml:space="preserve">z konieczności dostosowania standardów leczenia do rosnących oczekiwań pacjentów oraz ich bezpieczeństwa, w przedmiocie udzielania świadczeń </w:t>
      </w:r>
      <w:r w:rsidR="00871C6C">
        <w:rPr>
          <w:rFonts w:cs="Times New Roman"/>
          <w:szCs w:val="24"/>
        </w:rPr>
        <w:t xml:space="preserve">opieki </w:t>
      </w:r>
      <w:r w:rsidR="003220E0">
        <w:rPr>
          <w:rFonts w:cs="Times New Roman"/>
          <w:szCs w:val="24"/>
        </w:rPr>
        <w:t>zdrowotn</w:t>
      </w:r>
      <w:r w:rsidR="00871C6C">
        <w:rPr>
          <w:rFonts w:cs="Times New Roman"/>
          <w:szCs w:val="24"/>
        </w:rPr>
        <w:t>ej</w:t>
      </w:r>
      <w:r w:rsidR="003220E0" w:rsidRPr="00B32C5F">
        <w:rPr>
          <w:rFonts w:cs="Times New Roman"/>
          <w:szCs w:val="24"/>
        </w:rPr>
        <w:t xml:space="preserve"> </w:t>
      </w:r>
      <w:r w:rsidRPr="00B32C5F">
        <w:rPr>
          <w:rFonts w:cs="Times New Roman"/>
          <w:szCs w:val="24"/>
        </w:rPr>
        <w:t>z</w:t>
      </w:r>
      <w:r w:rsidR="00CC23A0">
        <w:rPr>
          <w:rFonts w:cs="Times New Roman"/>
          <w:szCs w:val="24"/>
        </w:rPr>
        <w:t> </w:t>
      </w:r>
      <w:r w:rsidRPr="00B32C5F">
        <w:rPr>
          <w:rFonts w:cs="Times New Roman"/>
          <w:szCs w:val="24"/>
        </w:rPr>
        <w:t>zakresu onkologii, medycyny paliatywnej, rehabilitacji</w:t>
      </w:r>
      <w:r w:rsidR="0075331D">
        <w:rPr>
          <w:rFonts w:cs="Times New Roman"/>
          <w:szCs w:val="24"/>
        </w:rPr>
        <w:t>.</w:t>
      </w:r>
    </w:p>
    <w:p w14:paraId="35D86A7E" w14:textId="26B559FD" w:rsidR="00764496" w:rsidRDefault="00B343BB" w:rsidP="00513604">
      <w:pPr>
        <w:ind w:firstLine="708"/>
        <w:jc w:val="both"/>
        <w:rPr>
          <w:rFonts w:cstheme="minorBidi"/>
          <w:szCs w:val="24"/>
        </w:rPr>
      </w:pPr>
      <w:r>
        <w:rPr>
          <w:rFonts w:cs="Times New Roman"/>
          <w:szCs w:val="24"/>
        </w:rPr>
        <w:t>P</w:t>
      </w:r>
      <w:r w:rsidR="00B32C5F" w:rsidRPr="00B32C5F">
        <w:rPr>
          <w:rFonts w:cs="Times New Roman"/>
          <w:szCs w:val="24"/>
        </w:rPr>
        <w:t xml:space="preserve">owodem wprowadzenia zmian w jednostkach dydaktycznych jest brak możliwości pozyskania kadry dla planowanego Zakładu Nanotechnologii Farmaceutycznej, która była jedną z czterech jednostek wchodzących w skład planowanego Collegium </w:t>
      </w:r>
      <w:proofErr w:type="spellStart"/>
      <w:r w:rsidR="00B32C5F" w:rsidRPr="00B32C5F">
        <w:rPr>
          <w:rFonts w:cs="Times New Roman"/>
          <w:szCs w:val="24"/>
        </w:rPr>
        <w:t>Pharmaceuticum</w:t>
      </w:r>
      <w:proofErr w:type="spellEnd"/>
      <w:r w:rsidR="00871C6C">
        <w:rPr>
          <w:rFonts w:cs="Times New Roman"/>
          <w:szCs w:val="24"/>
        </w:rPr>
        <w:t>,</w:t>
      </w:r>
      <w:r w:rsidR="00B32C5F" w:rsidRPr="00B32C5F">
        <w:rPr>
          <w:rFonts w:cs="Times New Roman"/>
          <w:szCs w:val="24"/>
        </w:rPr>
        <w:t xml:space="preserve"> przewidzianego w budynku kliniczno-dydaktyczno-badawcz</w:t>
      </w:r>
      <w:r w:rsidR="00F832D7">
        <w:rPr>
          <w:rFonts w:cs="Times New Roman"/>
          <w:szCs w:val="24"/>
        </w:rPr>
        <w:t>ym,</w:t>
      </w:r>
      <w:r w:rsidR="00B32C5F" w:rsidRPr="00B32C5F">
        <w:rPr>
          <w:rFonts w:cs="Times New Roman"/>
          <w:szCs w:val="24"/>
        </w:rPr>
        <w:t xml:space="preserve"> realizowanego w ramach zadania nr 1. Dlatego zgodnie z decyzją Rektora </w:t>
      </w:r>
      <w:r w:rsidR="00CC23A0">
        <w:rPr>
          <w:rFonts w:cs="Times New Roman"/>
          <w:szCs w:val="24"/>
        </w:rPr>
        <w:t>Pomorskiego Uniwersytetu Medycznego</w:t>
      </w:r>
      <w:r w:rsidR="00CC23A0" w:rsidRPr="00B32C5F">
        <w:rPr>
          <w:rFonts w:cs="Times New Roman"/>
          <w:szCs w:val="24"/>
        </w:rPr>
        <w:t xml:space="preserve"> </w:t>
      </w:r>
      <w:r w:rsidR="00B32C5F" w:rsidRPr="00B32C5F">
        <w:rPr>
          <w:rFonts w:cs="Times New Roman"/>
          <w:szCs w:val="24"/>
        </w:rPr>
        <w:t xml:space="preserve">pomieszczenia przewidziane dla tej jednostki zostały przeznaczone dla Zakładu Biologii, Parazytologii i Botaniki Farmaceutycznej. </w:t>
      </w:r>
      <w:r w:rsidR="00764496">
        <w:rPr>
          <w:rFonts w:cs="Times New Roman"/>
          <w:szCs w:val="24"/>
        </w:rPr>
        <w:t xml:space="preserve">Wszystkie opisane powyżej zmiany, ich skala oraz uszczegółowianie w procesie uzgadniania między </w:t>
      </w:r>
      <w:r w:rsidR="00E90C57">
        <w:rPr>
          <w:rFonts w:cs="Times New Roman"/>
          <w:szCs w:val="24"/>
        </w:rPr>
        <w:t>I</w:t>
      </w:r>
      <w:r w:rsidR="00764496">
        <w:rPr>
          <w:rFonts w:cs="Times New Roman"/>
          <w:szCs w:val="24"/>
        </w:rPr>
        <w:t>nwestorem a</w:t>
      </w:r>
      <w:r w:rsidR="00CC23A0">
        <w:rPr>
          <w:rFonts w:cs="Times New Roman"/>
          <w:szCs w:val="24"/>
        </w:rPr>
        <w:t> </w:t>
      </w:r>
      <w:r w:rsidR="006C3C13">
        <w:rPr>
          <w:rFonts w:cs="Times New Roman"/>
          <w:szCs w:val="24"/>
        </w:rPr>
        <w:t>Generalnym W</w:t>
      </w:r>
      <w:r w:rsidR="00764496">
        <w:rPr>
          <w:rFonts w:cs="Times New Roman"/>
          <w:szCs w:val="24"/>
        </w:rPr>
        <w:t xml:space="preserve">ykonawcą w zakresie projektowania, pomimo uzyskania </w:t>
      </w:r>
      <w:r w:rsidR="006C3C13">
        <w:rPr>
          <w:rFonts w:cs="Times New Roman"/>
          <w:szCs w:val="24"/>
        </w:rPr>
        <w:t xml:space="preserve">przez Generalnego Wykonawcę </w:t>
      </w:r>
      <w:r w:rsidR="00764496">
        <w:rPr>
          <w:rFonts w:cs="Times New Roman"/>
          <w:szCs w:val="24"/>
        </w:rPr>
        <w:t xml:space="preserve">zamiennego pozwolenia budowlanego (zgodnie z terminem </w:t>
      </w:r>
      <w:r w:rsidR="0075331D">
        <w:rPr>
          <w:rFonts w:cs="Times New Roman"/>
          <w:szCs w:val="24"/>
        </w:rPr>
        <w:t xml:space="preserve">określonym </w:t>
      </w:r>
      <w:r w:rsidR="00764496">
        <w:rPr>
          <w:rFonts w:cs="Times New Roman"/>
          <w:szCs w:val="24"/>
        </w:rPr>
        <w:t>w umowie), wpływają na konieczność wydłużeni</w:t>
      </w:r>
      <w:r w:rsidR="00B32C5F">
        <w:rPr>
          <w:rFonts w:cs="Times New Roman"/>
          <w:szCs w:val="24"/>
        </w:rPr>
        <w:t>a</w:t>
      </w:r>
      <w:r w:rsidR="00764496">
        <w:rPr>
          <w:rFonts w:cs="Times New Roman"/>
          <w:szCs w:val="24"/>
        </w:rPr>
        <w:t xml:space="preserve"> okresu przewidzianego w umowie z </w:t>
      </w:r>
      <w:r w:rsidR="006C3C13">
        <w:rPr>
          <w:rFonts w:cs="Times New Roman"/>
          <w:szCs w:val="24"/>
        </w:rPr>
        <w:t>G</w:t>
      </w:r>
      <w:r w:rsidR="00764496">
        <w:rPr>
          <w:rFonts w:cs="Times New Roman"/>
          <w:szCs w:val="24"/>
        </w:rPr>
        <w:t xml:space="preserve">eneralnym </w:t>
      </w:r>
      <w:r w:rsidR="006C3C13">
        <w:rPr>
          <w:rFonts w:cs="Times New Roman"/>
          <w:szCs w:val="24"/>
        </w:rPr>
        <w:t>W</w:t>
      </w:r>
      <w:r w:rsidR="00764496">
        <w:rPr>
          <w:rFonts w:cs="Times New Roman"/>
          <w:szCs w:val="24"/>
        </w:rPr>
        <w:t>ykonawcą na uzyskani</w:t>
      </w:r>
      <w:r w:rsidR="006C3C13">
        <w:rPr>
          <w:rFonts w:cs="Times New Roman"/>
          <w:szCs w:val="24"/>
        </w:rPr>
        <w:t>e</w:t>
      </w:r>
      <w:r w:rsidR="00764496">
        <w:rPr>
          <w:rFonts w:cs="Times New Roman"/>
          <w:szCs w:val="24"/>
        </w:rPr>
        <w:t xml:space="preserve"> </w:t>
      </w:r>
      <w:proofErr w:type="gramStart"/>
      <w:r w:rsidR="00764496">
        <w:rPr>
          <w:rFonts w:cs="Times New Roman"/>
          <w:szCs w:val="24"/>
        </w:rPr>
        <w:t>pełnej  dokumentacji</w:t>
      </w:r>
      <w:proofErr w:type="gramEnd"/>
      <w:r w:rsidR="00764496">
        <w:rPr>
          <w:rFonts w:cs="Times New Roman"/>
          <w:szCs w:val="24"/>
        </w:rPr>
        <w:t xml:space="preserve"> projektowej, w tym projektu wykonawczego</w:t>
      </w:r>
      <w:r w:rsidR="006C3C13">
        <w:rPr>
          <w:rFonts w:cs="Times New Roman"/>
          <w:szCs w:val="24"/>
        </w:rPr>
        <w:t>. T</w:t>
      </w:r>
      <w:r w:rsidR="00764496">
        <w:rPr>
          <w:rFonts w:cs="Times New Roman"/>
          <w:szCs w:val="24"/>
        </w:rPr>
        <w:t>ym samym bez ostatecznego zakończenia tych uzgodnień</w:t>
      </w:r>
      <w:r w:rsidR="00764496">
        <w:rPr>
          <w:szCs w:val="24"/>
        </w:rPr>
        <w:t xml:space="preserve"> i opracowań projektowych nie można było przystąpić do wykonania prac instalacyjnych zaplanowanych pierwotnie na IV kwartał br. w</w:t>
      </w:r>
      <w:r w:rsidR="00CC23A0">
        <w:rPr>
          <w:szCs w:val="24"/>
        </w:rPr>
        <w:t> </w:t>
      </w:r>
      <w:r w:rsidR="00764496">
        <w:rPr>
          <w:szCs w:val="24"/>
        </w:rPr>
        <w:t xml:space="preserve">najniższych wybudowanych już kondygnacjach w obiekcie. </w:t>
      </w:r>
    </w:p>
    <w:p w14:paraId="4A7A29D5" w14:textId="2BCB3DA4" w:rsidR="00764496" w:rsidRDefault="00764496" w:rsidP="007B237D">
      <w:pPr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Stan taki spowodował, że w 2024 r. z przyznanych środków z budżetu państwa</w:t>
      </w:r>
      <w:r>
        <w:rPr>
          <w:rFonts w:cs="Times New Roman"/>
          <w:szCs w:val="24"/>
        </w:rPr>
        <w:br/>
        <w:t>z części 46 – Zdrowie, w rozdziale 73014 –</w:t>
      </w:r>
      <w:r w:rsidR="0006616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Działalność dydaktyczna i badawcza w wysokości </w:t>
      </w:r>
      <w:r w:rsidRPr="00513604">
        <w:rPr>
          <w:rFonts w:cs="Times New Roman"/>
          <w:b/>
          <w:bCs/>
          <w:szCs w:val="24"/>
        </w:rPr>
        <w:t>118 058 000 zł</w:t>
      </w:r>
      <w:r>
        <w:rPr>
          <w:rFonts w:cs="Times New Roman"/>
          <w:szCs w:val="24"/>
        </w:rPr>
        <w:t xml:space="preserve"> wykorzystane zostaną środki w wysokość </w:t>
      </w:r>
      <w:r w:rsidRPr="00513604">
        <w:rPr>
          <w:rFonts w:cs="Times New Roman"/>
          <w:b/>
          <w:bCs/>
          <w:szCs w:val="24"/>
        </w:rPr>
        <w:t>106 700 000 zł,</w:t>
      </w:r>
      <w:r>
        <w:rPr>
          <w:rFonts w:cs="Times New Roman"/>
          <w:szCs w:val="24"/>
        </w:rPr>
        <w:t xml:space="preserve"> natomiast w rozdziale </w:t>
      </w:r>
      <w:r>
        <w:rPr>
          <w:rFonts w:cs="Times New Roman"/>
          <w:szCs w:val="24"/>
        </w:rPr>
        <w:lastRenderedPageBreak/>
        <w:t>85112</w:t>
      </w:r>
      <w:r w:rsidR="0006616B">
        <w:rPr>
          <w:rFonts w:cs="Times New Roman"/>
          <w:szCs w:val="24"/>
        </w:rPr>
        <w:t xml:space="preserve"> </w:t>
      </w:r>
      <w:r w:rsidR="0006616B">
        <w:rPr>
          <w:rFonts w:cs="Times New Roman"/>
          <w:szCs w:val="24"/>
        </w:rPr>
        <w:sym w:font="Symbol" w:char="F02D"/>
      </w:r>
      <w:r w:rsidR="0006616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Szpitale kliniczne z przyznanych środków w wysokości </w:t>
      </w:r>
      <w:r w:rsidRPr="00513604">
        <w:rPr>
          <w:rFonts w:cs="Times New Roman"/>
          <w:b/>
          <w:bCs/>
          <w:szCs w:val="24"/>
        </w:rPr>
        <w:t>95 186 000 zł</w:t>
      </w:r>
      <w:r>
        <w:rPr>
          <w:rFonts w:cs="Times New Roman"/>
          <w:szCs w:val="24"/>
        </w:rPr>
        <w:t xml:space="preserve"> wykorzystane zostaną środki w wysokości </w:t>
      </w:r>
      <w:r w:rsidRPr="00513604">
        <w:rPr>
          <w:rFonts w:cs="Times New Roman"/>
          <w:b/>
          <w:bCs/>
          <w:szCs w:val="24"/>
        </w:rPr>
        <w:t>51 422 000 zł.</w:t>
      </w:r>
    </w:p>
    <w:p w14:paraId="4BA3A3D9" w14:textId="186E2F1E" w:rsidR="00764496" w:rsidRDefault="00764496" w:rsidP="00513604">
      <w:pPr>
        <w:ind w:firstLine="426"/>
        <w:contextualSpacing/>
        <w:jc w:val="both"/>
        <w:rPr>
          <w:rFonts w:cstheme="minorBidi"/>
          <w:szCs w:val="24"/>
        </w:rPr>
      </w:pPr>
      <w:r>
        <w:rPr>
          <w:rFonts w:cs="Times New Roman"/>
          <w:szCs w:val="24"/>
        </w:rPr>
        <w:t xml:space="preserve">W związku z powyższym niezbędne jest </w:t>
      </w:r>
      <w:r w:rsidR="00A21E4D">
        <w:rPr>
          <w:rFonts w:cs="Times New Roman"/>
          <w:szCs w:val="24"/>
        </w:rPr>
        <w:t xml:space="preserve">zwiększenie środków w dalszych latach realizacji </w:t>
      </w:r>
      <w:r w:rsidR="00EF7154">
        <w:rPr>
          <w:rFonts w:cs="Times New Roman"/>
          <w:szCs w:val="24"/>
        </w:rPr>
        <w:t>Programu w związku z</w:t>
      </w:r>
      <w:r w:rsidR="00A21E4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niewykorzystan</w:t>
      </w:r>
      <w:r w:rsidR="00A21E4D">
        <w:rPr>
          <w:rFonts w:cs="Times New Roman"/>
          <w:szCs w:val="24"/>
        </w:rPr>
        <w:t>ie</w:t>
      </w:r>
      <w:r w:rsidR="00EF7154">
        <w:rPr>
          <w:rFonts w:cs="Times New Roman"/>
          <w:szCs w:val="24"/>
        </w:rPr>
        <w:t>m</w:t>
      </w:r>
      <w:r>
        <w:rPr>
          <w:rFonts w:cs="Times New Roman"/>
          <w:szCs w:val="24"/>
        </w:rPr>
        <w:t xml:space="preserve"> środków </w:t>
      </w:r>
      <w:r w:rsidR="00A21E4D">
        <w:rPr>
          <w:rFonts w:cs="Times New Roman"/>
          <w:szCs w:val="24"/>
        </w:rPr>
        <w:t>w</w:t>
      </w:r>
      <w:r>
        <w:rPr>
          <w:rFonts w:cs="Times New Roman"/>
          <w:szCs w:val="24"/>
        </w:rPr>
        <w:t xml:space="preserve"> 2024</w:t>
      </w:r>
      <w:r w:rsidR="005E4B02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r., w</w:t>
      </w:r>
      <w:r>
        <w:rPr>
          <w:szCs w:val="24"/>
        </w:rPr>
        <w:t xml:space="preserve"> następujący sposób:</w:t>
      </w:r>
    </w:p>
    <w:p w14:paraId="5FD1A302" w14:textId="164A044C" w:rsidR="00764496" w:rsidRDefault="00764496" w:rsidP="004209C5">
      <w:pPr>
        <w:widowControl/>
        <w:numPr>
          <w:ilvl w:val="0"/>
          <w:numId w:val="30"/>
        </w:numPr>
        <w:autoSpaceDE/>
        <w:autoSpaceDN/>
        <w:adjustRightInd/>
        <w:contextualSpacing/>
        <w:jc w:val="both"/>
        <w:rPr>
          <w:szCs w:val="24"/>
        </w:rPr>
      </w:pPr>
      <w:r>
        <w:rPr>
          <w:szCs w:val="24"/>
        </w:rPr>
        <w:t xml:space="preserve">w rozdziale 73014 – Działalność dydaktyczna i badawcza </w:t>
      </w:r>
      <w:r w:rsidR="00A21E4D">
        <w:rPr>
          <w:szCs w:val="24"/>
        </w:rPr>
        <w:t>–</w:t>
      </w:r>
      <w:r w:rsidR="005E4B02">
        <w:rPr>
          <w:szCs w:val="24"/>
        </w:rPr>
        <w:t xml:space="preserve"> </w:t>
      </w:r>
      <w:r w:rsidR="00A21E4D">
        <w:rPr>
          <w:szCs w:val="24"/>
        </w:rPr>
        <w:t>z uwagi na</w:t>
      </w:r>
      <w:r w:rsidR="00EF7154">
        <w:rPr>
          <w:szCs w:val="24"/>
        </w:rPr>
        <w:t xml:space="preserve"> niewykorzystane</w:t>
      </w:r>
      <w:r w:rsidR="00A21E4D">
        <w:rPr>
          <w:szCs w:val="24"/>
        </w:rPr>
        <w:t xml:space="preserve"> </w:t>
      </w:r>
      <w:r>
        <w:rPr>
          <w:szCs w:val="24"/>
        </w:rPr>
        <w:t xml:space="preserve">środki w wysokości 11 358 000 zł, </w:t>
      </w:r>
      <w:r w:rsidR="00A21E4D">
        <w:rPr>
          <w:szCs w:val="24"/>
        </w:rPr>
        <w:t xml:space="preserve">konieczne jest zwiększenie środków </w:t>
      </w:r>
      <w:r>
        <w:rPr>
          <w:szCs w:val="24"/>
        </w:rPr>
        <w:t>na 2025 r.</w:t>
      </w:r>
      <w:r w:rsidR="00EF7154">
        <w:rPr>
          <w:szCs w:val="24"/>
        </w:rPr>
        <w:t xml:space="preserve"> </w:t>
      </w:r>
      <w:r>
        <w:rPr>
          <w:szCs w:val="24"/>
        </w:rPr>
        <w:t>w</w:t>
      </w:r>
      <w:r w:rsidR="00F73334">
        <w:rPr>
          <w:szCs w:val="24"/>
        </w:rPr>
        <w:t> </w:t>
      </w:r>
      <w:r>
        <w:rPr>
          <w:szCs w:val="24"/>
        </w:rPr>
        <w:t>wysokości 5 766 000 zł i na 2027 r. w kwocie 5 592 000 zł,</w:t>
      </w:r>
    </w:p>
    <w:p w14:paraId="08676224" w14:textId="309392BB" w:rsidR="00764496" w:rsidRDefault="00764496" w:rsidP="004209C5">
      <w:pPr>
        <w:widowControl/>
        <w:numPr>
          <w:ilvl w:val="0"/>
          <w:numId w:val="30"/>
        </w:numPr>
        <w:autoSpaceDE/>
        <w:autoSpaceDN/>
        <w:adjustRightInd/>
        <w:contextualSpacing/>
        <w:jc w:val="both"/>
        <w:rPr>
          <w:szCs w:val="24"/>
        </w:rPr>
      </w:pPr>
      <w:r>
        <w:rPr>
          <w:szCs w:val="24"/>
        </w:rPr>
        <w:t xml:space="preserve">w rozdziale 851112 – Szpitale kliniczne </w:t>
      </w:r>
      <w:r w:rsidR="00EF7154">
        <w:rPr>
          <w:szCs w:val="24"/>
        </w:rPr>
        <w:t xml:space="preserve">– z uwagi na niewykorzystane </w:t>
      </w:r>
      <w:r>
        <w:rPr>
          <w:szCs w:val="24"/>
        </w:rPr>
        <w:t xml:space="preserve">środki niewykorzystane w wysokości 43 764 000 zł, </w:t>
      </w:r>
      <w:r w:rsidR="00EF7154">
        <w:rPr>
          <w:szCs w:val="24"/>
        </w:rPr>
        <w:t xml:space="preserve">konieczne jest zwiększenie środków </w:t>
      </w:r>
      <w:r>
        <w:rPr>
          <w:szCs w:val="24"/>
        </w:rPr>
        <w:t>na 2025</w:t>
      </w:r>
      <w:r w:rsidR="00F73334">
        <w:rPr>
          <w:szCs w:val="24"/>
        </w:rPr>
        <w:t> </w:t>
      </w:r>
      <w:r>
        <w:rPr>
          <w:szCs w:val="24"/>
        </w:rPr>
        <w:t>r. w wysokości 6 431 430 zł i na 2026 r. w wysokości 34 832 277 zł oraz na 2027 r. w</w:t>
      </w:r>
      <w:r w:rsidR="00CC23A0">
        <w:rPr>
          <w:szCs w:val="24"/>
        </w:rPr>
        <w:t> </w:t>
      </w:r>
      <w:r>
        <w:rPr>
          <w:szCs w:val="24"/>
        </w:rPr>
        <w:t>kwocie 2 500 293 zł.</w:t>
      </w:r>
    </w:p>
    <w:p w14:paraId="012CAD77" w14:textId="4FC28CDC" w:rsidR="00764496" w:rsidRDefault="00764496" w:rsidP="007B237D">
      <w:pPr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Jednocześnie należy zauważyć, że w momencie ogłoszenia obowiązującej uchwały </w:t>
      </w:r>
      <w:r w:rsidR="006C3C13">
        <w:rPr>
          <w:rFonts w:cs="Times New Roman"/>
          <w:szCs w:val="24"/>
        </w:rPr>
        <w:t>R</w:t>
      </w:r>
      <w:r w:rsidR="00AE0D17">
        <w:rPr>
          <w:rFonts w:cs="Times New Roman"/>
          <w:szCs w:val="24"/>
        </w:rPr>
        <w:t xml:space="preserve">ady </w:t>
      </w:r>
      <w:proofErr w:type="gramStart"/>
      <w:r w:rsidR="006C3C13">
        <w:rPr>
          <w:rFonts w:cs="Times New Roman"/>
          <w:szCs w:val="24"/>
        </w:rPr>
        <w:t>M</w:t>
      </w:r>
      <w:r w:rsidR="00AE0D17">
        <w:rPr>
          <w:rFonts w:cs="Times New Roman"/>
          <w:szCs w:val="24"/>
        </w:rPr>
        <w:t>inistrów</w:t>
      </w:r>
      <w:r w:rsidR="005F682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nr</w:t>
      </w:r>
      <w:proofErr w:type="gramEnd"/>
      <w:r>
        <w:rPr>
          <w:rFonts w:cs="Times New Roman"/>
          <w:szCs w:val="24"/>
        </w:rPr>
        <w:t xml:space="preserve"> 127/2023</w:t>
      </w:r>
      <w:r w:rsidR="005F6822">
        <w:rPr>
          <w:rFonts w:cs="Times New Roman"/>
          <w:szCs w:val="24"/>
        </w:rPr>
        <w:t xml:space="preserve"> z dnia </w:t>
      </w:r>
      <w:r w:rsidR="006F32CB">
        <w:rPr>
          <w:rFonts w:cs="Times New Roman"/>
          <w:szCs w:val="24"/>
        </w:rPr>
        <w:t>5 lipca 2023 r.,</w:t>
      </w:r>
      <w:r>
        <w:rPr>
          <w:rFonts w:cs="Times New Roman"/>
          <w:szCs w:val="24"/>
        </w:rPr>
        <w:t xml:space="preserve"> wartości kosztorysowe poszczególnych zadań inwestycyjnych realizowanych</w:t>
      </w:r>
      <w:r w:rsidR="006C3C1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w 2023 r. w </w:t>
      </w:r>
      <w:r w:rsidR="00513604">
        <w:rPr>
          <w:rFonts w:cs="Times New Roman"/>
          <w:szCs w:val="24"/>
        </w:rPr>
        <w:t>P</w:t>
      </w:r>
      <w:r>
        <w:rPr>
          <w:rFonts w:cs="Times New Roman"/>
          <w:szCs w:val="24"/>
        </w:rPr>
        <w:t xml:space="preserve">rogramie tj.  zadaniu nr 1, zadaniu nr 3, zadaniu nr 4 i zadaniu nr 6 określone były w oparciu o kosztorysy inwestorskie wykonane przez projektantów na podstawie aktualnych cen oraz wskaźników wszystkich branż ujętych w cennikach </w:t>
      </w:r>
      <w:proofErr w:type="spellStart"/>
      <w:r>
        <w:rPr>
          <w:rFonts w:cs="Times New Roman"/>
          <w:szCs w:val="24"/>
        </w:rPr>
        <w:t>Sekocenbud</w:t>
      </w:r>
      <w:bookmarkStart w:id="9" w:name="_Hlk157586811"/>
      <w:proofErr w:type="spellEnd"/>
      <w:r>
        <w:rPr>
          <w:rFonts w:cs="Times New Roman"/>
          <w:szCs w:val="24"/>
        </w:rPr>
        <w:t xml:space="preserve"> w momencie projektowania</w:t>
      </w:r>
      <w:r w:rsidR="005E4B02">
        <w:rPr>
          <w:rFonts w:cs="Times New Roman"/>
          <w:szCs w:val="24"/>
        </w:rPr>
        <w:t>. N</w:t>
      </w:r>
      <w:r>
        <w:rPr>
          <w:rFonts w:cs="Times New Roman"/>
          <w:szCs w:val="24"/>
        </w:rPr>
        <w:t>a ich podstawie oszacowane zostały wartości zamówień</w:t>
      </w:r>
      <w:r w:rsidR="006C3C1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w postępowaniach przetargowych w przedmiocie wyłonienia wykonawców robót budowlanych w tych zadaniach. </w:t>
      </w:r>
      <w:r w:rsidR="005E4B02">
        <w:rPr>
          <w:rFonts w:cs="Times New Roman"/>
          <w:szCs w:val="24"/>
        </w:rPr>
        <w:t>W</w:t>
      </w:r>
      <w:r>
        <w:rPr>
          <w:rFonts w:cs="Times New Roman"/>
          <w:szCs w:val="24"/>
        </w:rPr>
        <w:t>yniki rozstrzygnięć zapadłych w tych przetargach określiły ostateczne wartości tych zamierzeń inwestycyjnych i strukturę kosztów w grupach WKI.</w:t>
      </w:r>
    </w:p>
    <w:bookmarkEnd w:id="9"/>
    <w:p w14:paraId="74FD73CD" w14:textId="0AD43000" w:rsidR="00764496" w:rsidRDefault="00764496" w:rsidP="00513604">
      <w:pPr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 </w:t>
      </w:r>
      <w:bookmarkStart w:id="10" w:name="_Hlk182688855"/>
      <w:r>
        <w:rPr>
          <w:rFonts w:cs="Times New Roman"/>
          <w:szCs w:val="24"/>
        </w:rPr>
        <w:t>zadaniu nr 4 i zadaniu nr 6, pomimo przeprowadzonych dwukrotnie postępowań przetargowych na wyłonienie w nich wykonawców robót budowlanych, koszty prac w tych zadaniach wycenione przez wykonawców tych robót przewyższyły oszacowane wartości w tych zadaniach. Przekroczenia te spowodowały konieczność zwiększenia środków w tych zadaniach przez dokonanie przesunięci</w:t>
      </w:r>
      <w:r w:rsidR="0059605C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 </w:t>
      </w:r>
      <w:r w:rsidR="006C3C13">
        <w:rPr>
          <w:rFonts w:cs="Times New Roman"/>
          <w:szCs w:val="24"/>
        </w:rPr>
        <w:t>środków</w:t>
      </w:r>
      <w:r>
        <w:rPr>
          <w:rFonts w:cs="Times New Roman"/>
          <w:szCs w:val="24"/>
        </w:rPr>
        <w:t xml:space="preserve"> pomiędzy zadaniami realizowanymi</w:t>
      </w:r>
      <w:r>
        <w:rPr>
          <w:rFonts w:cs="Times New Roman"/>
          <w:szCs w:val="24"/>
        </w:rPr>
        <w:br/>
        <w:t xml:space="preserve">w </w:t>
      </w:r>
      <w:r w:rsidR="00513604">
        <w:rPr>
          <w:rFonts w:cs="Times New Roman"/>
          <w:szCs w:val="24"/>
        </w:rPr>
        <w:t>P</w:t>
      </w:r>
      <w:r>
        <w:rPr>
          <w:rFonts w:cs="Times New Roman"/>
          <w:szCs w:val="24"/>
        </w:rPr>
        <w:t>rogramie oraz pozyskanie dodatkowych środków z innych źródeł. Ponadto</w:t>
      </w:r>
      <w:r w:rsidR="006C3C13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w zadaniu nr 4 zaszła konieczność zwiększenia środków przeznaczonych na wyposażeni</w:t>
      </w:r>
      <w:r w:rsidR="00C16343">
        <w:rPr>
          <w:rFonts w:cs="Times New Roman"/>
          <w:szCs w:val="24"/>
        </w:rPr>
        <w:t>e</w:t>
      </w:r>
      <w:r>
        <w:rPr>
          <w:rFonts w:cs="Times New Roman"/>
          <w:szCs w:val="24"/>
        </w:rPr>
        <w:t>, tak aby w pełnym zakresie zapewnić funkcjonowanie powstałego w wyniku tej inwestycji ośrodka żywienia pozajelitowego i dojelitowego</w:t>
      </w:r>
      <w:bookmarkEnd w:id="10"/>
      <w:r>
        <w:rPr>
          <w:rFonts w:cs="Times New Roman"/>
          <w:szCs w:val="24"/>
        </w:rPr>
        <w:t xml:space="preserve">. </w:t>
      </w:r>
      <w:bookmarkStart w:id="11" w:name="_Hlk182690142"/>
      <w:r>
        <w:rPr>
          <w:rFonts w:cs="Times New Roman"/>
          <w:szCs w:val="24"/>
        </w:rPr>
        <w:t xml:space="preserve">Możliwość taka zaistniała, gdyż w zadaniu nr 3 w postępowaniu </w:t>
      </w:r>
      <w:bookmarkStart w:id="12" w:name="_Hlk177564567"/>
      <w:r>
        <w:rPr>
          <w:rFonts w:cs="Times New Roman"/>
          <w:szCs w:val="24"/>
        </w:rPr>
        <w:t>przetargowym w przedmiocie wyłonienia wykonawcy robót budowlanych uzyskano ofertę niższą od pierwotnie oszacowanej wartości dla tego zadania</w:t>
      </w:r>
      <w:bookmarkEnd w:id="12"/>
      <w:r>
        <w:rPr>
          <w:rFonts w:cs="Times New Roman"/>
          <w:szCs w:val="24"/>
        </w:rPr>
        <w:t>. Działanie to pozwoliło na zwiększenie w zadaniu nr 4 środków dotacyjnych z zadania nr 3</w:t>
      </w:r>
      <w:r w:rsidR="00C1634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 kwotę 1 662 495,51 zł przeznaczonych na roboty budowlano</w:t>
      </w:r>
      <w:r w:rsidR="00FF1683">
        <w:rPr>
          <w:rFonts w:cs="Times New Roman"/>
          <w:szCs w:val="24"/>
        </w:rPr>
        <w:t>-</w:t>
      </w:r>
      <w:r>
        <w:rPr>
          <w:rFonts w:cs="Times New Roman"/>
          <w:szCs w:val="24"/>
        </w:rPr>
        <w:t xml:space="preserve">instalacyjne. Analogiczna sytuacja w jak w zadaniu nr 3 </w:t>
      </w:r>
      <w:r>
        <w:rPr>
          <w:rFonts w:cs="Times New Roman"/>
          <w:szCs w:val="24"/>
        </w:rPr>
        <w:lastRenderedPageBreak/>
        <w:t>zaistniała w zadani</w:t>
      </w:r>
      <w:r w:rsidR="00FF1683">
        <w:rPr>
          <w:rFonts w:cs="Times New Roman"/>
          <w:szCs w:val="24"/>
        </w:rPr>
        <w:t>u</w:t>
      </w:r>
      <w:r>
        <w:rPr>
          <w:rFonts w:cs="Times New Roman"/>
          <w:szCs w:val="24"/>
        </w:rPr>
        <w:t xml:space="preserve"> nr 1, co pozwala na przesunięcie środków dotacyjnych w wysokości 1 426 400,14 zł z zadania nr 1 do zadania nr 4. Działanie takie pozwala min. na wykonanie niezbędnych robót dodatkowych. </w:t>
      </w:r>
    </w:p>
    <w:p w14:paraId="3A506616" w14:textId="1FF00D27" w:rsidR="00764496" w:rsidRDefault="00764496" w:rsidP="007B237D">
      <w:pPr>
        <w:ind w:firstLine="708"/>
        <w:jc w:val="both"/>
        <w:rPr>
          <w:rFonts w:cs="Times New Roman"/>
          <w:szCs w:val="24"/>
        </w:rPr>
      </w:pPr>
      <w:bookmarkStart w:id="13" w:name="_Hlk182690327"/>
      <w:bookmarkEnd w:id="11"/>
      <w:r>
        <w:rPr>
          <w:rFonts w:cs="Times New Roman"/>
          <w:szCs w:val="24"/>
        </w:rPr>
        <w:t xml:space="preserve">Podobna sytuacja jak w zadaniu nr 4 zaistniała </w:t>
      </w:r>
      <w:r w:rsidR="006C3C13">
        <w:rPr>
          <w:rFonts w:cs="Times New Roman"/>
          <w:szCs w:val="24"/>
        </w:rPr>
        <w:t xml:space="preserve">również </w:t>
      </w:r>
      <w:r>
        <w:rPr>
          <w:rFonts w:cs="Times New Roman"/>
          <w:szCs w:val="24"/>
        </w:rPr>
        <w:t xml:space="preserve">w zadaniu </w:t>
      </w:r>
      <w:r w:rsidR="00FF1683">
        <w:rPr>
          <w:rFonts w:cs="Times New Roman"/>
          <w:szCs w:val="24"/>
        </w:rPr>
        <w:t xml:space="preserve">nr </w:t>
      </w:r>
      <w:r>
        <w:rPr>
          <w:rFonts w:cs="Times New Roman"/>
          <w:szCs w:val="24"/>
        </w:rPr>
        <w:t xml:space="preserve">6 i w związku z </w:t>
      </w:r>
      <w:r w:rsidR="00FF1683">
        <w:rPr>
          <w:rFonts w:cs="Times New Roman"/>
          <w:szCs w:val="24"/>
        </w:rPr>
        <w:t xml:space="preserve">tym </w:t>
      </w:r>
      <w:r>
        <w:rPr>
          <w:rFonts w:cs="Times New Roman"/>
          <w:szCs w:val="24"/>
        </w:rPr>
        <w:t xml:space="preserve">podjęto działania celem pozyskania środków z innych źródeł, tak aby </w:t>
      </w:r>
      <w:r w:rsidR="006C3C13">
        <w:rPr>
          <w:rFonts w:cs="Times New Roman"/>
          <w:szCs w:val="24"/>
        </w:rPr>
        <w:t xml:space="preserve">możliwa była </w:t>
      </w:r>
      <w:r>
        <w:rPr>
          <w:rFonts w:cs="Times New Roman"/>
          <w:szCs w:val="24"/>
        </w:rPr>
        <w:t>właściw</w:t>
      </w:r>
      <w:r w:rsidR="006C3C13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 realiz</w:t>
      </w:r>
      <w:r w:rsidR="006C3C13">
        <w:rPr>
          <w:rFonts w:cs="Times New Roman"/>
          <w:szCs w:val="24"/>
        </w:rPr>
        <w:t>acja</w:t>
      </w:r>
      <w:r>
        <w:rPr>
          <w:rFonts w:cs="Times New Roman"/>
          <w:szCs w:val="24"/>
        </w:rPr>
        <w:t xml:space="preserve"> t</w:t>
      </w:r>
      <w:r w:rsidR="006C3C13">
        <w:rPr>
          <w:rFonts w:cs="Times New Roman"/>
          <w:szCs w:val="24"/>
        </w:rPr>
        <w:t>ego</w:t>
      </w:r>
      <w:r>
        <w:rPr>
          <w:rFonts w:cs="Times New Roman"/>
          <w:szCs w:val="24"/>
        </w:rPr>
        <w:t xml:space="preserve"> zadani</w:t>
      </w:r>
      <w:r w:rsidR="006C3C13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 inwestycyjn</w:t>
      </w:r>
      <w:r w:rsidR="006C3C13">
        <w:rPr>
          <w:rFonts w:cs="Times New Roman"/>
          <w:szCs w:val="24"/>
        </w:rPr>
        <w:t>ego</w:t>
      </w:r>
      <w:r>
        <w:rPr>
          <w:rFonts w:cs="Times New Roman"/>
          <w:szCs w:val="24"/>
        </w:rPr>
        <w:t xml:space="preserve">. W wyniku </w:t>
      </w:r>
      <w:r w:rsidR="006C3C13">
        <w:rPr>
          <w:rFonts w:cs="Times New Roman"/>
          <w:szCs w:val="24"/>
        </w:rPr>
        <w:t xml:space="preserve">podjętych </w:t>
      </w:r>
      <w:r>
        <w:rPr>
          <w:rFonts w:cs="Times New Roman"/>
          <w:szCs w:val="24"/>
        </w:rPr>
        <w:t xml:space="preserve">działań pozyskano środki z </w:t>
      </w:r>
      <w:proofErr w:type="spellStart"/>
      <w:r>
        <w:rPr>
          <w:rFonts w:cs="Times New Roman"/>
          <w:szCs w:val="24"/>
        </w:rPr>
        <w:t>WFOŚiG</w:t>
      </w:r>
      <w:r w:rsidR="006E6F64">
        <w:rPr>
          <w:rFonts w:cs="Times New Roman"/>
          <w:szCs w:val="24"/>
        </w:rPr>
        <w:t>W</w:t>
      </w:r>
      <w:proofErr w:type="spellEnd"/>
      <w:r w:rsidR="00EF7154" w:rsidDel="00EF715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w wysokości 6 436 418,14</w:t>
      </w:r>
      <w:r w:rsidR="009E071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zł</w:t>
      </w:r>
      <w:r w:rsidR="006C3C13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w tym w formie dotacji w wysokości 1 614 339,85 </w:t>
      </w:r>
      <w:proofErr w:type="gramStart"/>
      <w:r>
        <w:rPr>
          <w:rFonts w:cs="Times New Roman"/>
          <w:szCs w:val="24"/>
        </w:rPr>
        <w:t>zł  i</w:t>
      </w:r>
      <w:proofErr w:type="gramEnd"/>
      <w:r>
        <w:rPr>
          <w:rFonts w:cs="Times New Roman"/>
          <w:szCs w:val="24"/>
        </w:rPr>
        <w:t xml:space="preserve"> w formie pożyczki w wysokości 4 822 078,29 zł. Jednakże w trakcie realizacji tego zadania z uwagi na fakt, że prowadzone jest ono na istniejąc</w:t>
      </w:r>
      <w:r w:rsidR="00267186">
        <w:rPr>
          <w:rFonts w:cs="Times New Roman"/>
          <w:szCs w:val="24"/>
        </w:rPr>
        <w:t>ym</w:t>
      </w:r>
      <w:r>
        <w:rPr>
          <w:rFonts w:cs="Times New Roman"/>
          <w:szCs w:val="24"/>
        </w:rPr>
        <w:t xml:space="preserve"> </w:t>
      </w:r>
      <w:r w:rsidR="00267186">
        <w:rPr>
          <w:rFonts w:cs="Times New Roman"/>
          <w:szCs w:val="24"/>
        </w:rPr>
        <w:t>przedwojenny</w:t>
      </w:r>
      <w:r w:rsidR="005E6909">
        <w:rPr>
          <w:rFonts w:cs="Times New Roman"/>
          <w:szCs w:val="24"/>
        </w:rPr>
        <w:t>m</w:t>
      </w:r>
      <w:r w:rsidR="00267186">
        <w:rPr>
          <w:rFonts w:cs="Times New Roman"/>
          <w:szCs w:val="24"/>
        </w:rPr>
        <w:t xml:space="preserve"> b</w:t>
      </w:r>
      <w:r>
        <w:rPr>
          <w:rFonts w:cs="Times New Roman"/>
          <w:szCs w:val="24"/>
        </w:rPr>
        <w:t>udyn</w:t>
      </w:r>
      <w:r w:rsidR="00267186">
        <w:rPr>
          <w:rFonts w:cs="Times New Roman"/>
          <w:szCs w:val="24"/>
        </w:rPr>
        <w:t>ku</w:t>
      </w:r>
      <w:r w:rsidR="006C3C13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zaistniał</w:t>
      </w:r>
      <w:r w:rsidR="000A773C">
        <w:rPr>
          <w:rFonts w:cs="Times New Roman"/>
          <w:szCs w:val="24"/>
        </w:rPr>
        <w:t>a konieczność przeprowadzenia</w:t>
      </w:r>
      <w:r>
        <w:rPr>
          <w:rFonts w:cs="Times New Roman"/>
          <w:szCs w:val="24"/>
        </w:rPr>
        <w:t xml:space="preserve"> rob</w:t>
      </w:r>
      <w:r w:rsidR="000A773C">
        <w:rPr>
          <w:rFonts w:cs="Times New Roman"/>
          <w:szCs w:val="24"/>
        </w:rPr>
        <w:t>ót</w:t>
      </w:r>
      <w:r>
        <w:rPr>
          <w:rFonts w:cs="Times New Roman"/>
          <w:szCs w:val="24"/>
        </w:rPr>
        <w:t xml:space="preserve"> dodatkow</w:t>
      </w:r>
      <w:r w:rsidR="000A773C">
        <w:rPr>
          <w:rFonts w:cs="Times New Roman"/>
          <w:szCs w:val="24"/>
        </w:rPr>
        <w:t>ych</w:t>
      </w:r>
      <w:r>
        <w:rPr>
          <w:rFonts w:cs="Times New Roman"/>
          <w:szCs w:val="24"/>
        </w:rPr>
        <w:t>, których nie można było przewidzieć wcześniej</w:t>
      </w:r>
      <w:r w:rsidR="006C3C13">
        <w:rPr>
          <w:rFonts w:cs="Times New Roman"/>
          <w:szCs w:val="24"/>
        </w:rPr>
        <w:t xml:space="preserve">. Roboty te </w:t>
      </w:r>
      <w:r>
        <w:rPr>
          <w:rFonts w:cs="Times New Roman"/>
          <w:szCs w:val="24"/>
        </w:rPr>
        <w:t>polegają</w:t>
      </w:r>
      <w:r w:rsidR="006C3C1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m</w:t>
      </w:r>
      <w:r w:rsidR="006C3C13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in. na wymianie części stropów, wykonani</w:t>
      </w:r>
      <w:r w:rsidR="005E6909">
        <w:rPr>
          <w:rFonts w:cs="Times New Roman"/>
          <w:szCs w:val="24"/>
        </w:rPr>
        <w:t>u</w:t>
      </w:r>
      <w:r>
        <w:rPr>
          <w:rFonts w:cs="Times New Roman"/>
          <w:szCs w:val="24"/>
        </w:rPr>
        <w:t xml:space="preserve"> zabezpieczeń ppoż. konstrukcji nośnej budynku, wymian</w:t>
      </w:r>
      <w:r w:rsidR="005E6909">
        <w:rPr>
          <w:rFonts w:cs="Times New Roman"/>
          <w:szCs w:val="24"/>
        </w:rPr>
        <w:t>ie</w:t>
      </w:r>
      <w:r>
        <w:rPr>
          <w:rFonts w:cs="Times New Roman"/>
          <w:szCs w:val="24"/>
        </w:rPr>
        <w:t xml:space="preserve"> instalacji hydrantowej i wodnej spełniającej obowiązujące wymagania techniczne i ppoż., wymian</w:t>
      </w:r>
      <w:r w:rsidR="005E6909">
        <w:rPr>
          <w:rFonts w:cs="Times New Roman"/>
          <w:szCs w:val="24"/>
        </w:rPr>
        <w:t>ie</w:t>
      </w:r>
      <w:r>
        <w:rPr>
          <w:rFonts w:cs="Times New Roman"/>
          <w:szCs w:val="24"/>
        </w:rPr>
        <w:t xml:space="preserve"> kanalizacji deszczowej, wykonani</w:t>
      </w:r>
      <w:r w:rsidR="005E6909">
        <w:rPr>
          <w:rFonts w:cs="Times New Roman"/>
          <w:szCs w:val="24"/>
        </w:rPr>
        <w:t>u</w:t>
      </w:r>
      <w:r>
        <w:rPr>
          <w:rFonts w:cs="Times New Roman"/>
          <w:szCs w:val="24"/>
        </w:rPr>
        <w:t xml:space="preserve"> kolumn/ mostów medycznych itp. Sytuacja ta spowodowała konieczność zabezpieczenia środków na te roboty </w:t>
      </w:r>
      <w:r w:rsidR="00877579">
        <w:rPr>
          <w:rFonts w:cs="Times New Roman"/>
          <w:szCs w:val="24"/>
        </w:rPr>
        <w:t xml:space="preserve">dodatkowe </w:t>
      </w:r>
      <w:r>
        <w:rPr>
          <w:rFonts w:cs="Times New Roman"/>
          <w:szCs w:val="24"/>
        </w:rPr>
        <w:t>a z uwagi, że w zadaniu nr 1 w postępowaniu przetargowym w przedmiocie wyłonienia wykonawcy robót budowlanych uzyskano ofertę niższą od pierwotnie oszacowanej wartości, powstała przestrzeń na przesunięcie środków w wysokości 2 495 599,68 zł z</w:t>
      </w:r>
      <w:r w:rsidR="005E4B02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zadania nr 1 do zadania nr 6.</w:t>
      </w:r>
    </w:p>
    <w:bookmarkEnd w:id="13"/>
    <w:p w14:paraId="39693DB9" w14:textId="77777777" w:rsidR="00764496" w:rsidRDefault="00764496" w:rsidP="00764496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Wszystkie te niezbędne działania spowodowały, że koszt zadania nr 4 z wartości pierwotnej</w:t>
      </w:r>
      <w:r>
        <w:rPr>
          <w:rFonts w:cs="Times New Roman"/>
          <w:szCs w:val="24"/>
        </w:rPr>
        <w:br/>
        <w:t xml:space="preserve">w wysokości 16 272 200 zł, wynosi obecnie 19 361 095,65 zł, w tym środki dotacyjne 19 154 319,65 zł i środki własne 206 776 zł. </w:t>
      </w:r>
    </w:p>
    <w:p w14:paraId="1571B2FC" w14:textId="77777777" w:rsidR="00764496" w:rsidRDefault="00764496" w:rsidP="007B237D">
      <w:pPr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Natomiast koszty w zadaniu nr 3 z wartości pierwotnej w wysokości 74 588 535 zł, uległy zmniejszeniu do kwoty 72 926 039,49 zł, w tym środki dotacyjne 71 057 864,49 zł i środki własne 1 868 175 zł. </w:t>
      </w:r>
    </w:p>
    <w:p w14:paraId="45EC19AE" w14:textId="09452AFE" w:rsidR="00764496" w:rsidRDefault="00764496" w:rsidP="007B237D">
      <w:pPr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 kolei koszty w zadaniu nr 6 z wartości pierwotnej w wysokości 26 097 468 zł wzrosły i</w:t>
      </w:r>
      <w:r w:rsidR="005E4B02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 xml:space="preserve">wynoszą obecnie 35 029 485,82 zł, w tym środki dotacyjne w wysokości 27 723 187,68 zł, środki własne w kwocie 8 618 078 zł, w tym pozyskane jako pożyczka z </w:t>
      </w:r>
      <w:proofErr w:type="spellStart"/>
      <w:r>
        <w:rPr>
          <w:rFonts w:cs="Times New Roman"/>
          <w:szCs w:val="24"/>
        </w:rPr>
        <w:t>WFOŚiGW</w:t>
      </w:r>
      <w:proofErr w:type="spellEnd"/>
      <w:r>
        <w:rPr>
          <w:rFonts w:cs="Times New Roman"/>
          <w:szCs w:val="24"/>
        </w:rPr>
        <w:t>, w</w:t>
      </w:r>
      <w:r w:rsidR="00877579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 xml:space="preserve">wysokości 4 822 078,29 zł oraz środki dotacyjne pozyskane z </w:t>
      </w:r>
      <w:proofErr w:type="spellStart"/>
      <w:r>
        <w:rPr>
          <w:rFonts w:cs="Times New Roman"/>
          <w:szCs w:val="24"/>
        </w:rPr>
        <w:t>WFOŚiGW</w:t>
      </w:r>
      <w:proofErr w:type="spellEnd"/>
      <w:r>
        <w:rPr>
          <w:rFonts w:cs="Times New Roman"/>
          <w:szCs w:val="24"/>
        </w:rPr>
        <w:br/>
        <w:t>w wysokości 1 614 339,85 zł.</w:t>
      </w:r>
    </w:p>
    <w:p w14:paraId="0DA20187" w14:textId="1C4A6FE7" w:rsidR="00764496" w:rsidRDefault="00764496" w:rsidP="007B237D">
      <w:pPr>
        <w:ind w:firstLine="708"/>
        <w:jc w:val="both"/>
        <w:rPr>
          <w:rFonts w:cs="Times New Roman"/>
          <w:szCs w:val="24"/>
        </w:rPr>
      </w:pPr>
      <w:bookmarkStart w:id="14" w:name="_Hlk182690875"/>
      <w:r>
        <w:rPr>
          <w:rFonts w:cs="Times New Roman"/>
          <w:szCs w:val="24"/>
        </w:rPr>
        <w:t>W zadaniu nr 1 zapadłe rozstrzygnięcie w postępowaniu przetargowym w przedmiocie wyłonieni</w:t>
      </w:r>
      <w:r w:rsidR="003C60DE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 wykonawcy robót budowlanych nie spowodowało konieczności zwiększenia środków dotacyjnych </w:t>
      </w:r>
      <w:r w:rsidR="003C60DE">
        <w:rPr>
          <w:rFonts w:cs="Times New Roman"/>
          <w:szCs w:val="24"/>
        </w:rPr>
        <w:t>i</w:t>
      </w:r>
      <w:r>
        <w:rPr>
          <w:rFonts w:cs="Times New Roman"/>
          <w:szCs w:val="24"/>
        </w:rPr>
        <w:t xml:space="preserve"> pozwoliło na przesunięcie środków w wysokości łącznej </w:t>
      </w:r>
      <w:r>
        <w:rPr>
          <w:rFonts w:cs="Times New Roman"/>
          <w:szCs w:val="24"/>
        </w:rPr>
        <w:br/>
        <w:t xml:space="preserve">3 921 999,82 zł do zadania nr 4 i </w:t>
      </w:r>
      <w:r w:rsidR="003C60DE">
        <w:rPr>
          <w:rFonts w:cs="Times New Roman"/>
          <w:szCs w:val="24"/>
        </w:rPr>
        <w:t xml:space="preserve">zadania </w:t>
      </w:r>
      <w:r>
        <w:rPr>
          <w:rFonts w:cs="Times New Roman"/>
          <w:szCs w:val="24"/>
        </w:rPr>
        <w:t>nr 6 na wykonanie w nich m</w:t>
      </w:r>
      <w:r w:rsidR="00A70002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in. prac dodatkowych,</w:t>
      </w:r>
      <w:bookmarkEnd w:id="14"/>
      <w:r>
        <w:rPr>
          <w:rFonts w:cs="Times New Roman"/>
          <w:szCs w:val="24"/>
        </w:rPr>
        <w:t xml:space="preserve"> których nie można było wcześniej przewidzieć. Ponadto</w:t>
      </w:r>
      <w:r w:rsidR="00AE0D17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r w:rsidR="00305382">
        <w:rPr>
          <w:rFonts w:cs="Times New Roman"/>
          <w:szCs w:val="24"/>
        </w:rPr>
        <w:t xml:space="preserve">z uwagi na podjętą decyzję o zawarciu </w:t>
      </w:r>
      <w:r w:rsidR="00305382">
        <w:rPr>
          <w:rFonts w:cs="Times New Roman"/>
          <w:szCs w:val="24"/>
        </w:rPr>
        <w:lastRenderedPageBreak/>
        <w:t>ubezpieczenia dla największego zadania (zad</w:t>
      </w:r>
      <w:r w:rsidR="003B08CD">
        <w:rPr>
          <w:rFonts w:cs="Times New Roman"/>
          <w:szCs w:val="24"/>
        </w:rPr>
        <w:t xml:space="preserve">anie nr </w:t>
      </w:r>
      <w:r w:rsidR="00305382">
        <w:rPr>
          <w:rFonts w:cs="Times New Roman"/>
          <w:szCs w:val="24"/>
        </w:rPr>
        <w:t xml:space="preserve">1) polegającego na budowie </w:t>
      </w:r>
      <w:r w:rsidR="00C170D0">
        <w:rPr>
          <w:rFonts w:cs="Times New Roman"/>
          <w:szCs w:val="24"/>
        </w:rPr>
        <w:t xml:space="preserve">budynku </w:t>
      </w:r>
      <w:r w:rsidR="00C170D0" w:rsidRPr="00305382">
        <w:rPr>
          <w:rFonts w:cs="Times New Roman"/>
          <w:szCs w:val="24"/>
        </w:rPr>
        <w:t>zwiększono</w:t>
      </w:r>
      <w:r w:rsidR="00305382">
        <w:rPr>
          <w:rFonts w:cs="Times New Roman"/>
          <w:szCs w:val="24"/>
        </w:rPr>
        <w:t xml:space="preserve"> udział środków własnych</w:t>
      </w:r>
      <w:r>
        <w:rPr>
          <w:rFonts w:cs="Times New Roman"/>
          <w:szCs w:val="24"/>
        </w:rPr>
        <w:t xml:space="preserve"> </w:t>
      </w:r>
      <w:r w:rsidR="00305382">
        <w:rPr>
          <w:rFonts w:cs="Times New Roman"/>
          <w:szCs w:val="24"/>
        </w:rPr>
        <w:t>o kwotę 342 000 zł, która została przeznaczona na</w:t>
      </w:r>
      <w:r>
        <w:rPr>
          <w:rFonts w:cs="Times New Roman"/>
          <w:szCs w:val="24"/>
        </w:rPr>
        <w:t xml:space="preserve"> </w:t>
      </w:r>
      <w:r w:rsidR="00305382">
        <w:rPr>
          <w:rFonts w:cs="Times New Roman"/>
          <w:szCs w:val="24"/>
        </w:rPr>
        <w:t>pokrycie zawartej</w:t>
      </w:r>
      <w:r>
        <w:rPr>
          <w:rFonts w:cs="Times New Roman"/>
          <w:szCs w:val="24"/>
        </w:rPr>
        <w:t xml:space="preserve"> polis</w:t>
      </w:r>
      <w:r w:rsidR="00305382">
        <w:rPr>
          <w:rFonts w:cs="Times New Roman"/>
          <w:szCs w:val="24"/>
        </w:rPr>
        <w:t>y</w:t>
      </w:r>
      <w:r>
        <w:rPr>
          <w:rFonts w:cs="Times New Roman"/>
          <w:szCs w:val="24"/>
        </w:rPr>
        <w:t xml:space="preserve"> ubezpieczeniow</w:t>
      </w:r>
      <w:r w:rsidR="00305382">
        <w:rPr>
          <w:rFonts w:cs="Times New Roman"/>
          <w:szCs w:val="24"/>
        </w:rPr>
        <w:t>ej</w:t>
      </w:r>
      <w:r>
        <w:rPr>
          <w:rFonts w:cs="Times New Roman"/>
          <w:szCs w:val="24"/>
        </w:rPr>
        <w:t xml:space="preserve">. </w:t>
      </w:r>
      <w:r w:rsidR="00877579">
        <w:rPr>
          <w:rFonts w:cs="Times New Roman"/>
          <w:szCs w:val="24"/>
        </w:rPr>
        <w:t xml:space="preserve">Mając na uwadze powyższe, </w:t>
      </w:r>
      <w:r w:rsidR="0075331D">
        <w:rPr>
          <w:rFonts w:cs="Times New Roman"/>
          <w:szCs w:val="24"/>
        </w:rPr>
        <w:t xml:space="preserve">ostateczna </w:t>
      </w:r>
      <w:r>
        <w:rPr>
          <w:rFonts w:cs="Times New Roman"/>
          <w:szCs w:val="24"/>
        </w:rPr>
        <w:t>wartość tego zadania wynosi 660 318 000 zł, w tym środki dotacyjne w wysokości 659 906 000 zł i środki własne w</w:t>
      </w:r>
      <w:r w:rsidR="003B08CD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kwocie 412</w:t>
      </w:r>
      <w:r w:rsidR="005E4B02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000</w:t>
      </w:r>
      <w:r w:rsidR="005E4B02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zł.</w:t>
      </w:r>
    </w:p>
    <w:p w14:paraId="1B215F4D" w14:textId="42C1CDA0" w:rsidR="00764496" w:rsidRDefault="00764496" w:rsidP="00513604">
      <w:pPr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Podkreślić należy, że wszystkie wyżej opisane zmiany nie powodują zwiększenia środków dotacyjnych przyznanych w </w:t>
      </w:r>
      <w:r w:rsidR="00877579">
        <w:rPr>
          <w:rFonts w:cs="Times New Roman"/>
          <w:szCs w:val="24"/>
        </w:rPr>
        <w:t>P</w:t>
      </w:r>
      <w:r>
        <w:rPr>
          <w:rFonts w:cs="Times New Roman"/>
          <w:szCs w:val="24"/>
        </w:rPr>
        <w:t xml:space="preserve">rogramie zgodnie z obowiązującą obecnie uchwałą </w:t>
      </w:r>
      <w:r w:rsidR="00AE0D17">
        <w:rPr>
          <w:rFonts w:cs="Times New Roman"/>
          <w:szCs w:val="24"/>
        </w:rPr>
        <w:t xml:space="preserve">Rady </w:t>
      </w:r>
      <w:proofErr w:type="gramStart"/>
      <w:r w:rsidR="00AE0D17">
        <w:rPr>
          <w:rFonts w:cs="Times New Roman"/>
          <w:szCs w:val="24"/>
        </w:rPr>
        <w:t>Ministrów</w:t>
      </w:r>
      <w:r w:rsidR="008A092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nr</w:t>
      </w:r>
      <w:proofErr w:type="gramEnd"/>
      <w:r>
        <w:rPr>
          <w:rFonts w:cs="Times New Roman"/>
          <w:szCs w:val="24"/>
        </w:rPr>
        <w:t xml:space="preserve"> 127/2023</w:t>
      </w:r>
      <w:r w:rsidR="008A0927">
        <w:rPr>
          <w:rFonts w:cs="Times New Roman"/>
          <w:szCs w:val="24"/>
        </w:rPr>
        <w:t xml:space="preserve"> z dnia </w:t>
      </w:r>
      <w:r w:rsidR="006F32CB">
        <w:rPr>
          <w:rFonts w:cs="Times New Roman"/>
          <w:szCs w:val="24"/>
        </w:rPr>
        <w:t>5 lipca 2023 r.</w:t>
      </w:r>
      <w:r>
        <w:rPr>
          <w:rFonts w:cs="Times New Roman"/>
          <w:szCs w:val="24"/>
        </w:rPr>
        <w:t xml:space="preserve"> </w:t>
      </w:r>
      <w:bookmarkStart w:id="15" w:name="_Hlk182691037"/>
      <w:r w:rsidR="00305382">
        <w:rPr>
          <w:rFonts w:cs="Times New Roman"/>
          <w:szCs w:val="24"/>
        </w:rPr>
        <w:t xml:space="preserve">Zmiany finansowania wraz z wskazaniem źródeł finansowania poszczególnych zadań </w:t>
      </w:r>
      <w:r>
        <w:rPr>
          <w:rFonts w:cs="Times New Roman"/>
          <w:szCs w:val="24"/>
        </w:rPr>
        <w:t>obrazuje poniższa tabela</w:t>
      </w:r>
      <w:r w:rsidR="00471516">
        <w:rPr>
          <w:rFonts w:cs="Times New Roman"/>
          <w:szCs w:val="24"/>
        </w:rPr>
        <w:t xml:space="preserve"> nr 1</w:t>
      </w:r>
      <w:r w:rsidR="00305382">
        <w:rPr>
          <w:rFonts w:cs="Times New Roman"/>
          <w:szCs w:val="24"/>
        </w:rPr>
        <w:t>:</w:t>
      </w:r>
    </w:p>
    <w:bookmarkEnd w:id="15"/>
    <w:p w14:paraId="398B3221" w14:textId="3F816A0A" w:rsidR="00305382" w:rsidRPr="00305382" w:rsidRDefault="00305382" w:rsidP="00764496">
      <w:pPr>
        <w:jc w:val="both"/>
        <w:rPr>
          <w:rFonts w:cs="Times New Roman"/>
          <w:sz w:val="20"/>
        </w:rPr>
      </w:pPr>
      <w:r w:rsidRPr="00305382">
        <w:rPr>
          <w:rFonts w:cs="Times New Roman"/>
          <w:sz w:val="20"/>
        </w:rPr>
        <w:t xml:space="preserve">Tabela nr 1. </w:t>
      </w:r>
      <w:bookmarkStart w:id="16" w:name="_Hlk182691141"/>
      <w:r w:rsidRPr="00305382">
        <w:rPr>
          <w:rFonts w:cs="Times New Roman"/>
          <w:sz w:val="20"/>
        </w:rPr>
        <w:t>Zmiany finansowania poszczególnych zadań wraz ze wskazaniem źródła finansowania.</w:t>
      </w:r>
    </w:p>
    <w:tbl>
      <w:tblPr>
        <w:tblW w:w="9360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919"/>
        <w:gridCol w:w="993"/>
        <w:gridCol w:w="994"/>
        <w:gridCol w:w="708"/>
        <w:gridCol w:w="851"/>
        <w:gridCol w:w="992"/>
        <w:gridCol w:w="992"/>
        <w:gridCol w:w="709"/>
        <w:gridCol w:w="851"/>
        <w:gridCol w:w="992"/>
      </w:tblGrid>
      <w:tr w:rsidR="00764496" w14:paraId="5C7E98FD" w14:textId="77777777" w:rsidTr="00305382">
        <w:trPr>
          <w:trHeight w:val="672"/>
        </w:trPr>
        <w:tc>
          <w:tcPr>
            <w:tcW w:w="3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bookmarkEnd w:id="16"/>
          <w:p w14:paraId="14252856" w14:textId="77777777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9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0892037" w14:textId="77777777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Zadanie inwestycyjne</w:t>
            </w:r>
          </w:p>
        </w:tc>
        <w:tc>
          <w:tcPr>
            <w:tcW w:w="354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14:paraId="57A5C7EE" w14:textId="2CDFCDFE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WKI zgodna z Uchwała nr 127/2023 RM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 dnia 05.07.202</w:t>
            </w:r>
            <w:r w:rsidR="006F32CB">
              <w:rPr>
                <w:rFonts w:eastAsia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r. i programem wieloletnim stanowiącym załącznik do ww. uchwały. </w:t>
            </w:r>
          </w:p>
        </w:tc>
        <w:tc>
          <w:tcPr>
            <w:tcW w:w="453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14:paraId="0DF3C94F" w14:textId="77777777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WKI wnioskowana do zmiany uchwały RM i zmiany programu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wieloletniego stanowiącego załącznik do ww. uchwały.</w:t>
            </w:r>
          </w:p>
        </w:tc>
      </w:tr>
      <w:tr w:rsidR="00764496" w14:paraId="5B989EA5" w14:textId="77777777" w:rsidTr="00305382">
        <w:trPr>
          <w:trHeight w:val="960"/>
        </w:trPr>
        <w:tc>
          <w:tcPr>
            <w:tcW w:w="3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FC01213" w14:textId="77777777" w:rsidR="00764496" w:rsidRDefault="00764496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6825FE3" w14:textId="77777777" w:rsidR="00764496" w:rsidRDefault="00764496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52A53A0A" w14:textId="77777777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Ogółem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27B082C7" w14:textId="77777777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Dotacja z MZ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3995CA69" w14:textId="77777777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Środki własne PUM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82E7E0" w14:textId="77777777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Środki własne USK Nr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33064C06" w14:textId="77777777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Ogółem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139F5F3E" w14:textId="77777777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Dotacja z MZ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641597ED" w14:textId="77777777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Środki własne PUM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B72471A" w14:textId="77777777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Środki własne USK Nr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1E686A" w14:textId="77777777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Środki z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</w:rPr>
              <w:t>WFOŚiGW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64496" w14:paraId="6EC5EDE3" w14:textId="77777777" w:rsidTr="00305382">
        <w:trPr>
          <w:trHeight w:val="432"/>
        </w:trPr>
        <w:tc>
          <w:tcPr>
            <w:tcW w:w="359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90B0E9D" w14:textId="77777777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83C5B61" w14:textId="77777777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Zadania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nr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8A5083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663 898 000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3F74E0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663 828 000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73938E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70 000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8F0BB39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4B77A9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  <w:t>660 318 000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A7545" w14:textId="77777777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  <w:t>659 906 000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B1C0F7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  <w:t>412 000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F44A8F6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812A80E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764496" w14:paraId="7F399667" w14:textId="77777777" w:rsidTr="00305382">
        <w:trPr>
          <w:trHeight w:val="528"/>
        </w:trPr>
        <w:tc>
          <w:tcPr>
            <w:tcW w:w="359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A43FE46" w14:textId="77777777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D7E90FB" w14:textId="77777777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  <w:t>Zadanie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nr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8CC6F2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  <w:t>12 621 400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B922FB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  <w:t>12 441 206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7FD4B1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A0F7E83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  <w:t>180 194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755D3A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  <w:t>12 621 400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865AA8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  <w:t>12 441 206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5097C1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DA8DD8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  <w:t>180 194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A80834B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  <w:t>0</w:t>
            </w:r>
          </w:p>
        </w:tc>
      </w:tr>
      <w:tr w:rsidR="00764496" w14:paraId="1D64AA33" w14:textId="77777777" w:rsidTr="00305382">
        <w:trPr>
          <w:trHeight w:val="528"/>
        </w:trPr>
        <w:tc>
          <w:tcPr>
            <w:tcW w:w="359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F4BFC88" w14:textId="77777777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123C4DA" w14:textId="77777777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Zadanie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nr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4391B2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74 588 535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3943D7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72 720 360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EC5CCF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0B1328A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1 868 175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EC9A97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  <w:t>72 926 039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F3977B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  <w:t>71 057 864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0710A4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163DF0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1 868 175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15322A3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764496" w14:paraId="140D9A23" w14:textId="77777777" w:rsidTr="00305382">
        <w:trPr>
          <w:trHeight w:val="528"/>
        </w:trPr>
        <w:tc>
          <w:tcPr>
            <w:tcW w:w="359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9E2180E" w14:textId="77777777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1C1AD66" w14:textId="77777777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Zadanie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nr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5F380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16 727 200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B6059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16 065 424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AC1113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217B81C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206 776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FEB21C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  <w:t>19 361 096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03AEE4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  <w:t>19 154 320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594F0C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3A60B0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206 776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B9C3E44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764496" w14:paraId="58E22A76" w14:textId="77777777" w:rsidTr="00305382">
        <w:trPr>
          <w:trHeight w:val="456"/>
        </w:trPr>
        <w:tc>
          <w:tcPr>
            <w:tcW w:w="35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8DEE59D" w14:textId="77777777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A1B9B04" w14:textId="77777777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  <w:t>Zadanie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nr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16C045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  <w:t>12 486 397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DAEC69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  <w:t>11 815 422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AC4DB7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D2E2998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  <w:t>670 975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EFE63F7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  <w:t>12 486 397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4DD9F7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  <w:t>11 815 422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5AFAD67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9C05A2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  <w:t>670 975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F91010D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</w:rPr>
              <w:t>0</w:t>
            </w:r>
          </w:p>
        </w:tc>
      </w:tr>
      <w:tr w:rsidR="00764496" w14:paraId="54FB24BF" w14:textId="77777777" w:rsidTr="00305382">
        <w:trPr>
          <w:trHeight w:val="492"/>
        </w:trPr>
        <w:tc>
          <w:tcPr>
            <w:tcW w:w="3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83C96E" w14:textId="77777777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D375A1" w14:textId="77777777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Zadanie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nr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6C544DEB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26 097 468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793E258E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25 227 588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6033BC15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C36971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869 880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52B0D889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  <w:t>35 029 486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656FDA5B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  <w:t>27 723 188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0F18C60E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472B744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  <w:t>8 618 078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FED7DAC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  <w:t xml:space="preserve">1 614 340 </w:t>
            </w:r>
          </w:p>
        </w:tc>
      </w:tr>
      <w:tr w:rsidR="00764496" w14:paraId="164C4085" w14:textId="77777777" w:rsidTr="00305382">
        <w:trPr>
          <w:trHeight w:val="684"/>
        </w:trPr>
        <w:tc>
          <w:tcPr>
            <w:tcW w:w="3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BD9791" w14:textId="77777777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6C69E6" w14:textId="77777777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275653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805 964 000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2789B8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802 098 000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DB09F8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70 000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1A5CCA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3 796 000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66883A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  <w:t>812 742 418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84E08E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802 098 000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A76600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  <w:t>412 000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F00F39B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  <w:t>9 030 078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8E4079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  <w:t>1 614 340</w:t>
            </w:r>
          </w:p>
        </w:tc>
      </w:tr>
      <w:tr w:rsidR="00764496" w14:paraId="34F7A8A4" w14:textId="77777777" w:rsidTr="00305382">
        <w:trPr>
          <w:trHeight w:val="300"/>
        </w:trPr>
        <w:tc>
          <w:tcPr>
            <w:tcW w:w="5816" w:type="dxa"/>
            <w:gridSpan w:val="7"/>
            <w:noWrap/>
            <w:vAlign w:val="center"/>
            <w:hideMark/>
          </w:tcPr>
          <w:p w14:paraId="0653EAA3" w14:textId="77777777" w:rsidR="00764496" w:rsidRDefault="00764496">
            <w:pPr>
              <w:spacing w:line="240" w:lineRule="auto"/>
              <w:contextualSpacing/>
              <w:rPr>
                <w:rFonts w:eastAsia="Times New Roman" w:cs="Times New Roman"/>
                <w:color w:val="FF0000"/>
                <w:sz w:val="16"/>
                <w:szCs w:val="16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</w:rPr>
              <w:t>* kolor czerwony zmiany WKI proponowane w stosunku do wartości WKI z 2023 r.</w:t>
            </w:r>
          </w:p>
        </w:tc>
        <w:tc>
          <w:tcPr>
            <w:tcW w:w="992" w:type="dxa"/>
            <w:noWrap/>
            <w:vAlign w:val="center"/>
            <w:hideMark/>
          </w:tcPr>
          <w:p w14:paraId="5C5D2B28" w14:textId="77777777" w:rsidR="00764496" w:rsidRDefault="00764496">
            <w:pPr>
              <w:contextualSpacing/>
              <w:rPr>
                <w:rFonts w:eastAsia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7D4D835B" w14:textId="77777777" w:rsidR="00764496" w:rsidRDefault="00764496">
            <w:pPr>
              <w:contextualSpacing/>
              <w:rPr>
                <w:sz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21B5347E" w14:textId="77777777" w:rsidR="00764496" w:rsidRDefault="00764496">
            <w:pPr>
              <w:contextualSpacing/>
              <w:rPr>
                <w:sz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FAB981F" w14:textId="77777777" w:rsidR="00764496" w:rsidRDefault="00764496">
            <w:pPr>
              <w:contextualSpacing/>
              <w:rPr>
                <w:sz w:val="20"/>
              </w:rPr>
            </w:pPr>
          </w:p>
        </w:tc>
      </w:tr>
      <w:tr w:rsidR="00764496" w14:paraId="0BF5A7FA" w14:textId="77777777" w:rsidTr="00305382">
        <w:trPr>
          <w:trHeight w:val="288"/>
        </w:trPr>
        <w:tc>
          <w:tcPr>
            <w:tcW w:w="9360" w:type="dxa"/>
            <w:gridSpan w:val="11"/>
            <w:noWrap/>
            <w:vAlign w:val="center"/>
            <w:hideMark/>
          </w:tcPr>
          <w:p w14:paraId="1C0D6B14" w14:textId="77777777" w:rsidR="00764496" w:rsidRDefault="00764496">
            <w:pPr>
              <w:spacing w:line="240" w:lineRule="auto"/>
              <w:contextualSpacing/>
              <w:rPr>
                <w:rFonts w:eastAsia="Times New Roman" w:cs="Times New Roman"/>
                <w:color w:val="00B050"/>
                <w:sz w:val="16"/>
                <w:szCs w:val="16"/>
              </w:rPr>
            </w:pPr>
            <w:r>
              <w:rPr>
                <w:rFonts w:eastAsia="Times New Roman" w:cs="Times New Roman"/>
                <w:color w:val="00B050"/>
                <w:sz w:val="16"/>
                <w:szCs w:val="16"/>
                <w:vertAlign w:val="superscript"/>
              </w:rPr>
              <w:t>**</w:t>
            </w:r>
            <w:r>
              <w:rPr>
                <w:rFonts w:eastAsia="Times New Roman" w:cs="Times New Roman"/>
                <w:color w:val="00B050"/>
                <w:sz w:val="16"/>
                <w:szCs w:val="16"/>
              </w:rPr>
              <w:t>kolor zielony zadanie zakończone i bez zmian</w:t>
            </w:r>
          </w:p>
          <w:p w14:paraId="49D1AD64" w14:textId="77777777" w:rsidR="00764496" w:rsidRDefault="00764496">
            <w:pPr>
              <w:spacing w:line="240" w:lineRule="auto"/>
              <w:contextualSpacing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vertAlign w:val="superscript"/>
              </w:rPr>
              <w:t xml:space="preserve">*** </w:t>
            </w:r>
            <w:r>
              <w:rPr>
                <w:rFonts w:eastAsia="Times New Roman" w:cs="Times New Roman"/>
                <w:sz w:val="16"/>
                <w:szCs w:val="16"/>
              </w:rPr>
              <w:t>kolor czarny bez zmian</w:t>
            </w:r>
          </w:p>
        </w:tc>
      </w:tr>
    </w:tbl>
    <w:p w14:paraId="6A39E2B5" w14:textId="77777777" w:rsidR="00764496" w:rsidRDefault="00764496" w:rsidP="00764496">
      <w:pPr>
        <w:jc w:val="both"/>
        <w:rPr>
          <w:rFonts w:eastAsiaTheme="minorHAnsi" w:cs="Times New Roman"/>
          <w:szCs w:val="24"/>
          <w:lang w:eastAsia="en-US"/>
        </w:rPr>
      </w:pPr>
    </w:p>
    <w:p w14:paraId="49BB1F22" w14:textId="390315F8" w:rsidR="00764496" w:rsidRDefault="00764496" w:rsidP="007B237D">
      <w:pPr>
        <w:pStyle w:val="ARTartustawynprozporzdzenia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Jak </w:t>
      </w:r>
      <w:r w:rsidRPr="00F73334">
        <w:t>wspomniano</w:t>
      </w:r>
      <w:r>
        <w:rPr>
          <w:rFonts w:cs="Times New Roman"/>
          <w:szCs w:val="24"/>
        </w:rPr>
        <w:t xml:space="preserve"> powyżej, wyniki rozstrzygnięć zapadłych w przeprowadzonych </w:t>
      </w:r>
      <w:r w:rsidR="009973C1">
        <w:rPr>
          <w:rFonts w:cs="Times New Roman"/>
          <w:szCs w:val="24"/>
        </w:rPr>
        <w:t>postępowaniach</w:t>
      </w:r>
      <w:r>
        <w:rPr>
          <w:rFonts w:cs="Times New Roman"/>
          <w:szCs w:val="24"/>
        </w:rPr>
        <w:t xml:space="preserve"> przetargowych w przedmiocie wyłonienia wykonawców robót budowlanych w zadaniu nr 1, zadaniu nr 3, zadaniu nr 4 i zadaniu nr 6 określiły też nową, realną wartość kosztów</w:t>
      </w:r>
      <w:r w:rsidR="0021395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 ukształtowały nową strukturę kosztów. W wyniku przedłożonych przez wyłonionych wykonawców harmonogramów rzeczowo</w:t>
      </w:r>
      <w:r w:rsidR="00E82564">
        <w:rPr>
          <w:rFonts w:cs="Times New Roman"/>
          <w:szCs w:val="24"/>
        </w:rPr>
        <w:t>-</w:t>
      </w:r>
      <w:r>
        <w:rPr>
          <w:rFonts w:cs="Times New Roman"/>
          <w:szCs w:val="24"/>
        </w:rPr>
        <w:t xml:space="preserve">finansowych w tych zadaniach uległa zmiana wielkości kosztów w poszczególnych grupach </w:t>
      </w:r>
      <w:r w:rsidR="000948A3">
        <w:rPr>
          <w:rFonts w:cs="Times New Roman"/>
          <w:szCs w:val="24"/>
        </w:rPr>
        <w:t>WKI</w:t>
      </w:r>
      <w:r>
        <w:rPr>
          <w:rFonts w:cs="Times New Roman"/>
          <w:szCs w:val="24"/>
        </w:rPr>
        <w:t xml:space="preserve">, co </w:t>
      </w:r>
      <w:r w:rsidR="00305382">
        <w:rPr>
          <w:rFonts w:cs="Times New Roman"/>
          <w:szCs w:val="24"/>
        </w:rPr>
        <w:t>przedstawiono w</w:t>
      </w:r>
      <w:r>
        <w:rPr>
          <w:rFonts w:cs="Times New Roman"/>
          <w:szCs w:val="24"/>
        </w:rPr>
        <w:t xml:space="preserve"> poniższ</w:t>
      </w:r>
      <w:r w:rsidR="00305382">
        <w:rPr>
          <w:rFonts w:cs="Times New Roman"/>
          <w:szCs w:val="24"/>
        </w:rPr>
        <w:t>ej</w:t>
      </w:r>
      <w:r>
        <w:rPr>
          <w:rFonts w:cs="Times New Roman"/>
          <w:szCs w:val="24"/>
        </w:rPr>
        <w:t xml:space="preserve"> tabel</w:t>
      </w:r>
      <w:r w:rsidR="00305382">
        <w:rPr>
          <w:rFonts w:cs="Times New Roman"/>
          <w:szCs w:val="24"/>
        </w:rPr>
        <w:t>i</w:t>
      </w:r>
      <w:r w:rsidR="00471516">
        <w:rPr>
          <w:rFonts w:cs="Times New Roman"/>
          <w:szCs w:val="24"/>
        </w:rPr>
        <w:t xml:space="preserve"> nr 2</w:t>
      </w:r>
      <w:r>
        <w:rPr>
          <w:rFonts w:cs="Times New Roman"/>
          <w:szCs w:val="24"/>
        </w:rPr>
        <w:t>:</w:t>
      </w:r>
      <w:bookmarkEnd w:id="6"/>
    </w:p>
    <w:p w14:paraId="0A4A0F71" w14:textId="77777777" w:rsidR="00471516" w:rsidRDefault="00471516" w:rsidP="00764496">
      <w:pPr>
        <w:jc w:val="both"/>
        <w:rPr>
          <w:rFonts w:cs="Times New Roman"/>
          <w:szCs w:val="24"/>
        </w:rPr>
      </w:pPr>
    </w:p>
    <w:p w14:paraId="5076C7B1" w14:textId="77777777" w:rsidR="00471516" w:rsidRDefault="00471516" w:rsidP="00764496">
      <w:pPr>
        <w:jc w:val="both"/>
        <w:rPr>
          <w:rFonts w:cs="Times New Roman"/>
          <w:szCs w:val="24"/>
        </w:rPr>
      </w:pPr>
    </w:p>
    <w:p w14:paraId="2A233ADA" w14:textId="77777777" w:rsidR="00471516" w:rsidRDefault="00471516" w:rsidP="00764496">
      <w:pPr>
        <w:jc w:val="both"/>
        <w:rPr>
          <w:rFonts w:cs="Times New Roman"/>
          <w:szCs w:val="24"/>
        </w:rPr>
      </w:pPr>
    </w:p>
    <w:p w14:paraId="5E13E2B4" w14:textId="76742EA1" w:rsidR="00305382" w:rsidRPr="00305382" w:rsidRDefault="00305382" w:rsidP="00764496">
      <w:pPr>
        <w:jc w:val="both"/>
        <w:rPr>
          <w:rFonts w:cs="Times New Roman"/>
          <w:sz w:val="18"/>
          <w:szCs w:val="18"/>
        </w:rPr>
      </w:pPr>
      <w:r w:rsidRPr="00305382">
        <w:rPr>
          <w:rFonts w:cs="Times New Roman"/>
          <w:sz w:val="18"/>
          <w:szCs w:val="18"/>
        </w:rPr>
        <w:t>Tabela nr 2. Zmiana wartości oraz struktury WKI</w:t>
      </w:r>
    </w:p>
    <w:tbl>
      <w:tblPr>
        <w:tblW w:w="8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620"/>
        <w:gridCol w:w="1840"/>
        <w:gridCol w:w="1560"/>
      </w:tblGrid>
      <w:tr w:rsidR="00764496" w14:paraId="78C4F850" w14:textId="77777777" w:rsidTr="00764496">
        <w:trPr>
          <w:trHeight w:val="157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A62BFA" w14:textId="77777777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F1DA61" w14:textId="77777777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Grup kosztów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539CCC" w14:textId="77777777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WKI zatwierdzona zgodne z Uchwałą nr 127/2023                                                                                                                                                                         </w:t>
            </w: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w zł)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B3049F" w14:textId="77777777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WKI wnioskowana do zmiany Uchwały            </w:t>
            </w: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w zł)</w:t>
            </w:r>
          </w:p>
        </w:tc>
      </w:tr>
      <w:tr w:rsidR="00764496" w14:paraId="24209126" w14:textId="77777777" w:rsidTr="00764496">
        <w:trPr>
          <w:trHeight w:val="624"/>
        </w:trPr>
        <w:tc>
          <w:tcPr>
            <w:tcW w:w="5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7709E0" w14:textId="77777777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C2B71B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805 964 000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F773C2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  <w:t>812 742 418</w:t>
            </w:r>
          </w:p>
        </w:tc>
      </w:tr>
      <w:tr w:rsidR="00764496" w14:paraId="4F3845A8" w14:textId="77777777" w:rsidTr="00764496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6D3713" w14:textId="77777777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E68654" w14:textId="77777777" w:rsidR="00764496" w:rsidRDefault="0076449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Grupa 1 - Pozyskanie działki budowlanej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BC27B8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70 000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4CAA91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70 000</w:t>
            </w:r>
          </w:p>
        </w:tc>
      </w:tr>
      <w:tr w:rsidR="00764496" w14:paraId="43E42F69" w14:textId="77777777" w:rsidTr="00764496">
        <w:trPr>
          <w:trHeight w:val="46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D514B9" w14:textId="77777777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88DD1D" w14:textId="77777777" w:rsidR="00764496" w:rsidRDefault="0076449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Grupa 2 - Przygotowanie terenu i przyłączenie obiektów do sieci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978E8D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6 168 403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44C271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  <w:t>3 745 998</w:t>
            </w:r>
          </w:p>
        </w:tc>
      </w:tr>
      <w:tr w:rsidR="00764496" w14:paraId="2BE95E7C" w14:textId="77777777" w:rsidTr="00764496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FB9820" w14:textId="77777777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07DA52" w14:textId="77777777" w:rsidR="00764496" w:rsidRDefault="0076449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Grupa 3 - Budowa obiektów podstawowych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4F3555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392 641 971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BDEAE6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  <w:t>380 849 334</w:t>
            </w:r>
          </w:p>
        </w:tc>
      </w:tr>
      <w:tr w:rsidR="00764496" w14:paraId="0C6103AA" w14:textId="77777777" w:rsidTr="00764496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DA8839" w14:textId="77777777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A8CFFF" w14:textId="77777777" w:rsidR="00764496" w:rsidRDefault="0076449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Grupa 4 - Instalacje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402295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290 505 189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7B89C4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  <w:t>315 588 339</w:t>
            </w:r>
          </w:p>
        </w:tc>
      </w:tr>
      <w:tr w:rsidR="00764496" w14:paraId="3BDE9F63" w14:textId="77777777" w:rsidTr="00764496">
        <w:trPr>
          <w:trHeight w:val="46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D653F9" w14:textId="77777777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602850" w14:textId="77777777" w:rsidR="00764496" w:rsidRDefault="0076449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Grupa 5 - Zagospodarowanie terenu i budowa obiektów pomocniczych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F74906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23 117 823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B946D2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  <w:t>17 753 691</w:t>
            </w:r>
          </w:p>
        </w:tc>
      </w:tr>
      <w:tr w:rsidR="00764496" w14:paraId="350E07B1" w14:textId="77777777" w:rsidTr="00764496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955C2D" w14:textId="77777777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FE1892" w14:textId="77777777" w:rsidR="00764496" w:rsidRDefault="0076449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Grupa 6 - Wyposażenie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0153EF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58 191 398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FDC8D3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  <w:t>58 979 253</w:t>
            </w:r>
          </w:p>
        </w:tc>
      </w:tr>
      <w:tr w:rsidR="00764496" w14:paraId="2F44E367" w14:textId="77777777" w:rsidTr="00764496">
        <w:trPr>
          <w:trHeight w:val="69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49DE40" w14:textId="77777777" w:rsidR="00764496" w:rsidRDefault="0076449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E02BFF" w14:textId="77777777" w:rsidR="00764496" w:rsidRDefault="0076449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Grupa 7 - Prace przygotowawcze, projektowe, obsługa inwestorska, nadzory autorskie oraz ewentualne szkolenia i rozruch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049B18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35 269 216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BED02C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  <w:t>35 755 803</w:t>
            </w:r>
          </w:p>
        </w:tc>
      </w:tr>
      <w:tr w:rsidR="00764496" w14:paraId="7D1CD2EE" w14:textId="77777777" w:rsidTr="00764496">
        <w:trPr>
          <w:trHeight w:val="300"/>
        </w:trPr>
        <w:tc>
          <w:tcPr>
            <w:tcW w:w="8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D4C1D6" w14:textId="77777777" w:rsidR="00764496" w:rsidRDefault="00764496">
            <w:pPr>
              <w:spacing w:line="240" w:lineRule="auto"/>
              <w:ind w:firstLineChars="1500" w:firstLine="2711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FINANSOWANIE</w:t>
            </w:r>
          </w:p>
        </w:tc>
      </w:tr>
      <w:tr w:rsidR="00764496" w14:paraId="151D9A4E" w14:textId="77777777" w:rsidTr="00764496">
        <w:trPr>
          <w:trHeight w:val="300"/>
        </w:trPr>
        <w:tc>
          <w:tcPr>
            <w:tcW w:w="5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D4EA66" w14:textId="77777777" w:rsidR="00764496" w:rsidRDefault="00764496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środki części 46-Zdrowie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312CAF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802 098 000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8C296A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802 098 000</w:t>
            </w:r>
          </w:p>
        </w:tc>
      </w:tr>
      <w:tr w:rsidR="00764496" w14:paraId="0A00C2AD" w14:textId="77777777" w:rsidTr="00764496">
        <w:trPr>
          <w:trHeight w:val="300"/>
        </w:trPr>
        <w:tc>
          <w:tcPr>
            <w:tcW w:w="5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B57129" w14:textId="77777777" w:rsidR="00764496" w:rsidRDefault="00764496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środki własne Inwestorów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C30F07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3 866 000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247747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  <w:t>9 030 078</w:t>
            </w:r>
          </w:p>
        </w:tc>
      </w:tr>
      <w:tr w:rsidR="00764496" w14:paraId="22A4F467" w14:textId="77777777" w:rsidTr="00764496">
        <w:trPr>
          <w:trHeight w:val="300"/>
        </w:trPr>
        <w:tc>
          <w:tcPr>
            <w:tcW w:w="5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A391F31" w14:textId="77777777" w:rsidR="00764496" w:rsidRDefault="00764496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inne źródło -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WFOŚiGW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6E8B6B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E761F0" w14:textId="77777777" w:rsidR="00764496" w:rsidRDefault="00764496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  <w:t>1 614 340</w:t>
            </w:r>
          </w:p>
        </w:tc>
      </w:tr>
      <w:tr w:rsidR="00764496" w14:paraId="6339DB37" w14:textId="77777777" w:rsidTr="00764496">
        <w:trPr>
          <w:trHeight w:val="288"/>
        </w:trPr>
        <w:tc>
          <w:tcPr>
            <w:tcW w:w="5160" w:type="dxa"/>
            <w:gridSpan w:val="2"/>
            <w:noWrap/>
            <w:vAlign w:val="bottom"/>
            <w:hideMark/>
          </w:tcPr>
          <w:p w14:paraId="2D40E072" w14:textId="41A3C5B7" w:rsidR="00764496" w:rsidRDefault="00877579">
            <w:pPr>
              <w:spacing w:line="240" w:lineRule="auto"/>
              <w:rPr>
                <w:rFonts w:ascii="Calibri" w:eastAsia="Times New Roman" w:hAnsi="Calibri" w:cs="Calibri"/>
                <w:color w:val="FF0000"/>
                <w:sz w:val="20"/>
              </w:rPr>
            </w:pPr>
            <w:r w:rsidRPr="00513604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*</w:t>
            </w:r>
            <w:r w:rsidR="00764496" w:rsidRPr="00513604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 xml:space="preserve"> kolor czerwony zmiany</w:t>
            </w:r>
          </w:p>
        </w:tc>
        <w:tc>
          <w:tcPr>
            <w:tcW w:w="1840" w:type="dxa"/>
            <w:noWrap/>
            <w:vAlign w:val="bottom"/>
            <w:hideMark/>
          </w:tcPr>
          <w:p w14:paraId="2CEF44C4" w14:textId="77777777" w:rsidR="00764496" w:rsidRDefault="00764496">
            <w:pPr>
              <w:rPr>
                <w:rFonts w:ascii="Calibri" w:eastAsia="Times New Roman" w:hAnsi="Calibri" w:cs="Calibri"/>
                <w:color w:val="FF0000"/>
                <w:sz w:val="20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722DD463" w14:textId="77777777" w:rsidR="00764496" w:rsidRDefault="00764496">
            <w:pPr>
              <w:rPr>
                <w:sz w:val="20"/>
              </w:rPr>
            </w:pPr>
          </w:p>
        </w:tc>
      </w:tr>
    </w:tbl>
    <w:p w14:paraId="3D9BB38F" w14:textId="77777777" w:rsidR="00764496" w:rsidRDefault="00764496" w:rsidP="00764496">
      <w:pPr>
        <w:jc w:val="both"/>
        <w:rPr>
          <w:rFonts w:cstheme="minorBidi"/>
          <w:szCs w:val="24"/>
          <w:lang w:eastAsia="en-US"/>
        </w:rPr>
      </w:pPr>
    </w:p>
    <w:p w14:paraId="194441FA" w14:textId="72B2935F" w:rsidR="00764496" w:rsidRDefault="00764496" w:rsidP="007B237D">
      <w:pPr>
        <w:pStyle w:val="ARTartustawynprozporzdzenia"/>
        <w:rPr>
          <w:szCs w:val="24"/>
        </w:rPr>
      </w:pPr>
      <w:r>
        <w:rPr>
          <w:szCs w:val="24"/>
        </w:rPr>
        <w:t xml:space="preserve">Ponadto analiza </w:t>
      </w:r>
      <w:r w:rsidRPr="00F73334">
        <w:t>przedłożonego</w:t>
      </w:r>
      <w:r>
        <w:rPr>
          <w:szCs w:val="24"/>
        </w:rPr>
        <w:t xml:space="preserve"> harmonogramu rzeczowo-finansow</w:t>
      </w:r>
      <w:r w:rsidR="00C07971">
        <w:rPr>
          <w:szCs w:val="24"/>
        </w:rPr>
        <w:t>ego</w:t>
      </w:r>
      <w:r>
        <w:rPr>
          <w:szCs w:val="24"/>
        </w:rPr>
        <w:t xml:space="preserve"> przez wyłonionego wykonawcę w zadaniu nr 6, która uwzględnia m</w:t>
      </w:r>
      <w:r w:rsidR="00C07971">
        <w:rPr>
          <w:szCs w:val="24"/>
        </w:rPr>
        <w:t>.</w:t>
      </w:r>
      <w:r>
        <w:rPr>
          <w:szCs w:val="24"/>
        </w:rPr>
        <w:t>in. cykl technologiczny wykonywanych robót budowlano</w:t>
      </w:r>
      <w:r w:rsidR="00E82564">
        <w:rPr>
          <w:szCs w:val="24"/>
        </w:rPr>
        <w:t>-</w:t>
      </w:r>
      <w:r>
        <w:rPr>
          <w:szCs w:val="24"/>
        </w:rPr>
        <w:t>instalacyjnych oraz złożoność realizacji tej inwestycji, z uwagi na wykonywanie prac na substancji już istniejącej, powstałej</w:t>
      </w:r>
      <w:r w:rsidR="00F01BED">
        <w:rPr>
          <w:szCs w:val="24"/>
        </w:rPr>
        <w:t xml:space="preserve"> </w:t>
      </w:r>
      <w:r>
        <w:rPr>
          <w:szCs w:val="24"/>
        </w:rPr>
        <w:t>przed drugą wojną światową oraz konieczność wykonania prac dodatkowych</w:t>
      </w:r>
      <w:r w:rsidR="00AE0D17">
        <w:rPr>
          <w:szCs w:val="24"/>
        </w:rPr>
        <w:t>,</w:t>
      </w:r>
      <w:r>
        <w:rPr>
          <w:szCs w:val="24"/>
        </w:rPr>
        <w:t xml:space="preserve"> powodują potrzebę wydłużenia okresu realizacji tego zadania o</w:t>
      </w:r>
      <w:r w:rsidR="00C07971">
        <w:rPr>
          <w:szCs w:val="24"/>
        </w:rPr>
        <w:t> </w:t>
      </w:r>
      <w:r>
        <w:rPr>
          <w:szCs w:val="24"/>
        </w:rPr>
        <w:t>jeden rok</w:t>
      </w:r>
      <w:r w:rsidR="00C07971">
        <w:rPr>
          <w:szCs w:val="24"/>
        </w:rPr>
        <w:t>,</w:t>
      </w:r>
      <w:r>
        <w:rPr>
          <w:szCs w:val="24"/>
        </w:rPr>
        <w:t xml:space="preserve"> tj. do 2025 r. Podobna sytuacja w zakresie wydłużenia okresu realizacji o jeden rok zaistniała przy największym zadaniu nr 1 w </w:t>
      </w:r>
      <w:r w:rsidR="00F01BED">
        <w:rPr>
          <w:szCs w:val="24"/>
        </w:rPr>
        <w:t>P</w:t>
      </w:r>
      <w:r>
        <w:rPr>
          <w:szCs w:val="24"/>
        </w:rPr>
        <w:t>rogramie. Wydłużenie okresu realizacji</w:t>
      </w:r>
      <w:r w:rsidR="00F01BED">
        <w:rPr>
          <w:szCs w:val="24"/>
        </w:rPr>
        <w:t xml:space="preserve"> </w:t>
      </w:r>
      <w:r>
        <w:rPr>
          <w:szCs w:val="24"/>
        </w:rPr>
        <w:t>w</w:t>
      </w:r>
      <w:r w:rsidR="00C07971">
        <w:rPr>
          <w:szCs w:val="24"/>
        </w:rPr>
        <w:t> </w:t>
      </w:r>
      <w:r>
        <w:rPr>
          <w:szCs w:val="24"/>
        </w:rPr>
        <w:t>tym zadaniu wynika z faktu, iż w latach 2023–2024 z powodów opisanych już wcześniej nie wykorzystano przyznanych środków dotacyjnych, w łącznej wysokości 183 352 628 zł (czyli 27,78 % wszystkich środków dotacyjnych przewidzianych w tym zadaniu</w:t>
      </w:r>
      <w:r w:rsidR="00F01BED">
        <w:rPr>
          <w:szCs w:val="24"/>
        </w:rPr>
        <w:t>)</w:t>
      </w:r>
      <w:r>
        <w:rPr>
          <w:szCs w:val="24"/>
        </w:rPr>
        <w:t>. Ponadto z uwagi, iż realizowane jest ono w</w:t>
      </w:r>
      <w:r w:rsidR="00F01BED">
        <w:rPr>
          <w:szCs w:val="24"/>
        </w:rPr>
        <w:t> </w:t>
      </w:r>
      <w:r>
        <w:rPr>
          <w:szCs w:val="24"/>
        </w:rPr>
        <w:t>formule „zaprojektuj i wybuduj”</w:t>
      </w:r>
      <w:r w:rsidR="00F01BED">
        <w:rPr>
          <w:szCs w:val="24"/>
        </w:rPr>
        <w:t>,</w:t>
      </w:r>
      <w:r>
        <w:rPr>
          <w:szCs w:val="24"/>
        </w:rPr>
        <w:t xml:space="preserve"> </w:t>
      </w:r>
      <w:r w:rsidR="00F01BED">
        <w:rPr>
          <w:szCs w:val="24"/>
        </w:rPr>
        <w:t xml:space="preserve">gdzie </w:t>
      </w:r>
      <w:r>
        <w:rPr>
          <w:szCs w:val="24"/>
        </w:rPr>
        <w:t xml:space="preserve">w trakcie realizacji procesu projektowania wystąpiły opisane wcześniej </w:t>
      </w:r>
      <w:r w:rsidR="00F01BED">
        <w:rPr>
          <w:szCs w:val="24"/>
        </w:rPr>
        <w:t xml:space="preserve">problemy, </w:t>
      </w:r>
      <w:r>
        <w:rPr>
          <w:szCs w:val="24"/>
        </w:rPr>
        <w:t xml:space="preserve">zachodzi konieczność zmiany terminu otrzymania kompletnej dokumentacji projektowej, </w:t>
      </w:r>
      <w:r w:rsidR="00305382">
        <w:rPr>
          <w:szCs w:val="24"/>
        </w:rPr>
        <w:t>poprzez</w:t>
      </w:r>
      <w:r>
        <w:rPr>
          <w:szCs w:val="24"/>
        </w:rPr>
        <w:t xml:space="preserve"> wydłużenie tego terminu o ponad 5 miesięcy od terminu pierwotnego zapisanego w umowie. Brak dokumentacji i zakres zmian jaki należy </w:t>
      </w:r>
      <w:r w:rsidR="00F01BED">
        <w:rPr>
          <w:szCs w:val="24"/>
        </w:rPr>
        <w:t xml:space="preserve">w </w:t>
      </w:r>
      <w:proofErr w:type="gramStart"/>
      <w:r w:rsidR="00F01BED">
        <w:rPr>
          <w:szCs w:val="24"/>
        </w:rPr>
        <w:t xml:space="preserve">niej  </w:t>
      </w:r>
      <w:r>
        <w:rPr>
          <w:szCs w:val="24"/>
        </w:rPr>
        <w:t>uwzględnić</w:t>
      </w:r>
      <w:proofErr w:type="gramEnd"/>
      <w:r>
        <w:rPr>
          <w:szCs w:val="24"/>
        </w:rPr>
        <w:t xml:space="preserve"> uniemożliwił, jako </w:t>
      </w:r>
      <w:r>
        <w:rPr>
          <w:szCs w:val="24"/>
        </w:rPr>
        <w:lastRenderedPageBreak/>
        <w:t>wspomniano wcześniej</w:t>
      </w:r>
      <w:r w:rsidR="00F01BED">
        <w:rPr>
          <w:szCs w:val="24"/>
        </w:rPr>
        <w:t>,</w:t>
      </w:r>
      <w:r>
        <w:rPr>
          <w:szCs w:val="24"/>
        </w:rPr>
        <w:t xml:space="preserve"> realizację prac przewidzianych do</w:t>
      </w:r>
      <w:r w:rsidR="004D1721">
        <w:rPr>
          <w:szCs w:val="24"/>
        </w:rPr>
        <w:t> </w:t>
      </w:r>
      <w:r>
        <w:rPr>
          <w:szCs w:val="24"/>
        </w:rPr>
        <w:t xml:space="preserve">wykonania w IV kwartale </w:t>
      </w:r>
      <w:r w:rsidR="00F01BED">
        <w:rPr>
          <w:szCs w:val="24"/>
        </w:rPr>
        <w:t>2024 r</w:t>
      </w:r>
      <w:r>
        <w:rPr>
          <w:szCs w:val="24"/>
        </w:rPr>
        <w:t xml:space="preserve">. </w:t>
      </w:r>
      <w:r w:rsidR="00F01BED">
        <w:rPr>
          <w:szCs w:val="24"/>
        </w:rPr>
        <w:t xml:space="preserve">zgodnie z </w:t>
      </w:r>
      <w:r>
        <w:rPr>
          <w:szCs w:val="24"/>
        </w:rPr>
        <w:t>zatwierdzon</w:t>
      </w:r>
      <w:r w:rsidR="00F01BED">
        <w:rPr>
          <w:szCs w:val="24"/>
        </w:rPr>
        <w:t xml:space="preserve">ym </w:t>
      </w:r>
      <w:r>
        <w:rPr>
          <w:szCs w:val="24"/>
        </w:rPr>
        <w:t>pierwotn</w:t>
      </w:r>
      <w:r w:rsidR="00F01BED">
        <w:rPr>
          <w:szCs w:val="24"/>
        </w:rPr>
        <w:t>ie harmonogramem</w:t>
      </w:r>
      <w:r>
        <w:rPr>
          <w:szCs w:val="24"/>
        </w:rPr>
        <w:t xml:space="preserve"> i</w:t>
      </w:r>
      <w:r w:rsidR="004D1721">
        <w:rPr>
          <w:szCs w:val="24"/>
        </w:rPr>
        <w:t> </w:t>
      </w:r>
      <w:r>
        <w:rPr>
          <w:szCs w:val="24"/>
        </w:rPr>
        <w:t>wykorzystani</w:t>
      </w:r>
      <w:r w:rsidR="00F01BED">
        <w:rPr>
          <w:szCs w:val="24"/>
        </w:rPr>
        <w:t>e</w:t>
      </w:r>
      <w:r>
        <w:rPr>
          <w:szCs w:val="24"/>
        </w:rPr>
        <w:t xml:space="preserve"> w pełnej wysokości przyznanych środków dotacyjnych. Stan taki wpłynął na</w:t>
      </w:r>
      <w:r w:rsidR="004D1721">
        <w:rPr>
          <w:szCs w:val="24"/>
        </w:rPr>
        <w:t> </w:t>
      </w:r>
      <w:r>
        <w:rPr>
          <w:szCs w:val="24"/>
        </w:rPr>
        <w:t>konieczność zmiany harmonogramu prac realizowanych w kolejnych latach w tym zadaniu, przy zachowaniu właściwego procesu technologicznego i tym samym spowodował przedłużenie terminu końcowego wykonania wszystkich prac i czynności przewidzianych w</w:t>
      </w:r>
      <w:r w:rsidR="00F01BED">
        <w:rPr>
          <w:szCs w:val="24"/>
        </w:rPr>
        <w:t> </w:t>
      </w:r>
      <w:r>
        <w:rPr>
          <w:szCs w:val="24"/>
        </w:rPr>
        <w:t xml:space="preserve">podpisanej umowie z wykonawcą. </w:t>
      </w:r>
      <w:r w:rsidR="00F01BED">
        <w:rPr>
          <w:szCs w:val="24"/>
        </w:rPr>
        <w:t>Mając na uwadze</w:t>
      </w:r>
      <w:r w:rsidR="0063006A">
        <w:rPr>
          <w:szCs w:val="24"/>
        </w:rPr>
        <w:t>,</w:t>
      </w:r>
      <w:r>
        <w:rPr>
          <w:szCs w:val="24"/>
        </w:rPr>
        <w:t xml:space="preserve"> że </w:t>
      </w:r>
      <w:r w:rsidR="0019511D">
        <w:rPr>
          <w:szCs w:val="24"/>
        </w:rPr>
        <w:t>przystąpienie do wyposażenia budynku mo</w:t>
      </w:r>
      <w:r w:rsidR="005E4B02">
        <w:rPr>
          <w:szCs w:val="24"/>
        </w:rPr>
        <w:t>ż</w:t>
      </w:r>
      <w:r w:rsidR="0019511D">
        <w:rPr>
          <w:szCs w:val="24"/>
        </w:rPr>
        <w:t xml:space="preserve">na rozpocząć </w:t>
      </w:r>
      <w:r>
        <w:rPr>
          <w:szCs w:val="24"/>
        </w:rPr>
        <w:t>dopiero po oddaniu obiektu przez wykonawcę, konieczn</w:t>
      </w:r>
      <w:r w:rsidR="00F01BED">
        <w:rPr>
          <w:szCs w:val="24"/>
        </w:rPr>
        <w:t xml:space="preserve">e </w:t>
      </w:r>
      <w:proofErr w:type="gramStart"/>
      <w:r w:rsidR="00F01BED">
        <w:rPr>
          <w:szCs w:val="24"/>
        </w:rPr>
        <w:t xml:space="preserve">jest </w:t>
      </w:r>
      <w:r>
        <w:rPr>
          <w:szCs w:val="24"/>
        </w:rPr>
        <w:t xml:space="preserve"> wydłużeni</w:t>
      </w:r>
      <w:r w:rsidR="00F01BED">
        <w:rPr>
          <w:szCs w:val="24"/>
        </w:rPr>
        <w:t>e</w:t>
      </w:r>
      <w:proofErr w:type="gramEnd"/>
      <w:r>
        <w:rPr>
          <w:szCs w:val="24"/>
        </w:rPr>
        <w:t xml:space="preserve"> realizacji tego zadania o jeden rok</w:t>
      </w:r>
      <w:r w:rsidR="004D1721">
        <w:rPr>
          <w:szCs w:val="24"/>
        </w:rPr>
        <w:t>,</w:t>
      </w:r>
      <w:r>
        <w:rPr>
          <w:szCs w:val="24"/>
        </w:rPr>
        <w:t xml:space="preserve"> tj. do 2027 r.</w:t>
      </w:r>
      <w:r w:rsidR="004D1721">
        <w:rPr>
          <w:szCs w:val="24"/>
        </w:rPr>
        <w:t>,</w:t>
      </w:r>
      <w:r>
        <w:rPr>
          <w:szCs w:val="24"/>
        </w:rPr>
        <w:t xml:space="preserve"> i tym samym całego </w:t>
      </w:r>
      <w:r w:rsidR="00F01BED">
        <w:rPr>
          <w:szCs w:val="24"/>
        </w:rPr>
        <w:t>P</w:t>
      </w:r>
      <w:r>
        <w:rPr>
          <w:szCs w:val="24"/>
        </w:rPr>
        <w:t>rogramu wieloletniego</w:t>
      </w:r>
      <w:r w:rsidR="00F01BED">
        <w:rPr>
          <w:szCs w:val="24"/>
        </w:rPr>
        <w:t>.</w:t>
      </w:r>
      <w:r>
        <w:rPr>
          <w:szCs w:val="24"/>
        </w:rPr>
        <w:t xml:space="preserve"> </w:t>
      </w:r>
      <w:r w:rsidR="00F01BED">
        <w:rPr>
          <w:szCs w:val="24"/>
        </w:rPr>
        <w:t>Z</w:t>
      </w:r>
      <w:r>
        <w:rPr>
          <w:szCs w:val="24"/>
        </w:rPr>
        <w:t xml:space="preserve">adanie nr 1 będzie </w:t>
      </w:r>
      <w:r w:rsidR="00F01BED">
        <w:rPr>
          <w:szCs w:val="24"/>
        </w:rPr>
        <w:t xml:space="preserve">wówczas </w:t>
      </w:r>
      <w:r>
        <w:rPr>
          <w:szCs w:val="24"/>
        </w:rPr>
        <w:t xml:space="preserve">realizowane tak jak i cały </w:t>
      </w:r>
      <w:r w:rsidR="00513604">
        <w:rPr>
          <w:szCs w:val="24"/>
        </w:rPr>
        <w:t>P</w:t>
      </w:r>
      <w:r>
        <w:rPr>
          <w:szCs w:val="24"/>
        </w:rPr>
        <w:t>rogram</w:t>
      </w:r>
      <w:r w:rsidR="00F01BED">
        <w:rPr>
          <w:szCs w:val="24"/>
        </w:rPr>
        <w:t xml:space="preserve"> </w:t>
      </w:r>
      <w:r w:rsidR="004D1721">
        <w:rPr>
          <w:szCs w:val="24"/>
        </w:rPr>
        <w:sym w:font="Symbol" w:char="F02D"/>
      </w:r>
      <w:r>
        <w:rPr>
          <w:szCs w:val="24"/>
        </w:rPr>
        <w:t xml:space="preserve"> w latach 2019–2027. </w:t>
      </w:r>
    </w:p>
    <w:p w14:paraId="2C4ED02C" w14:textId="6936AF82" w:rsidR="00764496" w:rsidRPr="0019511D" w:rsidRDefault="00764496" w:rsidP="007B237D">
      <w:pPr>
        <w:pStyle w:val="ARTartustawynprozporzdzenia"/>
        <w:rPr>
          <w:szCs w:val="24"/>
        </w:rPr>
      </w:pPr>
      <w:r w:rsidRPr="00F73334">
        <w:t>Zaznaczyć</w:t>
      </w:r>
      <w:r>
        <w:rPr>
          <w:szCs w:val="24"/>
        </w:rPr>
        <w:t xml:space="preserve"> należy, że wydłużenie terminu realizacji zadania nr 1 i </w:t>
      </w:r>
      <w:r w:rsidR="004D1721">
        <w:rPr>
          <w:szCs w:val="24"/>
        </w:rPr>
        <w:t xml:space="preserve">zadania </w:t>
      </w:r>
      <w:r>
        <w:rPr>
          <w:szCs w:val="24"/>
        </w:rPr>
        <w:t xml:space="preserve">nr 6 oraz całego </w:t>
      </w:r>
      <w:r w:rsidR="00F01BED">
        <w:rPr>
          <w:szCs w:val="24"/>
        </w:rPr>
        <w:t>P</w:t>
      </w:r>
      <w:r>
        <w:rPr>
          <w:szCs w:val="24"/>
        </w:rPr>
        <w:t>rogramu nie wpływa w żaden sposób na zwiększenie przyznanych środków dotacyjnych.</w:t>
      </w:r>
      <w:r w:rsidR="0019511D">
        <w:rPr>
          <w:szCs w:val="24"/>
        </w:rPr>
        <w:t xml:space="preserve"> W</w:t>
      </w:r>
      <w:r w:rsidR="004D1721">
        <w:rPr>
          <w:szCs w:val="24"/>
        </w:rPr>
        <w:t> </w:t>
      </w:r>
      <w:r w:rsidR="0019511D">
        <w:rPr>
          <w:szCs w:val="24"/>
        </w:rPr>
        <w:t>związku z powyższym czas</w:t>
      </w:r>
      <w:r>
        <w:rPr>
          <w:rFonts w:cs="Times New Roman"/>
          <w:szCs w:val="24"/>
        </w:rPr>
        <w:t xml:space="preserve"> realizacji zadań inwestycyjnych przedstawia się w następujący sposób:</w:t>
      </w:r>
    </w:p>
    <w:p w14:paraId="669502DF" w14:textId="4F8B9A77" w:rsidR="00764496" w:rsidRDefault="00764496" w:rsidP="004209C5">
      <w:pPr>
        <w:pStyle w:val="Akapitzlist"/>
        <w:widowControl/>
        <w:numPr>
          <w:ilvl w:val="0"/>
          <w:numId w:val="31"/>
        </w:numPr>
        <w:autoSpaceDE/>
        <w:autoSpaceDN/>
        <w:adjustRightInd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zadania nr 1 w latach 2019</w:t>
      </w:r>
      <w:r w:rsidR="008A0927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>2027</w:t>
      </w:r>
      <w:r w:rsidR="004D1721">
        <w:rPr>
          <w:rFonts w:cs="Times New Roman"/>
          <w:szCs w:val="24"/>
        </w:rPr>
        <w:t>;</w:t>
      </w:r>
    </w:p>
    <w:p w14:paraId="7D9C0B83" w14:textId="71965D84" w:rsidR="00764496" w:rsidRDefault="00764496" w:rsidP="004209C5">
      <w:pPr>
        <w:pStyle w:val="Akapitzlist"/>
        <w:widowControl/>
        <w:numPr>
          <w:ilvl w:val="0"/>
          <w:numId w:val="31"/>
        </w:numPr>
        <w:autoSpaceDE/>
        <w:autoSpaceDN/>
        <w:adjustRightInd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zadania nr 3 w latach 2021</w:t>
      </w:r>
      <w:r w:rsidR="008A0927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>2026</w:t>
      </w:r>
      <w:r w:rsidR="004D1721">
        <w:rPr>
          <w:rFonts w:cs="Times New Roman"/>
          <w:szCs w:val="24"/>
        </w:rPr>
        <w:t>;</w:t>
      </w:r>
    </w:p>
    <w:p w14:paraId="66728D02" w14:textId="6497E8FD" w:rsidR="00764496" w:rsidRDefault="00764496" w:rsidP="004209C5">
      <w:pPr>
        <w:pStyle w:val="Akapitzlist"/>
        <w:widowControl/>
        <w:numPr>
          <w:ilvl w:val="0"/>
          <w:numId w:val="31"/>
        </w:numPr>
        <w:autoSpaceDE/>
        <w:autoSpaceDN/>
        <w:adjustRightInd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zadanie nr 4 w latach 2021</w:t>
      </w:r>
      <w:r w:rsidR="008A0927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>2024</w:t>
      </w:r>
      <w:r w:rsidR="004D1721">
        <w:rPr>
          <w:rFonts w:cs="Times New Roman"/>
          <w:szCs w:val="24"/>
        </w:rPr>
        <w:t>;</w:t>
      </w:r>
    </w:p>
    <w:p w14:paraId="53987FA2" w14:textId="32D21E1C" w:rsidR="00764496" w:rsidRDefault="00764496" w:rsidP="004209C5">
      <w:pPr>
        <w:pStyle w:val="Akapitzlist"/>
        <w:widowControl/>
        <w:numPr>
          <w:ilvl w:val="0"/>
          <w:numId w:val="31"/>
        </w:numPr>
        <w:autoSpaceDE/>
        <w:autoSpaceDN/>
        <w:adjustRightInd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zadanie nr 6 w latach 2022</w:t>
      </w:r>
      <w:r w:rsidR="008A0927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>2025.</w:t>
      </w:r>
    </w:p>
    <w:p w14:paraId="1C655800" w14:textId="10DF7329" w:rsidR="00764496" w:rsidRDefault="00F01BED" w:rsidP="007B237D">
      <w:pPr>
        <w:pStyle w:val="ARTartustawynprozporzdzenia"/>
        <w:rPr>
          <w:rFonts w:cs="Times New Roman"/>
          <w:i/>
          <w:iCs/>
          <w:szCs w:val="24"/>
        </w:rPr>
      </w:pPr>
      <w:r>
        <w:rPr>
          <w:rFonts w:cs="Times New Roman"/>
          <w:szCs w:val="24"/>
        </w:rPr>
        <w:t xml:space="preserve">Mając na uwadze przedstawioną </w:t>
      </w:r>
      <w:r w:rsidRPr="00F73334">
        <w:t>powyżej</w:t>
      </w:r>
      <w:r>
        <w:rPr>
          <w:rFonts w:cs="Times New Roman"/>
          <w:szCs w:val="24"/>
        </w:rPr>
        <w:t xml:space="preserve"> argumentację, konieczne jest dokonanie </w:t>
      </w:r>
      <w:proofErr w:type="gramStart"/>
      <w:r w:rsidR="00400F84">
        <w:rPr>
          <w:rFonts w:cs="Times New Roman"/>
          <w:szCs w:val="24"/>
        </w:rPr>
        <w:t>zmiany</w:t>
      </w:r>
      <w:r>
        <w:rPr>
          <w:rFonts w:cs="Times New Roman"/>
          <w:szCs w:val="24"/>
        </w:rPr>
        <w:t xml:space="preserve"> </w:t>
      </w:r>
      <w:r w:rsidR="00764496">
        <w:rPr>
          <w:rFonts w:cs="Times New Roman"/>
          <w:szCs w:val="24"/>
        </w:rPr>
        <w:t xml:space="preserve"> wysokości</w:t>
      </w:r>
      <w:proofErr w:type="gramEnd"/>
      <w:r w:rsidR="00764496">
        <w:rPr>
          <w:rFonts w:cs="Times New Roman"/>
          <w:szCs w:val="24"/>
        </w:rPr>
        <w:t xml:space="preserve"> wydatkowania środków w poszczególnych latach trwania </w:t>
      </w:r>
      <w:r>
        <w:rPr>
          <w:rFonts w:cs="Times New Roman"/>
          <w:szCs w:val="24"/>
        </w:rPr>
        <w:t>P</w:t>
      </w:r>
      <w:r w:rsidR="00764496">
        <w:rPr>
          <w:rFonts w:cs="Times New Roman"/>
          <w:szCs w:val="24"/>
        </w:rPr>
        <w:t>rogramu.  Jednocześnie uwzględniając cykl technologiczny i możliwości realizacyjne wykonawcy w zadaniu nr 1</w:t>
      </w:r>
      <w:r>
        <w:rPr>
          <w:rFonts w:cs="Times New Roman"/>
          <w:szCs w:val="24"/>
        </w:rPr>
        <w:t>,</w:t>
      </w:r>
      <w:r w:rsidR="00764496">
        <w:rPr>
          <w:rFonts w:cs="Times New Roman"/>
          <w:szCs w:val="24"/>
        </w:rPr>
        <w:t xml:space="preserve"> należy w </w:t>
      </w:r>
      <w:r w:rsidR="00513604">
        <w:rPr>
          <w:rFonts w:cs="Times New Roman"/>
          <w:szCs w:val="24"/>
        </w:rPr>
        <w:t>P</w:t>
      </w:r>
      <w:r w:rsidR="00764496">
        <w:rPr>
          <w:rFonts w:cs="Times New Roman"/>
          <w:szCs w:val="24"/>
        </w:rPr>
        <w:t xml:space="preserve">rogramie część środków przyznanych </w:t>
      </w:r>
      <w:r w:rsidR="00DD042C">
        <w:rPr>
          <w:rFonts w:cs="Times New Roman"/>
          <w:szCs w:val="24"/>
        </w:rPr>
        <w:t>u</w:t>
      </w:r>
      <w:r w:rsidR="00764496">
        <w:rPr>
          <w:rFonts w:cs="Times New Roman"/>
          <w:szCs w:val="24"/>
        </w:rPr>
        <w:t>chwał</w:t>
      </w:r>
      <w:r w:rsidR="00AE0D17">
        <w:rPr>
          <w:rFonts w:cs="Times New Roman"/>
          <w:szCs w:val="24"/>
        </w:rPr>
        <w:t>ą</w:t>
      </w:r>
      <w:r w:rsidR="00764496">
        <w:rPr>
          <w:rFonts w:cs="Times New Roman"/>
          <w:szCs w:val="24"/>
        </w:rPr>
        <w:t xml:space="preserve"> </w:t>
      </w:r>
      <w:r w:rsidR="00AE0D17">
        <w:rPr>
          <w:rFonts w:cs="Times New Roman"/>
          <w:szCs w:val="24"/>
        </w:rPr>
        <w:t xml:space="preserve">Rady Ministrów </w:t>
      </w:r>
      <w:r w:rsidR="00764496">
        <w:rPr>
          <w:rFonts w:cs="Times New Roman"/>
          <w:szCs w:val="24"/>
        </w:rPr>
        <w:t>nr 127/2023</w:t>
      </w:r>
      <w:r w:rsidR="008A0927">
        <w:rPr>
          <w:rFonts w:cs="Times New Roman"/>
          <w:szCs w:val="24"/>
        </w:rPr>
        <w:t xml:space="preserve"> z dnia </w:t>
      </w:r>
      <w:r w:rsidR="006F32CB">
        <w:rPr>
          <w:rFonts w:cs="Times New Roman"/>
          <w:szCs w:val="24"/>
        </w:rPr>
        <w:t>5 lipca 2023 r.</w:t>
      </w:r>
      <w:r w:rsidR="00D427E0">
        <w:rPr>
          <w:rFonts w:cs="Times New Roman"/>
          <w:szCs w:val="24"/>
        </w:rPr>
        <w:t xml:space="preserve"> </w:t>
      </w:r>
      <w:r w:rsidR="00764496">
        <w:rPr>
          <w:rFonts w:cs="Times New Roman"/>
          <w:szCs w:val="24"/>
        </w:rPr>
        <w:t xml:space="preserve">na 2026 r. w wysokości 35 937 000 zł </w:t>
      </w:r>
      <w:r w:rsidR="00D427E0">
        <w:rPr>
          <w:rFonts w:cs="Times New Roman"/>
          <w:szCs w:val="24"/>
        </w:rPr>
        <w:t xml:space="preserve">zmniejszyć w roku </w:t>
      </w:r>
      <w:r w:rsidR="00764496">
        <w:rPr>
          <w:rFonts w:cs="Times New Roman"/>
          <w:szCs w:val="24"/>
        </w:rPr>
        <w:t>2026 r.</w:t>
      </w:r>
      <w:r w:rsidR="00D427E0">
        <w:rPr>
          <w:rFonts w:cs="Times New Roman"/>
          <w:szCs w:val="24"/>
        </w:rPr>
        <w:t xml:space="preserve">, jednocześnie zwiększając o te środki </w:t>
      </w:r>
      <w:r>
        <w:rPr>
          <w:rFonts w:cs="Times New Roman"/>
          <w:szCs w:val="24"/>
        </w:rPr>
        <w:t xml:space="preserve">wydatki przewidziane na </w:t>
      </w:r>
      <w:r w:rsidR="00764496">
        <w:rPr>
          <w:rFonts w:cs="Times New Roman"/>
          <w:szCs w:val="24"/>
        </w:rPr>
        <w:t>2027 r.</w:t>
      </w:r>
    </w:p>
    <w:p w14:paraId="76EDABEC" w14:textId="2F3937E2" w:rsidR="00764496" w:rsidRDefault="00764496" w:rsidP="00513604">
      <w:pPr>
        <w:ind w:firstLine="50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Dodatkową </w:t>
      </w:r>
      <w:r w:rsidR="00400F84">
        <w:rPr>
          <w:rFonts w:cs="Times New Roman"/>
          <w:szCs w:val="24"/>
        </w:rPr>
        <w:t>zmianą</w:t>
      </w:r>
      <w:r>
        <w:rPr>
          <w:rFonts w:cs="Times New Roman"/>
          <w:szCs w:val="24"/>
        </w:rPr>
        <w:t xml:space="preserve"> w dokumentacji dotyczącej </w:t>
      </w:r>
      <w:r w:rsidR="00F01BED">
        <w:rPr>
          <w:rFonts w:cs="Times New Roman"/>
          <w:szCs w:val="24"/>
        </w:rPr>
        <w:t>P</w:t>
      </w:r>
      <w:r>
        <w:rPr>
          <w:rFonts w:cs="Times New Roman"/>
          <w:szCs w:val="24"/>
        </w:rPr>
        <w:t>rogramu jest zmian</w:t>
      </w:r>
      <w:r w:rsidR="00F01BED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 </w:t>
      </w:r>
      <w:r w:rsidR="00DD042C">
        <w:rPr>
          <w:rFonts w:cs="Times New Roman"/>
          <w:szCs w:val="24"/>
        </w:rPr>
        <w:t xml:space="preserve">nazwy </w:t>
      </w:r>
      <w:r w:rsidR="000948A3">
        <w:rPr>
          <w:rFonts w:cs="Times New Roman"/>
          <w:szCs w:val="24"/>
        </w:rPr>
        <w:t>Szpitala biorącego udział w</w:t>
      </w:r>
      <w:r>
        <w:rPr>
          <w:rFonts w:cs="Times New Roman"/>
          <w:szCs w:val="24"/>
        </w:rPr>
        <w:t xml:space="preserve"> Program</w:t>
      </w:r>
      <w:r w:rsidR="000948A3">
        <w:rPr>
          <w:rFonts w:cs="Times New Roman"/>
          <w:szCs w:val="24"/>
        </w:rPr>
        <w:t>ie</w:t>
      </w:r>
      <w:r>
        <w:rPr>
          <w:rFonts w:cs="Times New Roman"/>
          <w:szCs w:val="24"/>
        </w:rPr>
        <w:t>. Zgodnie z uchwał</w:t>
      </w:r>
      <w:r w:rsidR="00AE0D17">
        <w:rPr>
          <w:rFonts w:cs="Times New Roman"/>
          <w:szCs w:val="24"/>
        </w:rPr>
        <w:t>ą</w:t>
      </w:r>
      <w:r>
        <w:rPr>
          <w:rFonts w:cs="Times New Roman"/>
          <w:szCs w:val="24"/>
        </w:rPr>
        <w:t xml:space="preserve"> nr 2/2023 Senatu </w:t>
      </w:r>
      <w:r w:rsidR="00F01BED">
        <w:rPr>
          <w:rFonts w:cs="Times New Roman"/>
          <w:szCs w:val="24"/>
        </w:rPr>
        <w:t>Pomorskiego Uniwersytetu Medycznego</w:t>
      </w:r>
      <w:r>
        <w:rPr>
          <w:rFonts w:cs="Times New Roman"/>
          <w:szCs w:val="24"/>
        </w:rPr>
        <w:t xml:space="preserve"> w Szczecinie z dniem 1 stycznia 2024 r. nastąpiła zmian</w:t>
      </w:r>
      <w:r w:rsidR="000948A3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 nazwy </w:t>
      </w:r>
      <w:r w:rsidR="00F01BED">
        <w:rPr>
          <w:rFonts w:cs="Times New Roman"/>
          <w:szCs w:val="24"/>
        </w:rPr>
        <w:t>S</w:t>
      </w:r>
      <w:r>
        <w:rPr>
          <w:rFonts w:cs="Times New Roman"/>
          <w:szCs w:val="24"/>
        </w:rPr>
        <w:t>zpitala z</w:t>
      </w:r>
      <w:r w:rsidR="00AE0D17">
        <w:rPr>
          <w:rFonts w:cs="Times New Roman"/>
          <w:szCs w:val="24"/>
        </w:rPr>
        <w:t> </w:t>
      </w:r>
      <w:r w:rsidRPr="0019511D">
        <w:rPr>
          <w:rFonts w:cs="Times New Roman"/>
          <w:i/>
          <w:iCs/>
          <w:szCs w:val="24"/>
        </w:rPr>
        <w:t xml:space="preserve">Samodzielnego Publicznego Szpitala Klinicznego Nr 1 im. </w:t>
      </w:r>
      <w:bookmarkStart w:id="17" w:name="_Hlk157613735"/>
      <w:r w:rsidRPr="0019511D">
        <w:rPr>
          <w:rFonts w:cs="Times New Roman"/>
          <w:i/>
          <w:iCs/>
          <w:szCs w:val="24"/>
        </w:rPr>
        <w:t>prof. Tadeusza Sokołowskiego Pomorskiego Uniwersytetu Medycznego w Szczecinie</w:t>
      </w:r>
      <w:r>
        <w:rPr>
          <w:rFonts w:cs="Times New Roman"/>
          <w:szCs w:val="24"/>
        </w:rPr>
        <w:t xml:space="preserve"> </w:t>
      </w:r>
      <w:bookmarkEnd w:id="17"/>
      <w:r>
        <w:rPr>
          <w:rFonts w:cs="Times New Roman"/>
          <w:szCs w:val="24"/>
        </w:rPr>
        <w:t xml:space="preserve">na </w:t>
      </w:r>
      <w:r w:rsidRPr="0019511D">
        <w:rPr>
          <w:rFonts w:cs="Times New Roman"/>
          <w:i/>
          <w:iCs/>
          <w:szCs w:val="24"/>
        </w:rPr>
        <w:t>Uniwersytecki Szpital Kliniczny nr 1 im. prof. Tadeusza Sokołowskiego PUM w Szczecinie</w:t>
      </w:r>
      <w:r>
        <w:rPr>
          <w:rFonts w:cs="Times New Roman"/>
          <w:szCs w:val="24"/>
        </w:rPr>
        <w:t xml:space="preserve">. Zmiana ta została usankcjonowana stosownym wpisem w Krajowym Rejestrze Sądowym. </w:t>
      </w:r>
    </w:p>
    <w:p w14:paraId="16E97838" w14:textId="4700488E" w:rsidR="00764496" w:rsidRDefault="00764496" w:rsidP="00513604">
      <w:pPr>
        <w:ind w:firstLine="502"/>
        <w:jc w:val="both"/>
        <w:rPr>
          <w:rFonts w:cs="Times New Roman"/>
          <w:iCs/>
          <w:szCs w:val="24"/>
        </w:rPr>
      </w:pPr>
      <w:r>
        <w:rPr>
          <w:rFonts w:cs="Times New Roman"/>
          <w:szCs w:val="24"/>
        </w:rPr>
        <w:t xml:space="preserve">W związku z powyższym </w:t>
      </w:r>
      <w:r w:rsidR="00513604">
        <w:rPr>
          <w:rFonts w:cs="Times New Roman"/>
          <w:szCs w:val="24"/>
        </w:rPr>
        <w:t>P</w:t>
      </w:r>
      <w:r>
        <w:rPr>
          <w:rFonts w:cs="Times New Roman"/>
          <w:szCs w:val="24"/>
        </w:rPr>
        <w:t xml:space="preserve">rogram </w:t>
      </w:r>
      <w:r w:rsidR="000948A3">
        <w:rPr>
          <w:rFonts w:cs="Times New Roman"/>
          <w:szCs w:val="24"/>
        </w:rPr>
        <w:t>po</w:t>
      </w:r>
      <w:r>
        <w:rPr>
          <w:rFonts w:cs="Times New Roman"/>
          <w:szCs w:val="24"/>
        </w:rPr>
        <w:t xml:space="preserve">winien być </w:t>
      </w:r>
      <w:r w:rsidR="0019511D">
        <w:rPr>
          <w:rFonts w:cs="Times New Roman"/>
          <w:szCs w:val="24"/>
        </w:rPr>
        <w:t xml:space="preserve">dalej </w:t>
      </w:r>
      <w:r>
        <w:rPr>
          <w:rFonts w:cs="Times New Roman"/>
          <w:szCs w:val="24"/>
        </w:rPr>
        <w:t>realizowany p</w:t>
      </w:r>
      <w:r w:rsidR="00F01BED">
        <w:rPr>
          <w:rFonts w:cs="Times New Roman"/>
          <w:szCs w:val="24"/>
        </w:rPr>
        <w:t>od nazwą:</w:t>
      </w:r>
      <w:r>
        <w:rPr>
          <w:rFonts w:cs="Times New Roman"/>
          <w:b/>
          <w:bCs/>
          <w:iCs/>
          <w:szCs w:val="24"/>
        </w:rPr>
        <w:t xml:space="preserve"> </w:t>
      </w:r>
      <w:r>
        <w:rPr>
          <w:rFonts w:cs="Times New Roman"/>
          <w:i/>
          <w:szCs w:val="24"/>
        </w:rPr>
        <w:t>„Rozbudowa wraz z modernizacją Pomorskiego Uniwersytetu Medycznego</w:t>
      </w:r>
      <w:r w:rsidR="0019511D"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</w:rPr>
        <w:t xml:space="preserve">w Szczecinie i Uniwersyteckiego Szpitala Klinicznego Nr 1 w Szczecinie w zakresie kliniczno-dydaktycznym i </w:t>
      </w:r>
      <w:r>
        <w:rPr>
          <w:rFonts w:cs="Times New Roman"/>
          <w:i/>
          <w:szCs w:val="24"/>
        </w:rPr>
        <w:lastRenderedPageBreak/>
        <w:t>medycznych wdrożeń innowacyjnych”</w:t>
      </w:r>
      <w:r>
        <w:rPr>
          <w:rFonts w:cs="Times New Roman"/>
          <w:iCs/>
          <w:szCs w:val="24"/>
        </w:rPr>
        <w:t>,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iCs/>
          <w:szCs w:val="24"/>
        </w:rPr>
        <w:t>a wszelkie dotychczasowe zapisy</w:t>
      </w:r>
      <w:r w:rsidR="0019511D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</w:rPr>
        <w:t>w dokumentacji przy zmianie uchwały R</w:t>
      </w:r>
      <w:r w:rsidR="008A0927">
        <w:rPr>
          <w:rFonts w:cs="Times New Roman"/>
          <w:iCs/>
          <w:szCs w:val="24"/>
        </w:rPr>
        <w:t xml:space="preserve">ady </w:t>
      </w:r>
      <w:r>
        <w:rPr>
          <w:rFonts w:cs="Times New Roman"/>
          <w:iCs/>
          <w:szCs w:val="24"/>
        </w:rPr>
        <w:t>M</w:t>
      </w:r>
      <w:r w:rsidR="008A0927">
        <w:rPr>
          <w:rFonts w:cs="Times New Roman"/>
          <w:iCs/>
          <w:szCs w:val="24"/>
        </w:rPr>
        <w:t>inistrów</w:t>
      </w:r>
      <w:r>
        <w:rPr>
          <w:rFonts w:cs="Times New Roman"/>
          <w:iCs/>
          <w:szCs w:val="24"/>
        </w:rPr>
        <w:t xml:space="preserve"> </w:t>
      </w:r>
      <w:r w:rsidR="00DD042C">
        <w:rPr>
          <w:rFonts w:cs="Times New Roman"/>
          <w:iCs/>
          <w:szCs w:val="24"/>
        </w:rPr>
        <w:t>nr 123/2019</w:t>
      </w:r>
      <w:r w:rsidR="008A0927">
        <w:rPr>
          <w:rFonts w:cs="Times New Roman"/>
          <w:iCs/>
          <w:szCs w:val="24"/>
        </w:rPr>
        <w:t xml:space="preserve"> z dnia</w:t>
      </w:r>
      <w:r w:rsidR="00E33D13">
        <w:rPr>
          <w:rFonts w:cs="Times New Roman"/>
          <w:iCs/>
          <w:szCs w:val="24"/>
        </w:rPr>
        <w:t xml:space="preserve"> 18 czerwca 20</w:t>
      </w:r>
      <w:r w:rsidR="006F32CB">
        <w:rPr>
          <w:rFonts w:cs="Times New Roman"/>
          <w:iCs/>
          <w:szCs w:val="24"/>
        </w:rPr>
        <w:t>1</w:t>
      </w:r>
      <w:r w:rsidR="00E33D13">
        <w:rPr>
          <w:rFonts w:cs="Times New Roman"/>
          <w:iCs/>
          <w:szCs w:val="24"/>
        </w:rPr>
        <w:t>9 r.</w:t>
      </w:r>
      <w:r w:rsidR="00DD042C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</w:rPr>
        <w:t>odnoszące się do dotychczasowego nazewnictwa tej jednostki winne być zastąpione nowym.</w:t>
      </w:r>
    </w:p>
    <w:p w14:paraId="0AD4054F" w14:textId="77777777" w:rsidR="009A04C8" w:rsidRPr="0078046B" w:rsidRDefault="009A04C8" w:rsidP="009A04C8">
      <w:pPr>
        <w:widowControl/>
        <w:spacing w:before="120" w:after="120"/>
        <w:ind w:firstLine="708"/>
        <w:jc w:val="both"/>
        <w:rPr>
          <w:rFonts w:eastAsia="Times New Roman" w:cs="Times New Roman"/>
          <w:szCs w:val="24"/>
        </w:rPr>
      </w:pPr>
      <w:r w:rsidRPr="0078046B">
        <w:rPr>
          <w:rFonts w:eastAsia="Times New Roman" w:cs="Times New Roman"/>
          <w:szCs w:val="24"/>
        </w:rPr>
        <w:t>Wprowadzone zmiany wynikają z konieczności osiągnięcia najlepszego, zaplanowanego efektu rzeczowego z zaplanowanych nakładów.</w:t>
      </w:r>
      <w:r>
        <w:rPr>
          <w:rFonts w:eastAsia="Times New Roman" w:cs="Times New Roman"/>
          <w:szCs w:val="24"/>
        </w:rPr>
        <w:t xml:space="preserve"> </w:t>
      </w:r>
      <w:r w:rsidRPr="0012686E">
        <w:rPr>
          <w:rFonts w:eastAsia="Times New Roman" w:cs="Times New Roman"/>
          <w:szCs w:val="24"/>
        </w:rPr>
        <w:t>Proponowane zmiany w</w:t>
      </w:r>
      <w:r>
        <w:rPr>
          <w:rFonts w:eastAsia="Times New Roman" w:cs="Times New Roman"/>
          <w:szCs w:val="24"/>
        </w:rPr>
        <w:t> P</w:t>
      </w:r>
      <w:r w:rsidRPr="0012686E">
        <w:rPr>
          <w:rFonts w:eastAsia="Times New Roman" w:cs="Times New Roman"/>
          <w:szCs w:val="24"/>
        </w:rPr>
        <w:t>rogramie konieczne są do osiągnięcia</w:t>
      </w:r>
      <w:r>
        <w:rPr>
          <w:rFonts w:eastAsia="Times New Roman" w:cs="Times New Roman"/>
          <w:szCs w:val="24"/>
        </w:rPr>
        <w:t xml:space="preserve"> założonego</w:t>
      </w:r>
      <w:r w:rsidRPr="0012686E">
        <w:rPr>
          <w:rFonts w:eastAsia="Times New Roman" w:cs="Times New Roman"/>
          <w:szCs w:val="24"/>
        </w:rPr>
        <w:t xml:space="preserve"> celu, którym jest stworzenie warunków do realizacji nowoczesnego, racjonalnego i skutecznego leczenia oraz zwiększenia dostępności, jakości i kompleksowości świadczeń zdrowotnych dla pacjentów</w:t>
      </w:r>
      <w:r>
        <w:rPr>
          <w:rFonts w:eastAsia="Times New Roman" w:cs="Times New Roman"/>
          <w:szCs w:val="24"/>
        </w:rPr>
        <w:t>.</w:t>
      </w:r>
    </w:p>
    <w:p w14:paraId="02DC59FB" w14:textId="77777777" w:rsidR="009A04C8" w:rsidRPr="0078046B" w:rsidRDefault="009A04C8" w:rsidP="009A04C8">
      <w:pPr>
        <w:spacing w:after="120"/>
        <w:ind w:firstLine="510"/>
        <w:jc w:val="both"/>
        <w:rPr>
          <w:rFonts w:eastAsia="Times New Roman" w:cs="Times New Roman"/>
          <w:color w:val="000000" w:themeColor="text1"/>
          <w:szCs w:val="24"/>
        </w:rPr>
      </w:pPr>
      <w:r w:rsidRPr="0078046B">
        <w:rPr>
          <w:rFonts w:eastAsia="Times New Roman" w:cs="Times New Roman"/>
          <w:color w:val="000000" w:themeColor="text1"/>
          <w:szCs w:val="24"/>
        </w:rPr>
        <w:t>Przewiduje się, że uchwała wejdzie w życie z dniem podjęcia.</w:t>
      </w:r>
    </w:p>
    <w:p w14:paraId="5A74A116" w14:textId="77777777" w:rsidR="009A04C8" w:rsidRPr="008B3BF2" w:rsidRDefault="009A04C8" w:rsidP="009A04C8">
      <w:pPr>
        <w:pStyle w:val="ARTartustawynprozporzdzenia"/>
      </w:pPr>
      <w:r w:rsidRPr="008B3BF2">
        <w:t>Projekt uchwały nie będzie miał wpływu na działalność mikro-, małych i średnich przedsiębiorców.</w:t>
      </w:r>
    </w:p>
    <w:p w14:paraId="4754BDF5" w14:textId="77777777" w:rsidR="009A04C8" w:rsidRPr="008B3BF2" w:rsidRDefault="009A04C8" w:rsidP="009A04C8">
      <w:pPr>
        <w:pStyle w:val="ARTartustawynprozporzdzenia"/>
      </w:pPr>
      <w:r w:rsidRPr="008B3BF2">
        <w:t>Projektowana uchwała nie zawiera przepisów technicznych w rozumieniu przepisów rozporządzenia Rady Ministrów z dnia 23 grudnia 2002 r. w sprawie sposobu funkcjonowania krajowego systemu notyfikacji norm i aktów prawnych (Dz. U. poz. 2039 oraz z 2004 r. poz.</w:t>
      </w:r>
      <w:r>
        <w:t> </w:t>
      </w:r>
      <w:r w:rsidRPr="008B3BF2">
        <w:t>597), w związku z czym nie podlega procedurze notyfikacji.</w:t>
      </w:r>
    </w:p>
    <w:p w14:paraId="19083F3E" w14:textId="77777777" w:rsidR="009A04C8" w:rsidRDefault="009A04C8" w:rsidP="009A04C8">
      <w:pPr>
        <w:pStyle w:val="ARTartustawynprozporzdzenia"/>
      </w:pPr>
      <w:r w:rsidRPr="008B3BF2">
        <w:t xml:space="preserve">Projekt </w:t>
      </w:r>
      <w:r>
        <w:t xml:space="preserve">uchwały </w:t>
      </w:r>
      <w:r w:rsidRPr="008B3BF2">
        <w:t>nie zawiera wymogów nakładanych na usługodawców podlegających notyfikacji, o której mowa w art. 15 ust. 7 i art. 39 ust. 5 dyrektywy 2006/123/WE Parlamentu Europejskiego i Rady z dnia 12 grudnia 2006 r. dotyczącej usług na rynku wewnętrznym (Dz.</w:t>
      </w:r>
      <w:r>
        <w:t> </w:t>
      </w:r>
      <w:r w:rsidRPr="008B3BF2">
        <w:t xml:space="preserve">Urz. UE L 376 z 27.12.2006, str. 36). </w:t>
      </w:r>
    </w:p>
    <w:p w14:paraId="6C6EDBD4" w14:textId="77777777" w:rsidR="009A04C8" w:rsidRPr="008B3BF2" w:rsidRDefault="009A04C8" w:rsidP="009A04C8">
      <w:pPr>
        <w:pStyle w:val="ARTartustawynprozporzdzenia"/>
      </w:pPr>
      <w:r w:rsidRPr="00AA2790">
        <w:t xml:space="preserve">Projekt </w:t>
      </w:r>
      <w:r>
        <w:t>uchwały</w:t>
      </w:r>
      <w:r w:rsidRPr="00AA2790">
        <w:t xml:space="preserve"> nie wywiera wpływu na obszar danych osobowych. W związku z tym, nie przeprowadzono oceny ochrony danych osobowych, o której mowa w art. </w:t>
      </w:r>
      <w:r>
        <w:t>3</w:t>
      </w:r>
      <w:r w:rsidRPr="00AA2790">
        <w:t>5 ust. 1 rozporządzenia Parlamentu Europejskiego i Rady (UE) 2016/679 z dnia 27 kwietn</w:t>
      </w:r>
      <w:r>
        <w:t>i</w:t>
      </w:r>
      <w:r w:rsidRPr="00AA2790">
        <w:t>a 2016 r. w</w:t>
      </w:r>
      <w:r>
        <w:t> </w:t>
      </w:r>
      <w:r w:rsidRPr="00AA2790">
        <w:t>sprawie ochrony osób fizycznych w związku z przetwarzaniem danych osobowych i</w:t>
      </w:r>
      <w:r>
        <w:t> </w:t>
      </w:r>
      <w:r w:rsidRPr="00AA2790">
        <w:t>w</w:t>
      </w:r>
      <w:r>
        <w:t> </w:t>
      </w:r>
      <w:r w:rsidRPr="00AA2790">
        <w:t>sprawie swobodnego przepływu takich danych oraz uchylenia dyrektywy 95/46/WE (ogólne rozporządzenie o ochronie danych) (Dz. Urz. UE L 119 z 04.05.2016, str. 1, z późn. zm.).</w:t>
      </w:r>
    </w:p>
    <w:p w14:paraId="73F43798" w14:textId="77777777" w:rsidR="009A04C8" w:rsidRPr="00E316D0" w:rsidRDefault="009A04C8" w:rsidP="009A04C8">
      <w:pPr>
        <w:pStyle w:val="ARTartustawynprozporzdzenia"/>
      </w:pPr>
      <w:r w:rsidRPr="00E316D0">
        <w:t>Projekt</w:t>
      </w:r>
      <w:r>
        <w:t>owana</w:t>
      </w:r>
      <w:r w:rsidRPr="00E316D0">
        <w:t xml:space="preserve"> uchwał</w:t>
      </w:r>
      <w:r>
        <w:t>a</w:t>
      </w:r>
      <w:r w:rsidRPr="00E316D0">
        <w:t xml:space="preserve"> nie wymaga przedstawienia właściwym organom i instytucjom Unii Europejskiej, w tym Europejskiemu Bankowi Centralnemu, w celu uzyskania opinii, dokonania powiadomienia, konsultacji albo uzgodnienia. </w:t>
      </w:r>
    </w:p>
    <w:p w14:paraId="7B05AB7D" w14:textId="77777777" w:rsidR="009A04C8" w:rsidRPr="008B3BF2" w:rsidRDefault="009A04C8" w:rsidP="009A04C8">
      <w:pPr>
        <w:pStyle w:val="ARTartustawynprozporzdzenia"/>
      </w:pPr>
      <w:r w:rsidRPr="008B3BF2">
        <w:t xml:space="preserve">Projekt uchwały nie jest sprzeczny z prawem Unii Europejskiej. </w:t>
      </w:r>
    </w:p>
    <w:p w14:paraId="6845DEB0" w14:textId="6751B0AD" w:rsidR="00764496" w:rsidRDefault="009A04C8" w:rsidP="007B237D">
      <w:pPr>
        <w:pStyle w:val="ARTartustawynprozporzdzenia"/>
      </w:pPr>
      <w:r w:rsidRPr="008B3BF2">
        <w:t>Jednocześnie należy wskazać, że nie ma możliwości podjęcia alternatywnych, w stosunku do projektu uchwały, środków umożliwiających osiągnięcie zamierzonego celu.</w:t>
      </w:r>
    </w:p>
    <w:sectPr w:rsidR="00764496" w:rsidSect="009F3D8C">
      <w:footerReference w:type="first" r:id="rId8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6960F" w14:textId="77777777" w:rsidR="006C3587" w:rsidRDefault="006C3587" w:rsidP="00DD36F9">
      <w:pPr>
        <w:spacing w:line="240" w:lineRule="auto"/>
      </w:pPr>
      <w:r>
        <w:separator/>
      </w:r>
    </w:p>
  </w:endnote>
  <w:endnote w:type="continuationSeparator" w:id="0">
    <w:p w14:paraId="113C7E20" w14:textId="77777777" w:rsidR="006C3587" w:rsidRDefault="006C3587" w:rsidP="00DD36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10ED8" w14:textId="77777777" w:rsidR="00FA5086" w:rsidRDefault="00FA50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ABD1B" w14:textId="77777777" w:rsidR="006C3587" w:rsidRDefault="006C3587" w:rsidP="00DD36F9">
      <w:pPr>
        <w:spacing w:line="240" w:lineRule="auto"/>
      </w:pPr>
      <w:r>
        <w:separator/>
      </w:r>
    </w:p>
  </w:footnote>
  <w:footnote w:type="continuationSeparator" w:id="0">
    <w:p w14:paraId="610F8733" w14:textId="77777777" w:rsidR="006C3587" w:rsidRDefault="006C3587" w:rsidP="00DD36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A1727"/>
    <w:multiLevelType w:val="hybridMultilevel"/>
    <w:tmpl w:val="BB2065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208E3"/>
    <w:multiLevelType w:val="hybridMultilevel"/>
    <w:tmpl w:val="523673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A3A96"/>
    <w:multiLevelType w:val="hybridMultilevel"/>
    <w:tmpl w:val="002E413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513B27"/>
    <w:multiLevelType w:val="hybridMultilevel"/>
    <w:tmpl w:val="49467724"/>
    <w:lvl w:ilvl="0" w:tplc="792285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90E77"/>
    <w:multiLevelType w:val="hybridMultilevel"/>
    <w:tmpl w:val="1C287336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7F2798"/>
    <w:multiLevelType w:val="hybridMultilevel"/>
    <w:tmpl w:val="1C287336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0140DB"/>
    <w:multiLevelType w:val="hybridMultilevel"/>
    <w:tmpl w:val="A028C5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C4E79"/>
    <w:multiLevelType w:val="hybridMultilevel"/>
    <w:tmpl w:val="8670EBA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67870F7"/>
    <w:multiLevelType w:val="hybridMultilevel"/>
    <w:tmpl w:val="445C0E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D5538"/>
    <w:multiLevelType w:val="hybridMultilevel"/>
    <w:tmpl w:val="1C28733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91E25D7"/>
    <w:multiLevelType w:val="hybridMultilevel"/>
    <w:tmpl w:val="CE924142"/>
    <w:lvl w:ilvl="0" w:tplc="E6A027D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FFFFFFFF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C3401C3"/>
    <w:multiLevelType w:val="hybridMultilevel"/>
    <w:tmpl w:val="1C287336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F07576B"/>
    <w:multiLevelType w:val="hybridMultilevel"/>
    <w:tmpl w:val="C9CC42F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20103C9"/>
    <w:multiLevelType w:val="hybridMultilevel"/>
    <w:tmpl w:val="E1FAD8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-49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-4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-35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-27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-20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-13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-6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00" w:hanging="360"/>
      </w:pPr>
      <w:rPr>
        <w:rFonts w:ascii="Wingdings" w:hAnsi="Wingdings" w:hint="default"/>
      </w:rPr>
    </w:lvl>
  </w:abstractNum>
  <w:abstractNum w:abstractNumId="14" w15:restartNumberingAfterBreak="0">
    <w:nsid w:val="359435C1"/>
    <w:multiLevelType w:val="hybridMultilevel"/>
    <w:tmpl w:val="1C287336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AA87FBE"/>
    <w:multiLevelType w:val="hybridMultilevel"/>
    <w:tmpl w:val="1C287336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C6049E"/>
    <w:multiLevelType w:val="hybridMultilevel"/>
    <w:tmpl w:val="D93A2F6C"/>
    <w:lvl w:ilvl="0" w:tplc="329AB72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C6AC4"/>
    <w:multiLevelType w:val="hybridMultilevel"/>
    <w:tmpl w:val="ACBEA204"/>
    <w:lvl w:ilvl="0" w:tplc="6D20E6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76FE3"/>
    <w:multiLevelType w:val="hybridMultilevel"/>
    <w:tmpl w:val="1C287336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3E03AAA"/>
    <w:multiLevelType w:val="hybridMultilevel"/>
    <w:tmpl w:val="F5987700"/>
    <w:lvl w:ilvl="0" w:tplc="8C26292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9D5D40"/>
    <w:multiLevelType w:val="hybridMultilevel"/>
    <w:tmpl w:val="0DD6308C"/>
    <w:lvl w:ilvl="0" w:tplc="878436D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85101D8"/>
    <w:multiLevelType w:val="hybridMultilevel"/>
    <w:tmpl w:val="1C287336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89B3915"/>
    <w:multiLevelType w:val="hybridMultilevel"/>
    <w:tmpl w:val="736EB706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99E0920"/>
    <w:multiLevelType w:val="hybridMultilevel"/>
    <w:tmpl w:val="A46077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43BA3"/>
    <w:multiLevelType w:val="hybridMultilevel"/>
    <w:tmpl w:val="BCB4B65A"/>
    <w:lvl w:ilvl="0" w:tplc="3B2A2A7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4DF3444"/>
    <w:multiLevelType w:val="hybridMultilevel"/>
    <w:tmpl w:val="293685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-49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-4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-35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-2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-20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-13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-6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100" w:hanging="360"/>
      </w:pPr>
      <w:rPr>
        <w:rFonts w:ascii="Wingdings" w:hAnsi="Wingdings" w:hint="default"/>
      </w:rPr>
    </w:lvl>
  </w:abstractNum>
  <w:abstractNum w:abstractNumId="26" w15:restartNumberingAfterBreak="0">
    <w:nsid w:val="576D284B"/>
    <w:multiLevelType w:val="hybridMultilevel"/>
    <w:tmpl w:val="E6142B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C4EC3"/>
    <w:multiLevelType w:val="hybridMultilevel"/>
    <w:tmpl w:val="90C8BC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A862A9"/>
    <w:multiLevelType w:val="hybridMultilevel"/>
    <w:tmpl w:val="03925658"/>
    <w:lvl w:ilvl="0" w:tplc="A104C1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102A0"/>
    <w:multiLevelType w:val="hybridMultilevel"/>
    <w:tmpl w:val="7ED2C4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F06130"/>
    <w:multiLevelType w:val="hybridMultilevel"/>
    <w:tmpl w:val="515CB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45250C"/>
    <w:multiLevelType w:val="hybridMultilevel"/>
    <w:tmpl w:val="47E6C03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6DC56A6D"/>
    <w:multiLevelType w:val="hybridMultilevel"/>
    <w:tmpl w:val="162C0F6E"/>
    <w:lvl w:ilvl="0" w:tplc="8C26292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719B195A"/>
    <w:multiLevelType w:val="hybridMultilevel"/>
    <w:tmpl w:val="6B9A5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870495">
    <w:abstractNumId w:val="8"/>
  </w:num>
  <w:num w:numId="2" w16cid:durableId="1221594260">
    <w:abstractNumId w:val="26"/>
  </w:num>
  <w:num w:numId="3" w16cid:durableId="1671175439">
    <w:abstractNumId w:val="16"/>
  </w:num>
  <w:num w:numId="4" w16cid:durableId="1286278690">
    <w:abstractNumId w:val="17"/>
  </w:num>
  <w:num w:numId="5" w16cid:durableId="1485857953">
    <w:abstractNumId w:val="28"/>
  </w:num>
  <w:num w:numId="6" w16cid:durableId="818421463">
    <w:abstractNumId w:val="3"/>
  </w:num>
  <w:num w:numId="7" w16cid:durableId="1150440540">
    <w:abstractNumId w:val="20"/>
  </w:num>
  <w:num w:numId="8" w16cid:durableId="1874879680">
    <w:abstractNumId w:val="24"/>
  </w:num>
  <w:num w:numId="9" w16cid:durableId="11193753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2100865">
    <w:abstractNumId w:val="0"/>
  </w:num>
  <w:num w:numId="11" w16cid:durableId="4854372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1231333">
    <w:abstractNumId w:val="7"/>
  </w:num>
  <w:num w:numId="13" w16cid:durableId="1552617657">
    <w:abstractNumId w:val="33"/>
  </w:num>
  <w:num w:numId="14" w16cid:durableId="1261599325">
    <w:abstractNumId w:val="12"/>
  </w:num>
  <w:num w:numId="15" w16cid:durableId="1138062205">
    <w:abstractNumId w:val="13"/>
  </w:num>
  <w:num w:numId="16" w16cid:durableId="233053041">
    <w:abstractNumId w:val="32"/>
  </w:num>
  <w:num w:numId="17" w16cid:durableId="2116291114">
    <w:abstractNumId w:val="9"/>
  </w:num>
  <w:num w:numId="18" w16cid:durableId="893127186">
    <w:abstractNumId w:val="18"/>
  </w:num>
  <w:num w:numId="19" w16cid:durableId="2061903409">
    <w:abstractNumId w:val="14"/>
  </w:num>
  <w:num w:numId="20" w16cid:durableId="2075814643">
    <w:abstractNumId w:val="15"/>
  </w:num>
  <w:num w:numId="21" w16cid:durableId="576479402">
    <w:abstractNumId w:val="5"/>
  </w:num>
  <w:num w:numId="22" w16cid:durableId="1636985513">
    <w:abstractNumId w:val="21"/>
  </w:num>
  <w:num w:numId="23" w16cid:durableId="578171011">
    <w:abstractNumId w:val="4"/>
  </w:num>
  <w:num w:numId="24" w16cid:durableId="957568387">
    <w:abstractNumId w:val="11"/>
  </w:num>
  <w:num w:numId="25" w16cid:durableId="1526288627">
    <w:abstractNumId w:val="19"/>
  </w:num>
  <w:num w:numId="26" w16cid:durableId="1703238416">
    <w:abstractNumId w:val="10"/>
  </w:num>
  <w:num w:numId="27" w16cid:durableId="560945196">
    <w:abstractNumId w:val="22"/>
  </w:num>
  <w:num w:numId="28" w16cid:durableId="1946882266">
    <w:abstractNumId w:val="29"/>
  </w:num>
  <w:num w:numId="29" w16cid:durableId="340861220">
    <w:abstractNumId w:val="1"/>
  </w:num>
  <w:num w:numId="30" w16cid:durableId="1131708125">
    <w:abstractNumId w:val="27"/>
  </w:num>
  <w:num w:numId="31" w16cid:durableId="1087926469">
    <w:abstractNumId w:val="25"/>
  </w:num>
  <w:num w:numId="32" w16cid:durableId="2114011487">
    <w:abstractNumId w:val="6"/>
  </w:num>
  <w:num w:numId="33" w16cid:durableId="817769476">
    <w:abstractNumId w:val="23"/>
  </w:num>
  <w:num w:numId="34" w16cid:durableId="1086808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D9"/>
    <w:rsid w:val="00001841"/>
    <w:rsid w:val="000030F8"/>
    <w:rsid w:val="000268DC"/>
    <w:rsid w:val="000278D3"/>
    <w:rsid w:val="00034A65"/>
    <w:rsid w:val="0004244A"/>
    <w:rsid w:val="00043E16"/>
    <w:rsid w:val="00051173"/>
    <w:rsid w:val="00057D21"/>
    <w:rsid w:val="0006616B"/>
    <w:rsid w:val="00093809"/>
    <w:rsid w:val="000948A3"/>
    <w:rsid w:val="0009721B"/>
    <w:rsid w:val="000A3813"/>
    <w:rsid w:val="000A4419"/>
    <w:rsid w:val="000A773C"/>
    <w:rsid w:val="000B40D7"/>
    <w:rsid w:val="000B77DB"/>
    <w:rsid w:val="000C63C7"/>
    <w:rsid w:val="000C7896"/>
    <w:rsid w:val="000D3CEF"/>
    <w:rsid w:val="000E0481"/>
    <w:rsid w:val="000E08DC"/>
    <w:rsid w:val="000F0489"/>
    <w:rsid w:val="000F0E0D"/>
    <w:rsid w:val="001068A0"/>
    <w:rsid w:val="001137A4"/>
    <w:rsid w:val="00115163"/>
    <w:rsid w:val="001214E8"/>
    <w:rsid w:val="00121662"/>
    <w:rsid w:val="00124DD8"/>
    <w:rsid w:val="0013275A"/>
    <w:rsid w:val="00146599"/>
    <w:rsid w:val="0015053B"/>
    <w:rsid w:val="0015242C"/>
    <w:rsid w:val="00172536"/>
    <w:rsid w:val="0017445F"/>
    <w:rsid w:val="00190C3D"/>
    <w:rsid w:val="001930A4"/>
    <w:rsid w:val="0019511D"/>
    <w:rsid w:val="001A3EAD"/>
    <w:rsid w:val="001B3A69"/>
    <w:rsid w:val="001B4CD1"/>
    <w:rsid w:val="001B6098"/>
    <w:rsid w:val="001B65B4"/>
    <w:rsid w:val="001C0032"/>
    <w:rsid w:val="001C0466"/>
    <w:rsid w:val="001C1A94"/>
    <w:rsid w:val="001C498E"/>
    <w:rsid w:val="001D03E1"/>
    <w:rsid w:val="001E3318"/>
    <w:rsid w:val="00201FEC"/>
    <w:rsid w:val="00204CAA"/>
    <w:rsid w:val="00211F3C"/>
    <w:rsid w:val="00213957"/>
    <w:rsid w:val="00227DF0"/>
    <w:rsid w:val="00240A55"/>
    <w:rsid w:val="00262489"/>
    <w:rsid w:val="00263A0F"/>
    <w:rsid w:val="00263DEB"/>
    <w:rsid w:val="00263FB0"/>
    <w:rsid w:val="0026427F"/>
    <w:rsid w:val="00267186"/>
    <w:rsid w:val="00271A20"/>
    <w:rsid w:val="00294925"/>
    <w:rsid w:val="002A614A"/>
    <w:rsid w:val="002B3642"/>
    <w:rsid w:val="002B3675"/>
    <w:rsid w:val="002B4BAB"/>
    <w:rsid w:val="002B4CB6"/>
    <w:rsid w:val="002C0CA2"/>
    <w:rsid w:val="002C3120"/>
    <w:rsid w:val="002C4617"/>
    <w:rsid w:val="002D3D44"/>
    <w:rsid w:val="002E2209"/>
    <w:rsid w:val="002E2BD4"/>
    <w:rsid w:val="002E47A9"/>
    <w:rsid w:val="002F0CB4"/>
    <w:rsid w:val="002F106E"/>
    <w:rsid w:val="002F1F7B"/>
    <w:rsid w:val="00305382"/>
    <w:rsid w:val="003074DC"/>
    <w:rsid w:val="003216FD"/>
    <w:rsid w:val="003220E0"/>
    <w:rsid w:val="00324DC6"/>
    <w:rsid w:val="003273E5"/>
    <w:rsid w:val="0033441B"/>
    <w:rsid w:val="00343207"/>
    <w:rsid w:val="00343289"/>
    <w:rsid w:val="00343BFE"/>
    <w:rsid w:val="003473A5"/>
    <w:rsid w:val="00353629"/>
    <w:rsid w:val="0035484E"/>
    <w:rsid w:val="00361C38"/>
    <w:rsid w:val="00366EB5"/>
    <w:rsid w:val="00374A88"/>
    <w:rsid w:val="003755F6"/>
    <w:rsid w:val="00385F0B"/>
    <w:rsid w:val="003902C0"/>
    <w:rsid w:val="00395B6C"/>
    <w:rsid w:val="003A0DB3"/>
    <w:rsid w:val="003A2277"/>
    <w:rsid w:val="003A771F"/>
    <w:rsid w:val="003B08CD"/>
    <w:rsid w:val="003C1003"/>
    <w:rsid w:val="003C29F0"/>
    <w:rsid w:val="003C60DE"/>
    <w:rsid w:val="003D20B2"/>
    <w:rsid w:val="003D45AF"/>
    <w:rsid w:val="003D5676"/>
    <w:rsid w:val="003E41CB"/>
    <w:rsid w:val="003E699D"/>
    <w:rsid w:val="00400F84"/>
    <w:rsid w:val="00413878"/>
    <w:rsid w:val="004209C5"/>
    <w:rsid w:val="004306CA"/>
    <w:rsid w:val="00454DAD"/>
    <w:rsid w:val="00471516"/>
    <w:rsid w:val="004716F2"/>
    <w:rsid w:val="004725E4"/>
    <w:rsid w:val="004924C3"/>
    <w:rsid w:val="004957AB"/>
    <w:rsid w:val="0049734F"/>
    <w:rsid w:val="004A1034"/>
    <w:rsid w:val="004A3DCB"/>
    <w:rsid w:val="004B3FFD"/>
    <w:rsid w:val="004C0722"/>
    <w:rsid w:val="004D1721"/>
    <w:rsid w:val="004E698B"/>
    <w:rsid w:val="004F2479"/>
    <w:rsid w:val="004F3958"/>
    <w:rsid w:val="004F3D6A"/>
    <w:rsid w:val="004F5EDA"/>
    <w:rsid w:val="004F7257"/>
    <w:rsid w:val="004F7BFF"/>
    <w:rsid w:val="004F7C47"/>
    <w:rsid w:val="00513604"/>
    <w:rsid w:val="00532343"/>
    <w:rsid w:val="00535ECA"/>
    <w:rsid w:val="00550E31"/>
    <w:rsid w:val="00553ECD"/>
    <w:rsid w:val="00556036"/>
    <w:rsid w:val="00562E46"/>
    <w:rsid w:val="00566C87"/>
    <w:rsid w:val="00580EDD"/>
    <w:rsid w:val="005813F0"/>
    <w:rsid w:val="00590600"/>
    <w:rsid w:val="00591830"/>
    <w:rsid w:val="0059605C"/>
    <w:rsid w:val="005962EB"/>
    <w:rsid w:val="005A1EBC"/>
    <w:rsid w:val="005B313F"/>
    <w:rsid w:val="005C3AE0"/>
    <w:rsid w:val="005D1107"/>
    <w:rsid w:val="005D6FCF"/>
    <w:rsid w:val="005D785C"/>
    <w:rsid w:val="005E4B02"/>
    <w:rsid w:val="005E6909"/>
    <w:rsid w:val="005F62AF"/>
    <w:rsid w:val="005F6822"/>
    <w:rsid w:val="006026E6"/>
    <w:rsid w:val="00602CB6"/>
    <w:rsid w:val="00604D11"/>
    <w:rsid w:val="00614F19"/>
    <w:rsid w:val="0063006A"/>
    <w:rsid w:val="00630F96"/>
    <w:rsid w:val="00633CE6"/>
    <w:rsid w:val="006426A7"/>
    <w:rsid w:val="0065139E"/>
    <w:rsid w:val="00662F7E"/>
    <w:rsid w:val="0066449C"/>
    <w:rsid w:val="00683EEE"/>
    <w:rsid w:val="006840DD"/>
    <w:rsid w:val="00686804"/>
    <w:rsid w:val="00687B70"/>
    <w:rsid w:val="00691A17"/>
    <w:rsid w:val="0069275A"/>
    <w:rsid w:val="006961B8"/>
    <w:rsid w:val="006A3EA9"/>
    <w:rsid w:val="006B2898"/>
    <w:rsid w:val="006C3587"/>
    <w:rsid w:val="006C3C13"/>
    <w:rsid w:val="006E6F64"/>
    <w:rsid w:val="006F32CB"/>
    <w:rsid w:val="006F5EB8"/>
    <w:rsid w:val="0070225B"/>
    <w:rsid w:val="00704A8E"/>
    <w:rsid w:val="00705586"/>
    <w:rsid w:val="0070721A"/>
    <w:rsid w:val="00716AB3"/>
    <w:rsid w:val="007246BB"/>
    <w:rsid w:val="0074069A"/>
    <w:rsid w:val="007406F5"/>
    <w:rsid w:val="00740CDB"/>
    <w:rsid w:val="007444DD"/>
    <w:rsid w:val="00752A63"/>
    <w:rsid w:val="0075331D"/>
    <w:rsid w:val="0075797C"/>
    <w:rsid w:val="0076356B"/>
    <w:rsid w:val="00764496"/>
    <w:rsid w:val="0077312A"/>
    <w:rsid w:val="007733D1"/>
    <w:rsid w:val="00790BFA"/>
    <w:rsid w:val="007959FF"/>
    <w:rsid w:val="00796119"/>
    <w:rsid w:val="007A23DF"/>
    <w:rsid w:val="007A4AA7"/>
    <w:rsid w:val="007B237D"/>
    <w:rsid w:val="007B5691"/>
    <w:rsid w:val="007C53DD"/>
    <w:rsid w:val="007D2317"/>
    <w:rsid w:val="007E7E12"/>
    <w:rsid w:val="007F09C3"/>
    <w:rsid w:val="007F1980"/>
    <w:rsid w:val="007F449B"/>
    <w:rsid w:val="008034A9"/>
    <w:rsid w:val="00810671"/>
    <w:rsid w:val="00810846"/>
    <w:rsid w:val="00812965"/>
    <w:rsid w:val="00814B14"/>
    <w:rsid w:val="0083086A"/>
    <w:rsid w:val="00833DB6"/>
    <w:rsid w:val="00842515"/>
    <w:rsid w:val="00852C33"/>
    <w:rsid w:val="00853CC8"/>
    <w:rsid w:val="00865833"/>
    <w:rsid w:val="0086740D"/>
    <w:rsid w:val="00871C6C"/>
    <w:rsid w:val="00875A89"/>
    <w:rsid w:val="00877579"/>
    <w:rsid w:val="008829B4"/>
    <w:rsid w:val="00886332"/>
    <w:rsid w:val="00891B9F"/>
    <w:rsid w:val="00892051"/>
    <w:rsid w:val="00893EC4"/>
    <w:rsid w:val="008A0927"/>
    <w:rsid w:val="008B5612"/>
    <w:rsid w:val="008C289F"/>
    <w:rsid w:val="008C5176"/>
    <w:rsid w:val="008D007C"/>
    <w:rsid w:val="008D3108"/>
    <w:rsid w:val="008D4293"/>
    <w:rsid w:val="008E6AD1"/>
    <w:rsid w:val="008E7D70"/>
    <w:rsid w:val="009174EE"/>
    <w:rsid w:val="00924148"/>
    <w:rsid w:val="0092749F"/>
    <w:rsid w:val="009344BB"/>
    <w:rsid w:val="00936E81"/>
    <w:rsid w:val="0095635E"/>
    <w:rsid w:val="009639B0"/>
    <w:rsid w:val="00963A35"/>
    <w:rsid w:val="009831ED"/>
    <w:rsid w:val="009973C1"/>
    <w:rsid w:val="009974F3"/>
    <w:rsid w:val="00997757"/>
    <w:rsid w:val="009A04C8"/>
    <w:rsid w:val="009A124D"/>
    <w:rsid w:val="009A24DC"/>
    <w:rsid w:val="009A2CD8"/>
    <w:rsid w:val="009B6A52"/>
    <w:rsid w:val="009C07A6"/>
    <w:rsid w:val="009C392D"/>
    <w:rsid w:val="009C3BA0"/>
    <w:rsid w:val="009D176D"/>
    <w:rsid w:val="009D4326"/>
    <w:rsid w:val="009E0715"/>
    <w:rsid w:val="009E386C"/>
    <w:rsid w:val="009E3E32"/>
    <w:rsid w:val="009E668C"/>
    <w:rsid w:val="009F15B7"/>
    <w:rsid w:val="009F3D8C"/>
    <w:rsid w:val="00A06759"/>
    <w:rsid w:val="00A0719C"/>
    <w:rsid w:val="00A21E4D"/>
    <w:rsid w:val="00A22874"/>
    <w:rsid w:val="00A23B36"/>
    <w:rsid w:val="00A25229"/>
    <w:rsid w:val="00A42E45"/>
    <w:rsid w:val="00A4779B"/>
    <w:rsid w:val="00A47A9D"/>
    <w:rsid w:val="00A57DEF"/>
    <w:rsid w:val="00A70002"/>
    <w:rsid w:val="00A753A4"/>
    <w:rsid w:val="00A760FA"/>
    <w:rsid w:val="00A91E19"/>
    <w:rsid w:val="00A95369"/>
    <w:rsid w:val="00AB362E"/>
    <w:rsid w:val="00AB5942"/>
    <w:rsid w:val="00AB7D92"/>
    <w:rsid w:val="00AC285A"/>
    <w:rsid w:val="00AC5B4D"/>
    <w:rsid w:val="00AC6FE6"/>
    <w:rsid w:val="00AD2C6C"/>
    <w:rsid w:val="00AE0D17"/>
    <w:rsid w:val="00AE4C5E"/>
    <w:rsid w:val="00AF0CFE"/>
    <w:rsid w:val="00AF18AE"/>
    <w:rsid w:val="00AF5E8E"/>
    <w:rsid w:val="00B025D3"/>
    <w:rsid w:val="00B03FD6"/>
    <w:rsid w:val="00B04F6D"/>
    <w:rsid w:val="00B07997"/>
    <w:rsid w:val="00B3237D"/>
    <w:rsid w:val="00B32C5F"/>
    <w:rsid w:val="00B343BB"/>
    <w:rsid w:val="00B37D4C"/>
    <w:rsid w:val="00B42D81"/>
    <w:rsid w:val="00B44388"/>
    <w:rsid w:val="00B4772A"/>
    <w:rsid w:val="00B54117"/>
    <w:rsid w:val="00B731CC"/>
    <w:rsid w:val="00B779A6"/>
    <w:rsid w:val="00B819C5"/>
    <w:rsid w:val="00B850D5"/>
    <w:rsid w:val="00BA2D1F"/>
    <w:rsid w:val="00BA7503"/>
    <w:rsid w:val="00BB1364"/>
    <w:rsid w:val="00BB4720"/>
    <w:rsid w:val="00BB4C28"/>
    <w:rsid w:val="00BB70FF"/>
    <w:rsid w:val="00BC7AB8"/>
    <w:rsid w:val="00BD06AE"/>
    <w:rsid w:val="00BD6AA0"/>
    <w:rsid w:val="00BE0770"/>
    <w:rsid w:val="00BE3884"/>
    <w:rsid w:val="00BF4727"/>
    <w:rsid w:val="00C07971"/>
    <w:rsid w:val="00C14E14"/>
    <w:rsid w:val="00C16343"/>
    <w:rsid w:val="00C170D0"/>
    <w:rsid w:val="00C31787"/>
    <w:rsid w:val="00C35EC4"/>
    <w:rsid w:val="00C43DC2"/>
    <w:rsid w:val="00C475DB"/>
    <w:rsid w:val="00C552F1"/>
    <w:rsid w:val="00C55EEB"/>
    <w:rsid w:val="00C61C6C"/>
    <w:rsid w:val="00C62273"/>
    <w:rsid w:val="00C66196"/>
    <w:rsid w:val="00C7269C"/>
    <w:rsid w:val="00C93338"/>
    <w:rsid w:val="00C96B7B"/>
    <w:rsid w:val="00C97C61"/>
    <w:rsid w:val="00CA0BD9"/>
    <w:rsid w:val="00CA1DE9"/>
    <w:rsid w:val="00CA7B14"/>
    <w:rsid w:val="00CB2EDC"/>
    <w:rsid w:val="00CC1FA4"/>
    <w:rsid w:val="00CC23A0"/>
    <w:rsid w:val="00CC65D9"/>
    <w:rsid w:val="00CD0503"/>
    <w:rsid w:val="00CE62A0"/>
    <w:rsid w:val="00CF1EB5"/>
    <w:rsid w:val="00D05E2E"/>
    <w:rsid w:val="00D12BC6"/>
    <w:rsid w:val="00D16C67"/>
    <w:rsid w:val="00D427E0"/>
    <w:rsid w:val="00D45931"/>
    <w:rsid w:val="00D70AC2"/>
    <w:rsid w:val="00D71DAE"/>
    <w:rsid w:val="00D92115"/>
    <w:rsid w:val="00D93945"/>
    <w:rsid w:val="00D969B9"/>
    <w:rsid w:val="00DA13FB"/>
    <w:rsid w:val="00DB093E"/>
    <w:rsid w:val="00DB0A41"/>
    <w:rsid w:val="00DB1BB2"/>
    <w:rsid w:val="00DB1FF9"/>
    <w:rsid w:val="00DC13DE"/>
    <w:rsid w:val="00DC61F0"/>
    <w:rsid w:val="00DD042C"/>
    <w:rsid w:val="00DD1F19"/>
    <w:rsid w:val="00DD36F9"/>
    <w:rsid w:val="00DD49F6"/>
    <w:rsid w:val="00E015C1"/>
    <w:rsid w:val="00E31316"/>
    <w:rsid w:val="00E33D13"/>
    <w:rsid w:val="00E4496D"/>
    <w:rsid w:val="00E4531F"/>
    <w:rsid w:val="00E4626C"/>
    <w:rsid w:val="00E52E3E"/>
    <w:rsid w:val="00E549C3"/>
    <w:rsid w:val="00E73957"/>
    <w:rsid w:val="00E739F3"/>
    <w:rsid w:val="00E805EF"/>
    <w:rsid w:val="00E82564"/>
    <w:rsid w:val="00E90C57"/>
    <w:rsid w:val="00E918B2"/>
    <w:rsid w:val="00E93025"/>
    <w:rsid w:val="00EA3281"/>
    <w:rsid w:val="00ED0DEC"/>
    <w:rsid w:val="00EE1467"/>
    <w:rsid w:val="00EE158B"/>
    <w:rsid w:val="00EF44E4"/>
    <w:rsid w:val="00EF5612"/>
    <w:rsid w:val="00EF7154"/>
    <w:rsid w:val="00F01BED"/>
    <w:rsid w:val="00F11E65"/>
    <w:rsid w:val="00F24BCD"/>
    <w:rsid w:val="00F25E45"/>
    <w:rsid w:val="00F37415"/>
    <w:rsid w:val="00F51B6A"/>
    <w:rsid w:val="00F54716"/>
    <w:rsid w:val="00F61F0D"/>
    <w:rsid w:val="00F67FE9"/>
    <w:rsid w:val="00F72778"/>
    <w:rsid w:val="00F73334"/>
    <w:rsid w:val="00F74A47"/>
    <w:rsid w:val="00F832D7"/>
    <w:rsid w:val="00FA0AE9"/>
    <w:rsid w:val="00FA5086"/>
    <w:rsid w:val="00FB3006"/>
    <w:rsid w:val="00FB5219"/>
    <w:rsid w:val="00FB6AF2"/>
    <w:rsid w:val="00FC3BFD"/>
    <w:rsid w:val="00FD0397"/>
    <w:rsid w:val="00FD05FC"/>
    <w:rsid w:val="00FD5DD0"/>
    <w:rsid w:val="00FD6B1D"/>
    <w:rsid w:val="00FE2F56"/>
    <w:rsid w:val="00FE7D81"/>
    <w:rsid w:val="00FF067A"/>
    <w:rsid w:val="00FF1683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09436"/>
  <w15:chartTrackingRefBased/>
  <w15:docId w15:val="{25B12D10-A967-4176-8041-2C3E50B7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5D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CC65D9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CC65D9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CC65D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CC65D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C65D9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CC65D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Normalny"/>
    <w:next w:val="PKTpunkt"/>
    <w:uiPriority w:val="36"/>
    <w:qFormat/>
    <w:rsid w:val="00CC65D9"/>
    <w:pPr>
      <w:widowControl/>
      <w:suppressAutoHyphens/>
      <w:ind w:left="510"/>
      <w:jc w:val="both"/>
    </w:pPr>
  </w:style>
  <w:style w:type="character" w:customStyle="1" w:styleId="Ppogrubienie">
    <w:name w:val="_P_ – pogrubienie"/>
    <w:basedOn w:val="Domylnaczcionkaakapitu"/>
    <w:uiPriority w:val="1"/>
    <w:qFormat/>
    <w:rsid w:val="00CC65D9"/>
    <w:rPr>
      <w:b/>
    </w:rPr>
  </w:style>
  <w:style w:type="paragraph" w:styleId="Akapitzlist">
    <w:name w:val="List Paragraph"/>
    <w:basedOn w:val="Normalny"/>
    <w:uiPriority w:val="34"/>
    <w:qFormat/>
    <w:rsid w:val="00271A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10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1003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D36F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36F9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D36F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36F9"/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75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75DB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75DB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75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75DB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475DB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9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C5F83-68AE-42C1-AE79-498D794FF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4772</Words>
  <Characters>28633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wojciech.olbrys59@gmail.com</dc:creator>
  <cp:keywords/>
  <dc:description/>
  <cp:lastModifiedBy>Araszkiewicz Iwona</cp:lastModifiedBy>
  <cp:revision>2</cp:revision>
  <cp:lastPrinted>2024-02-12T11:33:00Z</cp:lastPrinted>
  <dcterms:created xsi:type="dcterms:W3CDTF">2024-12-16T08:03:00Z</dcterms:created>
  <dcterms:modified xsi:type="dcterms:W3CDTF">2024-12-16T08:03:00Z</dcterms:modified>
</cp:coreProperties>
</file>