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720F" w14:textId="77777777" w:rsidR="00092333" w:rsidRPr="008146B5" w:rsidRDefault="00092333" w:rsidP="00092333">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jc w:val="center"/>
        <w:rPr>
          <w:rFonts w:asciiTheme="minorHAnsi" w:hAnsiTheme="minorHAnsi" w:cstheme="minorHAnsi"/>
          <w:b/>
          <w:sz w:val="22"/>
          <w:szCs w:val="22"/>
          <w:lang w:val="ru-RU"/>
        </w:rPr>
      </w:pPr>
      <w:r w:rsidRPr="008146B5">
        <w:rPr>
          <w:rFonts w:asciiTheme="minorHAnsi" w:hAnsiTheme="minorHAnsi" w:cstheme="minorHAnsi"/>
          <w:b/>
          <w:sz w:val="22"/>
          <w:lang w:val="uk-UA" w:bidi="uk-UA"/>
        </w:rPr>
        <w:t>ПАМ’ЯТКИ</w:t>
      </w:r>
    </w:p>
    <w:p w14:paraId="59F88802" w14:textId="77777777" w:rsidR="007E1E5B" w:rsidRPr="008146B5" w:rsidRDefault="007E1E5B" w:rsidP="0009233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heme="minorHAnsi" w:hAnsiTheme="minorHAnsi" w:cstheme="minorHAnsi"/>
          <w:b/>
          <w:bCs/>
          <w:sz w:val="22"/>
          <w:szCs w:val="22"/>
          <w:lang w:val="ru-RU"/>
        </w:rPr>
      </w:pPr>
      <w:r w:rsidRPr="008146B5">
        <w:rPr>
          <w:rFonts w:asciiTheme="minorHAnsi" w:hAnsiTheme="minorHAnsi" w:cstheme="minorHAnsi"/>
          <w:b/>
          <w:sz w:val="22"/>
          <w:lang w:val="uk-UA" w:bidi="uk-UA"/>
        </w:rPr>
        <w:t>ВРУЧЕННЯ КОПІЇ ПОЗОВУ ВІДПОВІДАЧУ</w:t>
      </w:r>
    </w:p>
    <w:p w14:paraId="2E869769" w14:textId="77777777" w:rsidR="007E1E5B" w:rsidRPr="008146B5" w:rsidRDefault="00092333" w:rsidP="0009233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heme="minorHAnsi" w:hAnsiTheme="minorHAnsi" w:cstheme="minorHAnsi"/>
          <w:b/>
          <w:bCs/>
          <w:sz w:val="22"/>
          <w:szCs w:val="22"/>
          <w:lang w:val="ru-RU"/>
        </w:rPr>
      </w:pPr>
      <w:r w:rsidRPr="008146B5">
        <w:rPr>
          <w:rFonts w:asciiTheme="minorHAnsi" w:hAnsiTheme="minorHAnsi" w:cstheme="minorHAnsi"/>
          <w:b/>
          <w:sz w:val="22"/>
          <w:lang w:val="uk-UA" w:bidi="uk-UA"/>
        </w:rPr>
        <w:t>(господарське судочинство)</w:t>
      </w:r>
    </w:p>
    <w:p w14:paraId="7C6B5315" w14:textId="77777777" w:rsidR="007160F5" w:rsidRPr="008146B5" w:rsidRDefault="00E72B88" w:rsidP="0045435E">
      <w:pPr>
        <w:numPr>
          <w:ilvl w:val="0"/>
          <w:numId w:val="2"/>
        </w:numPr>
        <w:spacing w:before="120"/>
        <w:ind w:left="432"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Відповідач - якщо він не визнає позовну вимогу повністю або частково - зобов’язаний подати </w:t>
      </w:r>
      <w:r w:rsidRPr="008146B5">
        <w:rPr>
          <w:rFonts w:asciiTheme="minorHAnsi" w:hAnsiTheme="minorHAnsi" w:cstheme="minorHAnsi"/>
          <w:b/>
          <w:sz w:val="20"/>
          <w:lang w:val="uk-UA" w:bidi="uk-UA"/>
        </w:rPr>
        <w:t>відповідь на позов</w:t>
      </w:r>
      <w:r w:rsidR="004A08D0" w:rsidRPr="008146B5">
        <w:rPr>
          <w:rFonts w:asciiTheme="minorHAnsi" w:hAnsiTheme="minorHAnsi" w:cstheme="minorHAnsi"/>
          <w:sz w:val="22"/>
          <w:lang w:val="uk-UA" w:bidi="uk-UA"/>
        </w:rPr>
        <w:t xml:space="preserve"> </w:t>
      </w:r>
      <w:r w:rsidRPr="008146B5">
        <w:rPr>
          <w:rFonts w:asciiTheme="minorHAnsi" w:hAnsiTheme="minorHAnsi" w:cstheme="minorHAnsi"/>
          <w:sz w:val="20"/>
          <w:lang w:val="uk-UA" w:bidi="uk-UA"/>
        </w:rPr>
        <w:t xml:space="preserve">у строк, зазначений у супровідному листі, до якого додано позов та цю постанову. </w:t>
      </w:r>
    </w:p>
    <w:p w14:paraId="3C5F58D2" w14:textId="77777777" w:rsidR="00261061" w:rsidRPr="008146B5" w:rsidRDefault="00D51E8F" w:rsidP="0045435E">
      <w:pPr>
        <w:spacing w:before="120"/>
        <w:ind w:left="432" w:hanging="6"/>
        <w:jc w:val="both"/>
        <w:rPr>
          <w:rFonts w:asciiTheme="minorHAnsi" w:hAnsiTheme="minorHAnsi" w:cstheme="minorHAnsi"/>
          <w:sz w:val="20"/>
          <w:szCs w:val="20"/>
          <w:lang w:val="ru-RU"/>
        </w:rPr>
      </w:pPr>
      <w:r w:rsidRPr="008146B5">
        <w:rPr>
          <w:rFonts w:asciiTheme="minorHAnsi" w:hAnsiTheme="minorHAnsi" w:cstheme="minorHAnsi"/>
          <w:sz w:val="20"/>
          <w:lang w:val="uk-UA" w:bidi="uk-UA"/>
        </w:rPr>
        <w:t>Відповідь на позов, подана після закінчення цього строку, підлягає поверненню (ст. 205</w:t>
      </w:r>
      <w:r w:rsidRPr="008146B5">
        <w:rPr>
          <w:rFonts w:asciiTheme="minorHAnsi" w:hAnsiTheme="minorHAnsi" w:cstheme="minorHAnsi"/>
          <w:sz w:val="20"/>
          <w:vertAlign w:val="superscript"/>
          <w:lang w:val="uk-UA" w:bidi="uk-UA"/>
        </w:rPr>
        <w:t>1</w:t>
      </w:r>
      <w:r w:rsidRPr="008146B5">
        <w:rPr>
          <w:rFonts w:asciiTheme="minorHAnsi" w:hAnsiTheme="minorHAnsi" w:cstheme="minorHAnsi"/>
          <w:sz w:val="20"/>
          <w:lang w:val="uk-UA" w:bidi="uk-UA"/>
        </w:rPr>
        <w:t xml:space="preserve"> § 2 Закону від 17 листопада 1964 р. «Цивільний процесуальний кодекс» («Закон. Вісник».2024.1568, єд. текст) - далі ЦПК). </w:t>
      </w:r>
    </w:p>
    <w:p w14:paraId="30DF446F" w14:textId="77777777" w:rsidR="007148F2" w:rsidRPr="008146B5" w:rsidRDefault="007148F2" w:rsidP="0045435E">
      <w:pPr>
        <w:spacing w:before="120"/>
        <w:ind w:left="432" w:hanging="6"/>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Відповідь на позов повинна містити (ст. 126 ЦПК): </w:t>
      </w:r>
    </w:p>
    <w:p w14:paraId="00512F7E" w14:textId="77777777" w:rsidR="0040091A" w:rsidRPr="008146B5" w:rsidRDefault="0040091A" w:rsidP="0045435E">
      <w:pPr>
        <w:numPr>
          <w:ilvl w:val="2"/>
          <w:numId w:val="10"/>
        </w:numPr>
        <w:ind w:left="709" w:hanging="290"/>
        <w:jc w:val="both"/>
        <w:rPr>
          <w:rFonts w:asciiTheme="minorHAnsi" w:hAnsiTheme="minorHAnsi" w:cstheme="minorHAnsi"/>
          <w:sz w:val="20"/>
          <w:szCs w:val="20"/>
        </w:rPr>
      </w:pPr>
      <w:r w:rsidRPr="008146B5">
        <w:rPr>
          <w:rFonts w:asciiTheme="minorHAnsi" w:hAnsiTheme="minorHAnsi" w:cstheme="minorHAnsi"/>
          <w:sz w:val="20"/>
          <w:lang w:val="uk-UA" w:bidi="uk-UA"/>
        </w:rPr>
        <w:t>зазначення номера справи;</w:t>
      </w:r>
    </w:p>
    <w:p w14:paraId="4597AE18" w14:textId="77777777" w:rsidR="007148F2" w:rsidRPr="008146B5" w:rsidRDefault="007148F2" w:rsidP="0045435E">
      <w:pPr>
        <w:numPr>
          <w:ilvl w:val="2"/>
          <w:numId w:val="10"/>
        </w:numPr>
        <w:ind w:left="709"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назву суду, до якого вона направлена, та зазначення номера справи;</w:t>
      </w:r>
    </w:p>
    <w:p w14:paraId="66FEA6D5" w14:textId="77777777" w:rsidR="007148F2" w:rsidRPr="008146B5" w:rsidRDefault="007148F2" w:rsidP="0045435E">
      <w:pPr>
        <w:numPr>
          <w:ilvl w:val="2"/>
          <w:numId w:val="10"/>
        </w:numPr>
        <w:ind w:left="709"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імена та прізвища або назви сторін, їхніх законних представників та повноважних; </w:t>
      </w:r>
    </w:p>
    <w:p w14:paraId="525338FB" w14:textId="77777777" w:rsidR="007148F2" w:rsidRPr="008146B5" w:rsidRDefault="007148F2" w:rsidP="0045435E">
      <w:pPr>
        <w:numPr>
          <w:ilvl w:val="2"/>
          <w:numId w:val="10"/>
        </w:numPr>
        <w:ind w:left="709"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зазначення виду документа </w:t>
      </w:r>
      <w:r w:rsidRPr="008146B5">
        <w:rPr>
          <w:rFonts w:asciiTheme="minorHAnsi" w:hAnsiTheme="minorHAnsi" w:cstheme="minorHAnsi"/>
          <w:i/>
          <w:sz w:val="20"/>
          <w:lang w:val="uk-UA" w:bidi="uk-UA"/>
        </w:rPr>
        <w:t>(відповідь на позов)</w:t>
      </w:r>
      <w:r w:rsidRPr="008146B5">
        <w:rPr>
          <w:rFonts w:asciiTheme="minorHAnsi" w:hAnsiTheme="minorHAnsi" w:cstheme="minorHAnsi"/>
          <w:sz w:val="20"/>
          <w:lang w:val="uk-UA" w:bidi="uk-UA"/>
        </w:rPr>
        <w:t xml:space="preserve">; </w:t>
      </w:r>
    </w:p>
    <w:p w14:paraId="5DBDDBD5" w14:textId="77777777" w:rsidR="00377543" w:rsidRPr="008146B5" w:rsidRDefault="007148F2" w:rsidP="0045435E">
      <w:pPr>
        <w:numPr>
          <w:ilvl w:val="2"/>
          <w:numId w:val="10"/>
        </w:numPr>
        <w:ind w:left="709" w:hanging="290"/>
        <w:jc w:val="both"/>
        <w:rPr>
          <w:rFonts w:asciiTheme="minorHAnsi" w:hAnsiTheme="minorHAnsi" w:cstheme="minorHAnsi"/>
          <w:sz w:val="20"/>
          <w:szCs w:val="20"/>
        </w:rPr>
      </w:pPr>
      <w:r w:rsidRPr="008146B5">
        <w:rPr>
          <w:rFonts w:asciiTheme="minorHAnsi" w:hAnsiTheme="minorHAnsi" w:cstheme="minorHAnsi"/>
          <w:sz w:val="20"/>
          <w:lang w:val="uk-UA" w:bidi="uk-UA"/>
        </w:rPr>
        <w:t>основу клопотання або заяви;</w:t>
      </w:r>
    </w:p>
    <w:p w14:paraId="57A774BC" w14:textId="77777777" w:rsidR="00377543" w:rsidRPr="008146B5" w:rsidRDefault="007148F2" w:rsidP="0045435E">
      <w:pPr>
        <w:numPr>
          <w:ilvl w:val="2"/>
          <w:numId w:val="10"/>
        </w:numPr>
        <w:ind w:left="709" w:hanging="290"/>
        <w:jc w:val="both"/>
        <w:rPr>
          <w:rFonts w:asciiTheme="minorHAnsi" w:hAnsiTheme="minorHAnsi" w:cstheme="minorHAnsi"/>
          <w:sz w:val="20"/>
          <w:szCs w:val="20"/>
        </w:rPr>
      </w:pPr>
      <w:r w:rsidRPr="008146B5">
        <w:rPr>
          <w:rFonts w:asciiTheme="minorHAnsi" w:hAnsiTheme="minorHAnsi" w:cstheme="minorHAnsi"/>
          <w:sz w:val="20"/>
          <w:lang w:val="uk-UA" w:bidi="uk-UA"/>
        </w:rPr>
        <w:t xml:space="preserve">у разі, якщо це необхідно для вирішення справи - зазначення фактів, на яких відповідач ґрунтує своє клопотання або заяву, а також зазначення доказів для підтвердження кожного з цих фактів; </w:t>
      </w:r>
    </w:p>
    <w:p w14:paraId="4E3641E3" w14:textId="77777777" w:rsidR="00377543" w:rsidRPr="008146B5" w:rsidRDefault="007148F2" w:rsidP="0045435E">
      <w:pPr>
        <w:numPr>
          <w:ilvl w:val="2"/>
          <w:numId w:val="10"/>
        </w:numPr>
        <w:ind w:left="709"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підпис відповідача або його законного представника чи повноважного представника; </w:t>
      </w:r>
    </w:p>
    <w:p w14:paraId="128A8965" w14:textId="77777777" w:rsidR="00377543" w:rsidRPr="008146B5" w:rsidRDefault="00377543" w:rsidP="0045435E">
      <w:pPr>
        <w:numPr>
          <w:ilvl w:val="2"/>
          <w:numId w:val="10"/>
        </w:numPr>
        <w:ind w:left="709" w:hanging="290"/>
        <w:jc w:val="both"/>
        <w:rPr>
          <w:rFonts w:asciiTheme="minorHAnsi" w:hAnsiTheme="minorHAnsi" w:cstheme="minorHAnsi"/>
          <w:sz w:val="20"/>
          <w:szCs w:val="20"/>
        </w:rPr>
      </w:pPr>
      <w:r w:rsidRPr="008146B5">
        <w:rPr>
          <w:rFonts w:asciiTheme="minorHAnsi" w:hAnsiTheme="minorHAnsi" w:cstheme="minorHAnsi"/>
          <w:sz w:val="20"/>
          <w:lang w:val="uk-UA" w:bidi="uk-UA"/>
        </w:rPr>
        <w:t xml:space="preserve">перелік додатків; </w:t>
      </w:r>
    </w:p>
    <w:p w14:paraId="67C598B1" w14:textId="77777777" w:rsidR="008B7222" w:rsidRPr="008146B5" w:rsidRDefault="007148F2" w:rsidP="0045435E">
      <w:pPr>
        <w:spacing w:before="120"/>
        <w:ind w:left="425" w:firstLine="1"/>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До відповіді на позов відповідач повинен додати: </w:t>
      </w:r>
    </w:p>
    <w:p w14:paraId="227FB690" w14:textId="77777777" w:rsidR="008B7222" w:rsidRPr="008146B5" w:rsidRDefault="007148F2" w:rsidP="0045435E">
      <w:pPr>
        <w:numPr>
          <w:ilvl w:val="2"/>
          <w:numId w:val="12"/>
        </w:numPr>
        <w:ind w:left="709"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додатки, перелічені у відповіді на позов (ст. 126 § 1</w:t>
      </w:r>
      <w:r w:rsidRPr="008146B5">
        <w:rPr>
          <w:rFonts w:asciiTheme="minorHAnsi" w:hAnsiTheme="minorHAnsi" w:cstheme="minorHAnsi"/>
          <w:sz w:val="20"/>
          <w:vertAlign w:val="superscript"/>
          <w:lang w:val="uk-UA" w:bidi="uk-UA"/>
        </w:rPr>
        <w:t>1</w:t>
      </w:r>
      <w:r w:rsidRPr="008146B5">
        <w:rPr>
          <w:rFonts w:asciiTheme="minorHAnsi" w:hAnsiTheme="minorHAnsi" w:cstheme="minorHAnsi"/>
          <w:sz w:val="20"/>
          <w:lang w:val="uk-UA" w:bidi="uk-UA"/>
        </w:rPr>
        <w:t xml:space="preserve"> ЦПК); </w:t>
      </w:r>
    </w:p>
    <w:p w14:paraId="188B7A3F" w14:textId="77777777" w:rsidR="003A5BBF" w:rsidRPr="008146B5" w:rsidRDefault="007148F2" w:rsidP="0045435E">
      <w:pPr>
        <w:numPr>
          <w:ilvl w:val="2"/>
          <w:numId w:val="12"/>
        </w:numPr>
        <w:ind w:left="709"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копію відповіді на позов та копії додатків для вручення їх особам, які беруть участь у справі, а також, якщо до суду не подано оригінали додатків, по одній копії кожного додатка до судової справи (ст. 128 § 1 ЦПК). </w:t>
      </w:r>
    </w:p>
    <w:p w14:paraId="39DD84C0" w14:textId="77777777" w:rsidR="00B64AA3" w:rsidRPr="008146B5" w:rsidRDefault="00B64AA3" w:rsidP="0045435E">
      <w:pPr>
        <w:pStyle w:val="zartzmartartykuempunktem"/>
        <w:numPr>
          <w:ilvl w:val="0"/>
          <w:numId w:val="2"/>
        </w:numPr>
        <w:spacing w:before="120" w:beforeAutospacing="0" w:after="0" w:afterAutospacing="0"/>
        <w:ind w:left="426" w:hanging="290"/>
        <w:jc w:val="both"/>
        <w:rPr>
          <w:rFonts w:asciiTheme="minorHAnsi" w:hAnsiTheme="minorHAnsi" w:cstheme="minorHAnsi"/>
          <w:color w:val="000000"/>
          <w:sz w:val="20"/>
          <w:szCs w:val="20"/>
          <w:lang w:val="ru-RU"/>
        </w:rPr>
      </w:pPr>
      <w:r w:rsidRPr="008146B5">
        <w:rPr>
          <w:rFonts w:asciiTheme="minorHAnsi" w:hAnsiTheme="minorHAnsi" w:cstheme="minorHAnsi"/>
          <w:b/>
          <w:sz w:val="20"/>
          <w:lang w:val="uk-UA" w:bidi="uk-UA"/>
        </w:rPr>
        <w:t>Якщо відповідач у визначений строк не подав відповідь на позов</w:t>
      </w:r>
      <w:r w:rsidRPr="008146B5">
        <w:rPr>
          <w:rFonts w:asciiTheme="minorHAnsi" w:hAnsiTheme="minorHAnsi" w:cstheme="minorHAnsi"/>
          <w:sz w:val="20"/>
          <w:lang w:val="uk-UA" w:bidi="uk-UA"/>
        </w:rPr>
        <w:t xml:space="preserve"> або подав відповідь на позов, яка має недоліки, які відповідач не усунув незважаючи на заклик, суд може винести </w:t>
      </w:r>
      <w:r w:rsidRPr="008146B5">
        <w:rPr>
          <w:rFonts w:asciiTheme="minorHAnsi" w:hAnsiTheme="minorHAnsi" w:cstheme="minorHAnsi"/>
          <w:b/>
          <w:sz w:val="20"/>
          <w:lang w:val="uk-UA" w:bidi="uk-UA"/>
        </w:rPr>
        <w:t>заочне рішення</w:t>
      </w:r>
      <w:r w:rsidRPr="008146B5">
        <w:rPr>
          <w:rFonts w:asciiTheme="minorHAnsi" w:hAnsiTheme="minorHAnsi" w:cstheme="minorHAnsi"/>
          <w:sz w:val="22"/>
          <w:lang w:val="uk-UA" w:bidi="uk-UA"/>
        </w:rPr>
        <w:t xml:space="preserve"> </w:t>
      </w:r>
      <w:r w:rsidRPr="008146B5">
        <w:rPr>
          <w:rFonts w:asciiTheme="minorHAnsi" w:hAnsiTheme="minorHAnsi" w:cstheme="minorHAnsi"/>
          <w:sz w:val="20"/>
          <w:lang w:val="uk-UA" w:bidi="uk-UA"/>
        </w:rPr>
        <w:t>на закритому засіданні. Заочне рішення може бути також винесено на судовому засіданні, якщо, незважаючи на неподання відповіді на позов, у справі було призначено судове засідання, а відповідач не з’явився на це засідання або, незважаючи на явку, не бере в ньому участі (ст. 339 § 1 ЦПК та ст. 340 § 1 ЦПК).</w:t>
      </w:r>
    </w:p>
    <w:p w14:paraId="023A86A1" w14:textId="77777777" w:rsidR="00B64AA3" w:rsidRPr="008146B5" w:rsidRDefault="00B64AA3" w:rsidP="0045435E">
      <w:pPr>
        <w:pStyle w:val="zartzmartartykuempunktem"/>
        <w:spacing w:before="120" w:beforeAutospacing="0" w:after="0" w:afterAutospacing="0"/>
        <w:ind w:left="425" w:firstLine="1"/>
        <w:jc w:val="both"/>
        <w:rPr>
          <w:rFonts w:asciiTheme="minorHAnsi" w:hAnsiTheme="minorHAnsi" w:cstheme="minorHAnsi"/>
          <w:color w:val="000000"/>
          <w:sz w:val="20"/>
          <w:szCs w:val="20"/>
          <w:lang w:val="ru-RU"/>
        </w:rPr>
      </w:pPr>
      <w:r w:rsidRPr="008146B5">
        <w:rPr>
          <w:rFonts w:asciiTheme="minorHAnsi" w:hAnsiTheme="minorHAnsi" w:cstheme="minorHAnsi"/>
          <w:sz w:val="20"/>
          <w:lang w:val="uk-UA" w:bidi="uk-UA"/>
        </w:rPr>
        <w:t>У вищезазначених випадках твердження позивача щодо фактів, що містяться в позові або процесуальних документах, вручених відповідачу до засідання, вважаються правдивими, якщо вони не викликають обґрунтованих сумнівів або не були наведені з метою обходу закону (ст. 339 § 2 ЦПК).</w:t>
      </w:r>
    </w:p>
    <w:p w14:paraId="1A4B8FE7" w14:textId="15234DC9" w:rsidR="00C104CB" w:rsidRPr="008146B5" w:rsidRDefault="00B64AA3" w:rsidP="0045435E">
      <w:pPr>
        <w:pStyle w:val="zartzmartartykuempunktem"/>
        <w:spacing w:before="120" w:beforeAutospacing="0" w:after="0" w:afterAutospacing="0"/>
        <w:ind w:left="425" w:firstLine="1"/>
        <w:jc w:val="both"/>
        <w:rPr>
          <w:rFonts w:asciiTheme="minorHAnsi" w:hAnsiTheme="minorHAnsi" w:cstheme="minorHAnsi"/>
          <w:color w:val="000000"/>
          <w:sz w:val="20"/>
          <w:szCs w:val="20"/>
          <w:lang w:val="ru-RU"/>
        </w:rPr>
      </w:pPr>
      <w:r w:rsidRPr="008146B5">
        <w:rPr>
          <w:rFonts w:asciiTheme="minorHAnsi" w:hAnsiTheme="minorHAnsi" w:cstheme="minorHAnsi"/>
          <w:sz w:val="20"/>
          <w:lang w:val="uk-UA" w:bidi="uk-UA"/>
        </w:rPr>
        <w:t xml:space="preserve">Заочному рішенню - у разі задоволення позову та якщо рішення підлягає виконанню - за службовим обов’язком надається </w:t>
      </w:r>
      <w:r w:rsidRPr="008146B5">
        <w:rPr>
          <w:rFonts w:asciiTheme="minorHAnsi" w:hAnsiTheme="minorHAnsi" w:cstheme="minorHAnsi"/>
          <w:b/>
          <w:sz w:val="20"/>
          <w:lang w:val="uk-UA" w:bidi="uk-UA"/>
        </w:rPr>
        <w:t xml:space="preserve">сила </w:t>
      </w:r>
      <w:r w:rsidR="008146B5" w:rsidRPr="008146B5">
        <w:rPr>
          <w:rFonts w:asciiTheme="minorHAnsi" w:hAnsiTheme="minorHAnsi" w:cstheme="minorHAnsi"/>
          <w:b/>
          <w:sz w:val="20"/>
          <w:lang w:val="uk-UA" w:bidi="uk-UA"/>
        </w:rPr>
        <w:t xml:space="preserve">негайного виконання </w:t>
      </w:r>
      <w:r w:rsidRPr="008146B5">
        <w:rPr>
          <w:rFonts w:asciiTheme="minorHAnsi" w:hAnsiTheme="minorHAnsi" w:cstheme="minorHAnsi"/>
          <w:sz w:val="20"/>
          <w:lang w:val="uk-UA" w:bidi="uk-UA"/>
        </w:rPr>
        <w:t xml:space="preserve">(ст. 333 § 1 п. 3 ЦПК). Після надання виконавчої сили за заявою позивача, це рішення є підставою для порушення виконавчого провадження. </w:t>
      </w:r>
    </w:p>
    <w:p w14:paraId="5FDC5A59" w14:textId="77777777" w:rsidR="00106297" w:rsidRPr="008146B5" w:rsidRDefault="00AF3BA2" w:rsidP="00106297">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290"/>
        <w:jc w:val="both"/>
        <w:rPr>
          <w:rFonts w:asciiTheme="minorHAnsi" w:hAnsiTheme="minorHAnsi" w:cstheme="minorHAnsi"/>
          <w:sz w:val="20"/>
          <w:szCs w:val="20"/>
          <w:lang w:val="uk-UA"/>
        </w:rPr>
      </w:pPr>
      <w:r w:rsidRPr="008146B5">
        <w:rPr>
          <w:rFonts w:asciiTheme="minorHAnsi" w:hAnsiTheme="minorHAnsi" w:cstheme="minorHAnsi"/>
          <w:sz w:val="20"/>
          <w:lang w:val="uk-UA" w:bidi="uk-UA"/>
        </w:rPr>
        <w:t xml:space="preserve">У справі, що розглядається за правилами господарського судочинства, позивач зобов’язаний навести </w:t>
      </w:r>
      <w:r w:rsidRPr="008146B5">
        <w:rPr>
          <w:rFonts w:asciiTheme="minorHAnsi" w:hAnsiTheme="minorHAnsi" w:cstheme="minorHAnsi"/>
          <w:b/>
          <w:sz w:val="20"/>
          <w:lang w:val="uk-UA" w:bidi="uk-UA"/>
        </w:rPr>
        <w:t>всі твердження та докази</w:t>
      </w:r>
      <w:r w:rsidRPr="008146B5">
        <w:rPr>
          <w:rFonts w:asciiTheme="minorHAnsi" w:hAnsiTheme="minorHAnsi" w:cstheme="minorHAnsi"/>
          <w:sz w:val="20"/>
          <w:lang w:val="uk-UA" w:bidi="uk-UA"/>
        </w:rPr>
        <w:t xml:space="preserve"> у позові, а відповідач - у відповіді на позов (ст. 458</w:t>
      </w:r>
      <w:r w:rsidRPr="008146B5">
        <w:rPr>
          <w:rFonts w:asciiTheme="minorHAnsi" w:hAnsiTheme="minorHAnsi" w:cstheme="minorHAnsi"/>
          <w:sz w:val="20"/>
          <w:vertAlign w:val="superscript"/>
          <w:lang w:val="uk-UA" w:bidi="uk-UA"/>
        </w:rPr>
        <w:t>5</w:t>
      </w:r>
      <w:r w:rsidRPr="008146B5">
        <w:rPr>
          <w:rFonts w:asciiTheme="minorHAnsi" w:hAnsiTheme="minorHAnsi" w:cstheme="minorHAnsi"/>
          <w:sz w:val="20"/>
          <w:lang w:val="uk-UA" w:bidi="uk-UA"/>
        </w:rPr>
        <w:t xml:space="preserve"> § 1 ЦПК) або в іншому першому процесуальному документі відповідача (заперечення проти наказу про стягнення у наказному провадженні, заперечення проти наказу про стягнення у попереджувальному провадженні, заперечення проти заочного рішення). </w:t>
      </w:r>
      <w:r w:rsidRPr="008146B5">
        <w:rPr>
          <w:rFonts w:asciiTheme="minorHAnsi" w:hAnsiTheme="minorHAnsi" w:cstheme="minorHAnsi"/>
          <w:b/>
          <w:sz w:val="20"/>
          <w:lang w:val="uk-UA" w:bidi="uk-UA"/>
        </w:rPr>
        <w:t>Твердження та докази, наведені з порушенням ст. 458</w:t>
      </w:r>
      <w:r w:rsidRPr="008146B5">
        <w:rPr>
          <w:rFonts w:asciiTheme="minorHAnsi" w:hAnsiTheme="minorHAnsi" w:cstheme="minorHAnsi"/>
          <w:b/>
          <w:sz w:val="20"/>
          <w:vertAlign w:val="superscript"/>
          <w:lang w:val="uk-UA" w:bidi="uk-UA"/>
        </w:rPr>
        <w:t>5</w:t>
      </w:r>
      <w:r w:rsidRPr="008146B5">
        <w:rPr>
          <w:rFonts w:asciiTheme="minorHAnsi" w:hAnsiTheme="minorHAnsi" w:cstheme="minorHAnsi"/>
          <w:b/>
          <w:sz w:val="20"/>
          <w:lang w:val="uk-UA" w:bidi="uk-UA"/>
        </w:rPr>
        <w:t xml:space="preserve"> § 1, не враховуються</w:t>
      </w:r>
      <w:r w:rsidRPr="008146B5">
        <w:rPr>
          <w:rFonts w:asciiTheme="minorHAnsi" w:hAnsiTheme="minorHAnsi" w:cstheme="minorHAnsi"/>
          <w:sz w:val="20"/>
          <w:lang w:val="uk-UA" w:bidi="uk-UA"/>
        </w:rPr>
        <w:t>, якщо тільки сторона не доведе, що їх наведення було неможливим або що необхідність їх наведення виникла пізніше. У такому випадку подальші твердження та докази на їх підтвердження повинні бути подані протягом двох тижнів з дня, коли їх подання стало можливим або виникла необхідність їх подання (ст. 458</w:t>
      </w:r>
      <w:r w:rsidRPr="008146B5">
        <w:rPr>
          <w:rFonts w:asciiTheme="minorHAnsi" w:hAnsiTheme="minorHAnsi" w:cstheme="minorHAnsi"/>
          <w:sz w:val="20"/>
          <w:vertAlign w:val="superscript"/>
          <w:lang w:val="uk-UA" w:bidi="uk-UA"/>
        </w:rPr>
        <w:t>5</w:t>
      </w:r>
      <w:r w:rsidRPr="008146B5">
        <w:rPr>
          <w:rFonts w:asciiTheme="minorHAnsi" w:hAnsiTheme="minorHAnsi" w:cstheme="minorHAnsi"/>
          <w:sz w:val="20"/>
          <w:lang w:val="uk-UA" w:bidi="uk-UA"/>
        </w:rPr>
        <w:t xml:space="preserve"> § 4 ЦПК).</w:t>
      </w:r>
    </w:p>
    <w:p w14:paraId="2382F97A" w14:textId="77777777" w:rsidR="00106297" w:rsidRPr="008146B5" w:rsidRDefault="00106297" w:rsidP="00106297">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Спір між позивачем та відповідачем може бути </w:t>
      </w:r>
      <w:r w:rsidRPr="008146B5">
        <w:rPr>
          <w:rFonts w:asciiTheme="minorHAnsi" w:hAnsiTheme="minorHAnsi" w:cstheme="minorHAnsi"/>
          <w:b/>
          <w:sz w:val="20"/>
          <w:lang w:val="uk-UA" w:bidi="uk-UA"/>
        </w:rPr>
        <w:t>вирішений шляхом укладення мирової угоди</w:t>
      </w:r>
      <w:r w:rsidRPr="008146B5">
        <w:rPr>
          <w:rFonts w:asciiTheme="minorHAnsi" w:hAnsiTheme="minorHAnsi" w:cstheme="minorHAnsi"/>
          <w:sz w:val="20"/>
          <w:lang w:val="uk-UA" w:bidi="uk-UA"/>
        </w:rPr>
        <w:t xml:space="preserve">. Угода може бути </w:t>
      </w:r>
      <w:r w:rsidRPr="008146B5">
        <w:rPr>
          <w:rFonts w:asciiTheme="minorHAnsi" w:hAnsiTheme="minorHAnsi" w:cstheme="minorHAnsi"/>
          <w:b/>
          <w:sz w:val="20"/>
          <w:lang w:val="uk-UA" w:bidi="uk-UA"/>
        </w:rPr>
        <w:t>укладена перед медіатором або в суді.</w:t>
      </w:r>
      <w:r w:rsidRPr="008146B5">
        <w:rPr>
          <w:rFonts w:asciiTheme="minorHAnsi" w:hAnsiTheme="minorHAnsi" w:cstheme="minorHAnsi"/>
          <w:sz w:val="20"/>
          <w:lang w:val="uk-UA" w:bidi="uk-UA"/>
        </w:rPr>
        <w:t xml:space="preserve"> У ході розгляду справи суд може направити сторони на медіацію на будь-якому етапі розгляду. Медіацію проводить медіатор, використовуючи різні методи, спрямовані на мирне вирішення спору, у тому числі шляхом надання сторонам підтримки у </w:t>
      </w:r>
      <w:r w:rsidRPr="008146B5">
        <w:rPr>
          <w:rFonts w:asciiTheme="minorHAnsi" w:hAnsiTheme="minorHAnsi" w:cstheme="minorHAnsi"/>
          <w:sz w:val="20"/>
          <w:lang w:val="uk-UA" w:bidi="uk-UA"/>
        </w:rPr>
        <w:lastRenderedPageBreak/>
        <w:t xml:space="preserve">формулюванні ними пропозицій щодо угоди, або за спільним клопотанням сторін може вказати способи вирішення спору, які не є для сторін обов’язковими. Медіатор, сторони та інші особи, які беруть участь у медіаційному провадженні, зобов’язані зберігати в таємниці факти, про які вони дізналися у зв’язку з проведенням медіації. Сторони можуть звільнити медіатора та інших осіб, які беруть участь у медіаційному провадженні, від цього обов’язку. Угода, укладена перед медіатором, після її затвердження судом має юридичну силу угоди, укладеної в суді. </w:t>
      </w:r>
      <w:r w:rsidRPr="008146B5">
        <w:rPr>
          <w:rFonts w:asciiTheme="minorHAnsi" w:hAnsiTheme="minorHAnsi" w:cstheme="minorHAnsi"/>
          <w:b/>
          <w:sz w:val="20"/>
          <w:lang w:val="uk-UA" w:bidi="uk-UA"/>
        </w:rPr>
        <w:t>Мирова угода, укладена за участю медіатора та затверджена шляхом надання їй виконавчої сили, є виконавчим документом</w:t>
      </w:r>
      <w:r w:rsidRPr="008146B5">
        <w:rPr>
          <w:rFonts w:asciiTheme="minorHAnsi" w:hAnsiTheme="minorHAnsi" w:cstheme="minorHAnsi"/>
          <w:sz w:val="20"/>
          <w:lang w:val="uk-UA" w:bidi="uk-UA"/>
        </w:rPr>
        <w:t>. У разі укладення судової угоди судові витрати, пов’язані з її укладенням, скасовуються взаємно, якщо сторони не домовилися про інше. У разі укладення такої угоди суд повертає позивачеві половину судового збору. У разі укладення угоди, в тому числі перед медіатором, до початку розгляду справи в суді першої інстанції суд повертає позивачеві весь судовий збір, а у разі укладення угоди перед медіатором після початку розгляду справи суд повертає три чверті судового збору, сплаченого за позовну заяву або за заперечення проти платіжного наказу (ст. 205</w:t>
      </w:r>
      <w:r w:rsidRPr="008146B5">
        <w:rPr>
          <w:rFonts w:asciiTheme="minorHAnsi" w:hAnsiTheme="minorHAnsi" w:cstheme="minorHAnsi"/>
          <w:sz w:val="20"/>
          <w:vertAlign w:val="superscript"/>
          <w:lang w:val="uk-UA" w:bidi="uk-UA"/>
        </w:rPr>
        <w:t>2</w:t>
      </w:r>
      <w:r w:rsidRPr="008146B5">
        <w:rPr>
          <w:rFonts w:asciiTheme="minorHAnsi" w:hAnsiTheme="minorHAnsi" w:cstheme="minorHAnsi"/>
          <w:sz w:val="20"/>
          <w:lang w:val="uk-UA" w:bidi="uk-UA"/>
        </w:rPr>
        <w:t xml:space="preserve"> § 1 п. 1 ЦПК). </w:t>
      </w:r>
    </w:p>
    <w:p w14:paraId="72A97B6F" w14:textId="77777777" w:rsidR="00106297" w:rsidRPr="008146B5" w:rsidRDefault="00106297" w:rsidP="00106297">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290"/>
        <w:jc w:val="both"/>
        <w:rPr>
          <w:rFonts w:asciiTheme="minorHAnsi" w:hAnsiTheme="minorHAnsi" w:cstheme="minorHAnsi"/>
          <w:sz w:val="20"/>
          <w:szCs w:val="20"/>
        </w:rPr>
      </w:pPr>
      <w:r w:rsidRPr="008146B5">
        <w:rPr>
          <w:rFonts w:asciiTheme="minorHAnsi" w:hAnsiTheme="minorHAnsi" w:cstheme="minorHAnsi"/>
          <w:sz w:val="20"/>
          <w:lang w:val="uk-UA" w:bidi="uk-UA"/>
        </w:rPr>
        <w:t xml:space="preserve">У </w:t>
      </w:r>
      <w:r w:rsidRPr="008146B5">
        <w:rPr>
          <w:rFonts w:asciiTheme="minorHAnsi" w:hAnsiTheme="minorHAnsi" w:cstheme="minorHAnsi"/>
          <w:b/>
          <w:sz w:val="20"/>
          <w:lang w:val="uk-UA" w:bidi="uk-UA"/>
        </w:rPr>
        <w:t>справах за договорами про будівельні роботи</w:t>
      </w:r>
      <w:r w:rsidRPr="008146B5">
        <w:rPr>
          <w:rFonts w:asciiTheme="minorHAnsi" w:hAnsiTheme="minorHAnsi" w:cstheme="minorHAnsi"/>
          <w:sz w:val="20"/>
          <w:lang w:val="uk-UA" w:bidi="uk-UA"/>
        </w:rPr>
        <w:t xml:space="preserve"> та у справах, тісно пов’язаних із будівельним процесом </w:t>
      </w:r>
      <w:r w:rsidRPr="008146B5">
        <w:rPr>
          <w:rFonts w:asciiTheme="minorHAnsi" w:hAnsiTheme="minorHAnsi" w:cstheme="minorHAnsi"/>
          <w:lang w:val="uk-UA" w:bidi="uk-UA"/>
        </w:rPr>
        <w:t xml:space="preserve"> </w:t>
      </w:r>
      <w:r w:rsidRPr="008146B5">
        <w:rPr>
          <w:rFonts w:asciiTheme="minorHAnsi" w:hAnsiTheme="minorHAnsi" w:cstheme="minorHAnsi"/>
          <w:b/>
          <w:sz w:val="20"/>
          <w:lang w:val="uk-UA" w:bidi="uk-UA"/>
        </w:rPr>
        <w:t>договорів, що служать виконанню будівельних робіт,</w:t>
      </w:r>
      <w:r w:rsidRPr="008146B5">
        <w:rPr>
          <w:rFonts w:asciiTheme="minorHAnsi" w:hAnsiTheme="minorHAnsi" w:cstheme="minorHAnsi"/>
          <w:lang w:val="uk-UA" w:bidi="uk-UA"/>
        </w:rPr>
        <w:t xml:space="preserve"> </w:t>
      </w:r>
      <w:r w:rsidRPr="008146B5">
        <w:rPr>
          <w:rFonts w:asciiTheme="minorHAnsi" w:hAnsiTheme="minorHAnsi" w:cstheme="minorHAnsi"/>
          <w:sz w:val="20"/>
          <w:lang w:val="uk-UA" w:bidi="uk-UA"/>
        </w:rPr>
        <w:t xml:space="preserve">суд перед підготовчим засіданням або першим засіданням, призначеним для розгляду справи, </w:t>
      </w:r>
      <w:r w:rsidRPr="008146B5">
        <w:rPr>
          <w:rFonts w:asciiTheme="minorHAnsi" w:hAnsiTheme="minorHAnsi" w:cstheme="minorHAnsi"/>
          <w:b/>
          <w:sz w:val="20"/>
          <w:lang w:val="uk-UA" w:bidi="uk-UA"/>
        </w:rPr>
        <w:t>направляє сторони на медіацію</w:t>
      </w:r>
      <w:r w:rsidR="005820C2" w:rsidRPr="008146B5">
        <w:rPr>
          <w:rFonts w:asciiTheme="minorHAnsi" w:hAnsiTheme="minorHAnsi" w:cstheme="minorHAnsi"/>
          <w:sz w:val="20"/>
          <w:lang w:val="uk-UA" w:bidi="uk-UA"/>
        </w:rPr>
        <w:t xml:space="preserve"> (ст.  458</w:t>
      </w:r>
      <w:r w:rsidR="005820C2" w:rsidRPr="008146B5">
        <w:rPr>
          <w:rFonts w:asciiTheme="minorHAnsi" w:hAnsiTheme="minorHAnsi" w:cstheme="minorHAnsi"/>
          <w:sz w:val="20"/>
          <w:vertAlign w:val="superscript"/>
          <w:lang w:val="uk-UA" w:bidi="uk-UA"/>
        </w:rPr>
        <w:t>3а</w:t>
      </w:r>
      <w:r w:rsidR="005820C2" w:rsidRPr="008146B5">
        <w:rPr>
          <w:rFonts w:asciiTheme="minorHAnsi" w:hAnsiTheme="minorHAnsi" w:cstheme="minorHAnsi"/>
          <w:sz w:val="20"/>
          <w:lang w:val="uk-UA" w:bidi="uk-UA"/>
        </w:rPr>
        <w:t xml:space="preserve"> ЦПК).</w:t>
      </w:r>
    </w:p>
    <w:p w14:paraId="6AF1416A" w14:textId="77777777" w:rsidR="00F73F99" w:rsidRPr="008146B5" w:rsidRDefault="00F73F99" w:rsidP="0045435E">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За клопотанням сторони, яка не є підприємцем або є підприємцем-фізичною особою, суд </w:t>
      </w:r>
      <w:r w:rsidRPr="008146B5">
        <w:rPr>
          <w:rFonts w:asciiTheme="minorHAnsi" w:hAnsiTheme="minorHAnsi" w:cstheme="minorHAnsi"/>
          <w:b/>
          <w:sz w:val="20"/>
          <w:lang w:val="uk-UA" w:bidi="uk-UA"/>
        </w:rPr>
        <w:t xml:space="preserve">розглядає справу без застосування положень про провадження у господарських справах </w:t>
      </w:r>
      <w:r w:rsidRPr="008146B5">
        <w:rPr>
          <w:rFonts w:asciiTheme="minorHAnsi" w:hAnsiTheme="minorHAnsi" w:cstheme="minorHAnsi"/>
          <w:sz w:val="20"/>
          <w:lang w:val="uk-UA" w:bidi="uk-UA"/>
        </w:rPr>
        <w:t>(ст. 458</w:t>
      </w:r>
      <w:r w:rsidRPr="008146B5">
        <w:rPr>
          <w:rFonts w:asciiTheme="minorHAnsi" w:hAnsiTheme="minorHAnsi" w:cstheme="minorHAnsi"/>
          <w:sz w:val="20"/>
          <w:vertAlign w:val="superscript"/>
          <w:lang w:val="uk-UA" w:bidi="uk-UA"/>
        </w:rPr>
        <w:t>6</w:t>
      </w:r>
      <w:r w:rsidRPr="008146B5">
        <w:rPr>
          <w:rFonts w:asciiTheme="minorHAnsi" w:hAnsiTheme="minorHAnsi" w:cstheme="minorHAnsi"/>
          <w:sz w:val="20"/>
          <w:lang w:val="uk-UA" w:bidi="uk-UA"/>
        </w:rPr>
        <w:t xml:space="preserve"> ЦПК). Таку заяву сторона може подати </w:t>
      </w:r>
      <w:r w:rsidRPr="008146B5">
        <w:rPr>
          <w:rFonts w:asciiTheme="minorHAnsi" w:hAnsiTheme="minorHAnsi" w:cstheme="minorHAnsi"/>
          <w:b/>
          <w:sz w:val="20"/>
          <w:lang w:val="uk-UA" w:bidi="uk-UA"/>
        </w:rPr>
        <w:t>протягом тижня з дня вручення</w:t>
      </w:r>
      <w:r w:rsidRPr="008146B5">
        <w:rPr>
          <w:rFonts w:asciiTheme="minorHAnsi" w:hAnsiTheme="minorHAnsi" w:cstheme="minorHAnsi"/>
          <w:sz w:val="20"/>
          <w:lang w:val="uk-UA" w:bidi="uk-UA"/>
        </w:rPr>
        <w:t xml:space="preserve"> їй цієї пам’ятки (ст. 458</w:t>
      </w:r>
      <w:r w:rsidRPr="008146B5">
        <w:rPr>
          <w:rFonts w:asciiTheme="minorHAnsi" w:hAnsiTheme="minorHAnsi" w:cstheme="minorHAnsi"/>
          <w:sz w:val="20"/>
          <w:vertAlign w:val="superscript"/>
          <w:lang w:val="uk-UA" w:bidi="uk-UA"/>
        </w:rPr>
        <w:t>6</w:t>
      </w:r>
      <w:r w:rsidRPr="008146B5">
        <w:rPr>
          <w:rFonts w:asciiTheme="minorHAnsi" w:hAnsiTheme="minorHAnsi" w:cstheme="minorHAnsi"/>
          <w:sz w:val="20"/>
          <w:lang w:val="uk-UA" w:bidi="uk-UA"/>
        </w:rPr>
        <w:t xml:space="preserve"> ЦПК).</w:t>
      </w:r>
    </w:p>
    <w:p w14:paraId="44677585" w14:textId="77777777" w:rsidR="00F73F99" w:rsidRPr="008146B5" w:rsidRDefault="00F73F99" w:rsidP="0045435E">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356"/>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У господарському судочинстві суд може допустити </w:t>
      </w:r>
      <w:r w:rsidRPr="008146B5">
        <w:rPr>
          <w:rFonts w:asciiTheme="minorHAnsi" w:hAnsiTheme="minorHAnsi" w:cstheme="minorHAnsi"/>
          <w:b/>
          <w:sz w:val="20"/>
          <w:lang w:val="uk-UA" w:bidi="uk-UA"/>
        </w:rPr>
        <w:t>докази у вигляді показань свідків</w:t>
      </w:r>
      <w:r w:rsidRPr="008146B5">
        <w:rPr>
          <w:rFonts w:asciiTheme="minorHAnsi" w:hAnsiTheme="minorHAnsi" w:cstheme="minorHAnsi"/>
          <w:sz w:val="20"/>
          <w:lang w:val="uk-UA" w:bidi="uk-UA"/>
        </w:rPr>
        <w:t xml:space="preserve"> лише тоді, коли після вичерпання інших засобів доказування або за їх відсутності залишилися нез’ясованими факти, що мають істотне значення для вирішення справи (ст. 458</w:t>
      </w:r>
      <w:r w:rsidRPr="008146B5">
        <w:rPr>
          <w:rFonts w:asciiTheme="minorHAnsi" w:hAnsiTheme="minorHAnsi" w:cstheme="minorHAnsi"/>
          <w:sz w:val="20"/>
          <w:vertAlign w:val="superscript"/>
          <w:lang w:val="uk-UA" w:bidi="uk-UA"/>
        </w:rPr>
        <w:t>10</w:t>
      </w:r>
      <w:r w:rsidRPr="008146B5">
        <w:rPr>
          <w:rFonts w:asciiTheme="minorHAnsi" w:hAnsiTheme="minorHAnsi" w:cstheme="minorHAnsi"/>
          <w:sz w:val="20"/>
          <w:lang w:val="uk-UA" w:bidi="uk-UA"/>
        </w:rPr>
        <w:t xml:space="preserve"> ЦПК).</w:t>
      </w:r>
    </w:p>
    <w:p w14:paraId="50144C74" w14:textId="77777777" w:rsidR="00BF2C53" w:rsidRPr="008146B5" w:rsidRDefault="00F73F99" w:rsidP="0045435E">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283"/>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У господарському судочинстві </w:t>
      </w:r>
      <w:r w:rsidRPr="008146B5">
        <w:rPr>
          <w:rFonts w:asciiTheme="minorHAnsi" w:hAnsiTheme="minorHAnsi" w:cstheme="minorHAnsi"/>
          <w:b/>
          <w:sz w:val="20"/>
          <w:lang w:val="uk-UA" w:bidi="uk-UA"/>
        </w:rPr>
        <w:t>дія сторони, зокрема волевиявлення або знання, з якими право пов’язує набуття, втрату або зміну права сторони в межах певних правових відносин</w:t>
      </w:r>
      <w:r w:rsidRPr="008146B5">
        <w:rPr>
          <w:rFonts w:asciiTheme="minorHAnsi" w:hAnsiTheme="minorHAnsi" w:cstheme="minorHAnsi"/>
          <w:sz w:val="20"/>
          <w:lang w:val="uk-UA" w:bidi="uk-UA"/>
        </w:rPr>
        <w:t xml:space="preserve">, може бути доведена лише документом, про який йдеться у ст. 77 </w:t>
      </w:r>
      <w:r w:rsidRPr="008146B5">
        <w:rPr>
          <w:rStyle w:val="igindeksgrny"/>
          <w:rFonts w:asciiTheme="minorHAnsi" w:hAnsiTheme="minorHAnsi" w:cstheme="minorHAnsi"/>
          <w:sz w:val="20"/>
          <w:vertAlign w:val="superscript"/>
          <w:lang w:val="uk-UA" w:bidi="uk-UA"/>
        </w:rPr>
        <w:t>3</w:t>
      </w:r>
      <w:r w:rsidRPr="008146B5">
        <w:rPr>
          <w:rFonts w:asciiTheme="minorHAnsi" w:hAnsiTheme="minorHAnsi" w:cstheme="minorHAnsi"/>
          <w:sz w:val="20"/>
          <w:lang w:val="uk-UA" w:bidi="uk-UA"/>
        </w:rPr>
        <w:t xml:space="preserve"> Цивільного кодексу, якщо тільки сторона не доведе, що не може надати документ з незалежних від неї причин (ст. 458</w:t>
      </w:r>
      <w:r w:rsidRPr="008146B5">
        <w:rPr>
          <w:rFonts w:asciiTheme="minorHAnsi" w:hAnsiTheme="minorHAnsi" w:cstheme="minorHAnsi"/>
          <w:sz w:val="20"/>
          <w:vertAlign w:val="superscript"/>
          <w:lang w:val="uk-UA" w:bidi="uk-UA"/>
        </w:rPr>
        <w:t>11</w:t>
      </w:r>
      <w:r w:rsidRPr="008146B5">
        <w:rPr>
          <w:rFonts w:asciiTheme="minorHAnsi" w:hAnsiTheme="minorHAnsi" w:cstheme="minorHAnsi"/>
          <w:sz w:val="20"/>
          <w:lang w:val="uk-UA" w:bidi="uk-UA"/>
        </w:rPr>
        <w:t xml:space="preserve"> ЦПК).</w:t>
      </w:r>
    </w:p>
    <w:p w14:paraId="35C5CF84" w14:textId="77777777" w:rsidR="00E72B88" w:rsidRPr="008146B5" w:rsidRDefault="00F60042" w:rsidP="0045435E">
      <w:pPr>
        <w:numPr>
          <w:ilvl w:val="0"/>
          <w:numId w:val="2"/>
        </w:numPr>
        <w:spacing w:before="120"/>
        <w:ind w:left="425"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Якщо позов стосується спору, що підпадає під </w:t>
      </w:r>
      <w:r w:rsidRPr="008146B5">
        <w:rPr>
          <w:rFonts w:asciiTheme="minorHAnsi" w:hAnsiTheme="minorHAnsi" w:cstheme="minorHAnsi"/>
          <w:b/>
          <w:sz w:val="20"/>
          <w:lang w:val="uk-UA" w:bidi="uk-UA"/>
        </w:rPr>
        <w:t>дію арбітражної угоди</w:t>
      </w:r>
      <w:r w:rsidRPr="008146B5">
        <w:rPr>
          <w:rFonts w:asciiTheme="minorHAnsi" w:hAnsiTheme="minorHAnsi" w:cstheme="minorHAnsi"/>
          <w:sz w:val="20"/>
          <w:lang w:val="uk-UA" w:bidi="uk-UA"/>
        </w:rPr>
        <w:t>, суд відхилить позов лише в тому випадку, якщо відповідач заявив заперечення щодо арбітражної угоди до розгляду суті справи (ст. 1165 § 1 ЦПК).</w:t>
      </w:r>
    </w:p>
    <w:p w14:paraId="00B6B879" w14:textId="77777777" w:rsidR="0044756F" w:rsidRPr="008146B5" w:rsidRDefault="00137B0D" w:rsidP="0045435E">
      <w:pPr>
        <w:widowControl w:val="0"/>
        <w:tabs>
          <w:tab w:val="left" w:pos="426"/>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5" w:firstLine="1"/>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У господарському судочинстві </w:t>
      </w:r>
      <w:r w:rsidRPr="008146B5">
        <w:rPr>
          <w:rFonts w:asciiTheme="minorHAnsi" w:hAnsiTheme="minorHAnsi" w:cstheme="minorHAnsi"/>
          <w:b/>
          <w:sz w:val="20"/>
          <w:lang w:val="uk-UA" w:bidi="uk-UA"/>
        </w:rPr>
        <w:t>зустрічний позов</w:t>
      </w:r>
      <w:r w:rsidRPr="008146B5">
        <w:rPr>
          <w:rFonts w:asciiTheme="minorHAnsi" w:hAnsiTheme="minorHAnsi" w:cstheme="minorHAnsi"/>
          <w:sz w:val="20"/>
          <w:lang w:val="uk-UA" w:bidi="uk-UA"/>
        </w:rPr>
        <w:t xml:space="preserve"> є неприпустимим (ст. 458</w:t>
      </w:r>
      <w:r w:rsidRPr="008146B5">
        <w:rPr>
          <w:rFonts w:asciiTheme="minorHAnsi" w:hAnsiTheme="minorHAnsi" w:cstheme="minorHAnsi"/>
          <w:sz w:val="20"/>
          <w:vertAlign w:val="superscript"/>
          <w:lang w:val="uk-UA" w:bidi="uk-UA"/>
        </w:rPr>
        <w:t>8</w:t>
      </w:r>
      <w:r w:rsidRPr="008146B5">
        <w:rPr>
          <w:rFonts w:asciiTheme="minorHAnsi" w:hAnsiTheme="minorHAnsi" w:cstheme="minorHAnsi"/>
          <w:sz w:val="20"/>
          <w:lang w:val="uk-UA" w:bidi="uk-UA"/>
        </w:rPr>
        <w:t xml:space="preserve"> § 3 ЦПК). </w:t>
      </w:r>
    </w:p>
    <w:p w14:paraId="7CCFB24D" w14:textId="77777777" w:rsidR="0044756F" w:rsidRPr="008146B5" w:rsidRDefault="0044756F" w:rsidP="0045435E">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284"/>
        <w:jc w:val="both"/>
        <w:rPr>
          <w:rFonts w:asciiTheme="minorHAnsi" w:hAnsiTheme="minorHAnsi" w:cstheme="minorHAnsi"/>
          <w:sz w:val="20"/>
          <w:szCs w:val="20"/>
          <w:lang w:val="ru-RU"/>
        </w:rPr>
      </w:pPr>
      <w:r w:rsidRPr="008146B5">
        <w:rPr>
          <w:rFonts w:asciiTheme="minorHAnsi" w:hAnsiTheme="minorHAnsi" w:cstheme="minorHAnsi"/>
          <w:sz w:val="20"/>
          <w:lang w:val="uk-UA" w:bidi="uk-UA"/>
        </w:rPr>
        <w:t>Сторони та учасники провадження зобов’язані здійснювати процесуальні дії відповідно до належної практики, надавати правдиво та без приховування пояснення щодо обставин справи, а також надавати докази (ст. 3 ЦПК).</w:t>
      </w:r>
    </w:p>
    <w:p w14:paraId="46F82497" w14:textId="77777777" w:rsidR="0044756F" w:rsidRPr="008146B5" w:rsidRDefault="0044756F" w:rsidP="0045435E">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Сторони та учасники провадження не мають права використовувати передбачені процесуальними нормами повноваження не відповідно до мети, для якої вони були встановлені (зловживання процесуальним правом) (ст. 4</w:t>
      </w:r>
      <w:r w:rsidRPr="008146B5">
        <w:rPr>
          <w:rStyle w:val="igindeksgrny"/>
          <w:rFonts w:asciiTheme="minorHAnsi" w:hAnsiTheme="minorHAnsi" w:cstheme="minorHAnsi"/>
          <w:sz w:val="20"/>
          <w:vertAlign w:val="superscript"/>
          <w:lang w:val="uk-UA" w:bidi="uk-UA"/>
        </w:rPr>
        <w:t>1</w:t>
      </w:r>
      <w:r w:rsidRPr="008146B5">
        <w:rPr>
          <w:rFonts w:asciiTheme="minorHAnsi" w:hAnsiTheme="minorHAnsi" w:cstheme="minorHAnsi"/>
          <w:sz w:val="20"/>
          <w:lang w:val="uk-UA" w:bidi="uk-UA"/>
        </w:rPr>
        <w:t xml:space="preserve"> ЦПК).</w:t>
      </w:r>
    </w:p>
    <w:p w14:paraId="38A09A89" w14:textId="77777777" w:rsidR="00AE7C70" w:rsidRPr="008146B5" w:rsidRDefault="00AE7C70" w:rsidP="0045435E">
      <w:pPr>
        <w:pStyle w:val="zartzmartartykuempunktem"/>
        <w:numPr>
          <w:ilvl w:val="0"/>
          <w:numId w:val="2"/>
        </w:numPr>
        <w:spacing w:before="120" w:beforeAutospacing="0" w:after="0" w:afterAutospacing="0"/>
        <w:ind w:left="426" w:hanging="284"/>
        <w:jc w:val="both"/>
        <w:rPr>
          <w:rFonts w:asciiTheme="minorHAnsi" w:hAnsiTheme="minorHAnsi" w:cstheme="minorHAnsi"/>
          <w:color w:val="000000"/>
          <w:sz w:val="20"/>
          <w:szCs w:val="20"/>
          <w:lang w:val="ru-RU"/>
        </w:rPr>
      </w:pPr>
      <w:r w:rsidRPr="008146B5">
        <w:rPr>
          <w:rFonts w:asciiTheme="minorHAnsi" w:hAnsiTheme="minorHAnsi" w:cstheme="minorHAnsi"/>
          <w:sz w:val="20"/>
          <w:lang w:val="uk-UA" w:bidi="uk-UA"/>
        </w:rPr>
        <w:t xml:space="preserve">Не потребують доказування </w:t>
      </w:r>
      <w:r w:rsidRPr="008146B5">
        <w:rPr>
          <w:rFonts w:asciiTheme="minorHAnsi" w:hAnsiTheme="minorHAnsi" w:cstheme="minorHAnsi"/>
          <w:b/>
          <w:sz w:val="20"/>
          <w:lang w:val="uk-UA" w:bidi="uk-UA"/>
        </w:rPr>
        <w:t>загальновідомі факти</w:t>
      </w:r>
      <w:r w:rsidRPr="008146B5">
        <w:rPr>
          <w:rFonts w:asciiTheme="minorHAnsi" w:hAnsiTheme="minorHAnsi" w:cstheme="minorHAnsi"/>
          <w:sz w:val="20"/>
          <w:lang w:val="uk-UA" w:bidi="uk-UA"/>
        </w:rPr>
        <w:t xml:space="preserve">, і суд бере їх до уваги навіть без посилання на них сторонами. Не потребують доказування також </w:t>
      </w:r>
      <w:r w:rsidRPr="008146B5">
        <w:rPr>
          <w:rFonts w:asciiTheme="minorHAnsi" w:hAnsiTheme="minorHAnsi" w:cstheme="minorHAnsi"/>
          <w:b/>
          <w:sz w:val="20"/>
          <w:lang w:val="uk-UA" w:bidi="uk-UA"/>
        </w:rPr>
        <w:t>факти, інформація про які є загальнодоступною</w:t>
      </w:r>
      <w:r w:rsidRPr="008146B5">
        <w:rPr>
          <w:rFonts w:asciiTheme="minorHAnsi" w:hAnsiTheme="minorHAnsi" w:cstheme="minorHAnsi"/>
          <w:sz w:val="20"/>
          <w:lang w:val="uk-UA" w:bidi="uk-UA"/>
        </w:rPr>
        <w:t>, та факти, відомі суду за службовим обов’язком (ст. 228 ЦПК).</w:t>
      </w:r>
    </w:p>
    <w:p w14:paraId="04553FE8" w14:textId="77777777" w:rsidR="00AE7C70" w:rsidRPr="008146B5" w:rsidRDefault="00AE7C70" w:rsidP="0045435E">
      <w:pPr>
        <w:pStyle w:val="zartzmartartykuempunktem"/>
        <w:spacing w:before="120" w:beforeAutospacing="0" w:after="0" w:afterAutospacing="0"/>
        <w:ind w:left="426"/>
        <w:jc w:val="both"/>
        <w:rPr>
          <w:rFonts w:asciiTheme="minorHAnsi" w:hAnsiTheme="minorHAnsi" w:cstheme="minorHAnsi"/>
          <w:color w:val="000000"/>
          <w:sz w:val="20"/>
          <w:szCs w:val="20"/>
          <w:lang w:val="ru-RU"/>
        </w:rPr>
      </w:pPr>
      <w:r w:rsidRPr="008146B5">
        <w:rPr>
          <w:rFonts w:asciiTheme="minorHAnsi" w:hAnsiTheme="minorHAnsi" w:cstheme="minorHAnsi"/>
          <w:sz w:val="20"/>
          <w:lang w:val="uk-UA" w:bidi="uk-UA"/>
        </w:rPr>
        <w:t xml:space="preserve">Не потребують доказування </w:t>
      </w:r>
      <w:r w:rsidRPr="008146B5">
        <w:rPr>
          <w:rFonts w:asciiTheme="minorHAnsi" w:hAnsiTheme="minorHAnsi" w:cstheme="minorHAnsi"/>
          <w:b/>
          <w:sz w:val="20"/>
          <w:lang w:val="uk-UA" w:bidi="uk-UA"/>
        </w:rPr>
        <w:t xml:space="preserve">факти, визнані в ході судового розгляду </w:t>
      </w:r>
      <w:r w:rsidRPr="008146B5">
        <w:rPr>
          <w:rFonts w:asciiTheme="minorHAnsi" w:hAnsiTheme="minorHAnsi" w:cstheme="minorHAnsi"/>
          <w:sz w:val="20"/>
          <w:lang w:val="uk-UA" w:bidi="uk-UA"/>
        </w:rPr>
        <w:t>протилежною стороною, якщо таке визнання не викликає сумнівів (ст. 229 ЦПК).</w:t>
      </w:r>
    </w:p>
    <w:p w14:paraId="55815B5B" w14:textId="77777777" w:rsidR="00AE7C70" w:rsidRPr="008146B5" w:rsidRDefault="00AE7C70" w:rsidP="0045435E">
      <w:pPr>
        <w:tabs>
          <w:tab w:val="left" w:pos="426"/>
        </w:tabs>
        <w:spacing w:before="120"/>
        <w:ind w:left="426"/>
        <w:jc w:val="both"/>
        <w:rPr>
          <w:rFonts w:asciiTheme="minorHAnsi" w:hAnsiTheme="minorHAnsi" w:cstheme="minorHAnsi"/>
          <w:bCs/>
          <w:sz w:val="20"/>
          <w:szCs w:val="20"/>
          <w:lang w:val="ru-RU"/>
        </w:rPr>
      </w:pPr>
      <w:r w:rsidRPr="008146B5">
        <w:rPr>
          <w:rFonts w:asciiTheme="minorHAnsi" w:hAnsiTheme="minorHAnsi" w:cstheme="minorHAnsi"/>
          <w:sz w:val="20"/>
          <w:lang w:val="uk-UA" w:bidi="uk-UA"/>
        </w:rPr>
        <w:t xml:space="preserve">Якщо </w:t>
      </w:r>
      <w:r w:rsidRPr="008146B5">
        <w:rPr>
          <w:rFonts w:asciiTheme="minorHAnsi" w:hAnsiTheme="minorHAnsi" w:cstheme="minorHAnsi"/>
          <w:b/>
          <w:sz w:val="20"/>
          <w:lang w:val="uk-UA" w:bidi="uk-UA"/>
        </w:rPr>
        <w:t>сторона не висловиться щодо тверджень протилежної сторони про факти</w:t>
      </w:r>
      <w:r w:rsidRPr="008146B5">
        <w:rPr>
          <w:rFonts w:asciiTheme="minorHAnsi" w:hAnsiTheme="minorHAnsi" w:cstheme="minorHAnsi"/>
          <w:sz w:val="20"/>
          <w:lang w:val="uk-UA" w:bidi="uk-UA"/>
        </w:rPr>
        <w:t>, суд, зважаючи на результати всього судового розгляду, може визнати ці факти визнаними (ст. 230 ЦПК).</w:t>
      </w:r>
    </w:p>
    <w:p w14:paraId="5E9A951D" w14:textId="77777777" w:rsidR="00AE7C70" w:rsidRPr="008146B5" w:rsidRDefault="00AE7C70" w:rsidP="0045435E">
      <w:pPr>
        <w:pStyle w:val="zartzmartartykuempunktem"/>
        <w:numPr>
          <w:ilvl w:val="0"/>
          <w:numId w:val="2"/>
        </w:numPr>
        <w:tabs>
          <w:tab w:val="left" w:pos="426"/>
        </w:tabs>
        <w:spacing w:before="120" w:beforeAutospacing="0" w:after="0" w:afterAutospacing="0"/>
        <w:ind w:left="426" w:hanging="356"/>
        <w:jc w:val="both"/>
        <w:rPr>
          <w:rFonts w:asciiTheme="minorHAnsi" w:hAnsiTheme="minorHAnsi" w:cstheme="minorHAnsi"/>
          <w:color w:val="000000"/>
          <w:sz w:val="20"/>
          <w:szCs w:val="20"/>
        </w:rPr>
      </w:pPr>
      <w:r w:rsidRPr="008146B5">
        <w:rPr>
          <w:rFonts w:asciiTheme="minorHAnsi" w:hAnsiTheme="minorHAnsi" w:cstheme="minorHAnsi"/>
          <w:sz w:val="20"/>
          <w:lang w:val="uk-UA" w:bidi="uk-UA"/>
        </w:rPr>
        <w:t xml:space="preserve">Сторона повинна </w:t>
      </w:r>
      <w:r w:rsidRPr="008146B5">
        <w:rPr>
          <w:rFonts w:asciiTheme="minorHAnsi" w:hAnsiTheme="minorHAnsi" w:cstheme="minorHAnsi"/>
          <w:b/>
          <w:sz w:val="20"/>
          <w:lang w:val="uk-UA" w:bidi="uk-UA"/>
        </w:rPr>
        <w:t>звернути увагу суду на порушення процесуальних норм</w:t>
      </w:r>
      <w:r w:rsidRPr="008146B5">
        <w:rPr>
          <w:rFonts w:asciiTheme="minorHAnsi" w:hAnsiTheme="minorHAnsi" w:cstheme="minorHAnsi"/>
          <w:sz w:val="20"/>
          <w:lang w:val="uk-UA" w:bidi="uk-UA"/>
        </w:rPr>
        <w:t>, подавши клопотання про внесення заперечення до протоколу. Заперечення можна подати не пізніше наступного засідання (ст. 162 § 1 ЦПК).</w:t>
      </w:r>
    </w:p>
    <w:p w14:paraId="6B575851" w14:textId="77777777" w:rsidR="00AE7C70" w:rsidRPr="008146B5" w:rsidRDefault="00AE7C70" w:rsidP="0045435E">
      <w:pPr>
        <w:pStyle w:val="zartzmartartykuempunktem"/>
        <w:tabs>
          <w:tab w:val="left" w:pos="426"/>
        </w:tabs>
        <w:spacing w:before="120" w:beforeAutospacing="0" w:after="0" w:afterAutospacing="0"/>
        <w:ind w:left="426"/>
        <w:jc w:val="both"/>
        <w:rPr>
          <w:rFonts w:asciiTheme="minorHAnsi" w:hAnsiTheme="minorHAnsi" w:cstheme="minorHAnsi"/>
          <w:bCs/>
          <w:sz w:val="20"/>
          <w:szCs w:val="20"/>
          <w:lang w:val="ru-RU"/>
        </w:rPr>
      </w:pPr>
      <w:r w:rsidRPr="008146B5">
        <w:rPr>
          <w:rFonts w:asciiTheme="minorHAnsi" w:hAnsiTheme="minorHAnsi" w:cstheme="minorHAnsi"/>
          <w:sz w:val="20"/>
          <w:lang w:val="uk-UA" w:bidi="uk-UA"/>
        </w:rPr>
        <w:lastRenderedPageBreak/>
        <w:t>Сторона, яку представляє адвокат, юрисконсульт, патентний повірений або Генеральна прокуратура Республіки Польща, яка не подала заперечення, не має права посилатися на це порушення в подальшому ході розгляду справи. Цей наслідок не скасовується через розірвання або відкликання довіреності. Ця норма не застосовується, якщо йдеться про процесуальні норми, порушення яких суд повинен врахувати за службовим обов’язком, або якщо сторона доведе, що вона не подала заперечень не з власної вини (ст. 162 § 2 та 3 ЦПК).</w:t>
      </w:r>
    </w:p>
    <w:p w14:paraId="10E41304" w14:textId="77777777" w:rsidR="0044756F" w:rsidRPr="008146B5" w:rsidRDefault="0044756F" w:rsidP="0045435E">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hanging="290"/>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Спір між сторонами може бути </w:t>
      </w:r>
      <w:r w:rsidRPr="008146B5">
        <w:rPr>
          <w:rFonts w:asciiTheme="minorHAnsi" w:hAnsiTheme="minorHAnsi" w:cstheme="minorHAnsi"/>
          <w:b/>
          <w:sz w:val="20"/>
          <w:lang w:val="uk-UA" w:bidi="uk-UA"/>
        </w:rPr>
        <w:t>вирішений шляхом укладення мирової угоди в суді або за участю медіатора.</w:t>
      </w:r>
      <w:r w:rsidRPr="008146B5">
        <w:rPr>
          <w:rFonts w:asciiTheme="minorHAnsi" w:hAnsiTheme="minorHAnsi" w:cstheme="minorHAnsi"/>
          <w:sz w:val="20"/>
          <w:lang w:val="uk-UA" w:bidi="uk-UA"/>
        </w:rPr>
        <w:t xml:space="preserve"> </w:t>
      </w:r>
    </w:p>
    <w:p w14:paraId="18BA3009" w14:textId="77777777" w:rsidR="00AE7C70" w:rsidRPr="008146B5" w:rsidRDefault="00AE7C70" w:rsidP="0045435E">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Мирова угода є одним зі способів швидкого вирішення спору; суд на кожному етапі провадження прагне до мирового вирішення спору, зокрема шляхом заохочення сторін до медіації (ст. 10 ЦПК). Переговори, що завершилися укладенням мирової угоди, дають шанс на швидше вирішення спору, а також дозволяють зберегти належні відносини між сторонами. Мирова угода, укладена в суді або за участю медіатора, після надання виконавчої сили, є виконавчим документом, рівнозначним судовому рішенню.</w:t>
      </w:r>
    </w:p>
    <w:p w14:paraId="39D189DC" w14:textId="77777777" w:rsidR="00AE7C70" w:rsidRPr="008146B5" w:rsidRDefault="00AE7C70" w:rsidP="0045435E">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Медіація є одним зі способів мирного врегулювання спору, при цьому вона проводиться за участю нейтрального медіатора, на нейтральній території, є конфіденційною та добровільною. Крім того, це значно дешевший спосіб вирішення спорів, ніж судове провадження. </w:t>
      </w:r>
    </w:p>
    <w:p w14:paraId="36A2866D" w14:textId="77777777" w:rsidR="00AE7C70" w:rsidRPr="008146B5" w:rsidRDefault="00AE7C70" w:rsidP="0045435E">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Медіаційна угода може охоплювати як позовні вимоги, що не включені до позову, так і вимоги, що розглядаються в рамках різних проваджень. </w:t>
      </w:r>
    </w:p>
    <w:p w14:paraId="140BE4B5" w14:textId="77777777" w:rsidR="00AE7C70" w:rsidRPr="008146B5" w:rsidRDefault="00AE7C70" w:rsidP="0045435E">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Якщо сторони уклали угоду в суді або була затверджена угода, укладена перед медіатором - суд припиняє провадження (ст. 355 ЦПК).</w:t>
      </w:r>
    </w:p>
    <w:p w14:paraId="2751B6D1" w14:textId="77777777" w:rsidR="00AE7C70" w:rsidRPr="008146B5" w:rsidRDefault="00AE7C70" w:rsidP="0045435E">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У разі укладення сторонами угоди до початку судового засідання Суд за службовим обов’язком повертає весь судовий збір за позов та заперечення проти наказу про стягнення, зменшений на мінімальний збір (30 злотих); у разі укладення угоди перед медіатором після початку судового засідання - поверненню підлягає ¾ суми судового збору за позов та заперечення проти наказу про стягнення, зменшеної на суму мінімального збору, а у разі укладення судової угоди після початку судового засідання - поверненню підлягає ½ суми сплаченого судового збору за позов або заперечення проти наказу про стягнення, зменшеної на суму мінімального збору.</w:t>
      </w:r>
    </w:p>
    <w:p w14:paraId="04DF3936" w14:textId="77777777" w:rsidR="0044756F" w:rsidRPr="008146B5" w:rsidRDefault="0044756F" w:rsidP="0045435E">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hanging="284"/>
        <w:jc w:val="both"/>
        <w:rPr>
          <w:rFonts w:asciiTheme="minorHAnsi" w:hAnsiTheme="minorHAnsi" w:cstheme="minorHAnsi"/>
          <w:sz w:val="20"/>
          <w:szCs w:val="20"/>
        </w:rPr>
      </w:pPr>
      <w:r w:rsidRPr="008146B5">
        <w:rPr>
          <w:rFonts w:asciiTheme="minorHAnsi" w:hAnsiTheme="minorHAnsi" w:cstheme="minorHAnsi"/>
          <w:sz w:val="20"/>
          <w:lang w:val="uk-UA" w:bidi="uk-UA"/>
        </w:rPr>
        <w:t xml:space="preserve">Під час розгляду справи, у обґрунтованих випадках, голова суду може постановити </w:t>
      </w:r>
      <w:r w:rsidRPr="008146B5">
        <w:rPr>
          <w:rFonts w:asciiTheme="minorHAnsi" w:hAnsiTheme="minorHAnsi" w:cstheme="minorHAnsi"/>
          <w:b/>
          <w:sz w:val="20"/>
          <w:lang w:val="uk-UA" w:bidi="uk-UA"/>
        </w:rPr>
        <w:t>обмін між сторонами підготовчими документами</w:t>
      </w:r>
      <w:r w:rsidRPr="008146B5">
        <w:rPr>
          <w:rFonts w:asciiTheme="minorHAnsi" w:hAnsiTheme="minorHAnsi" w:cstheme="minorHAnsi"/>
          <w:sz w:val="20"/>
          <w:lang w:val="uk-UA" w:bidi="uk-UA"/>
        </w:rPr>
        <w:t>, визначивши при цьому порядок подання документів, строки, у які документи мають бути подані, та обставини, що підлягають з’ясуванню (ст. 205</w:t>
      </w:r>
      <w:r w:rsidRPr="008146B5">
        <w:rPr>
          <w:rFonts w:asciiTheme="minorHAnsi" w:hAnsiTheme="minorHAnsi" w:cstheme="minorHAnsi"/>
          <w:sz w:val="20"/>
          <w:vertAlign w:val="superscript"/>
          <w:lang w:val="uk-UA" w:bidi="uk-UA"/>
        </w:rPr>
        <w:t>3</w:t>
      </w:r>
      <w:r w:rsidRPr="008146B5">
        <w:rPr>
          <w:rFonts w:asciiTheme="minorHAnsi" w:hAnsiTheme="minorHAnsi" w:cstheme="minorHAnsi"/>
          <w:sz w:val="20"/>
          <w:lang w:val="uk-UA" w:bidi="uk-UA"/>
        </w:rPr>
        <w:t xml:space="preserve"> § 1 ЦПК).</w:t>
      </w:r>
    </w:p>
    <w:p w14:paraId="02A27276" w14:textId="77777777" w:rsidR="0044756F" w:rsidRPr="008146B5" w:rsidRDefault="0044756F" w:rsidP="0045435E">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У підготовчих документах слід стисло викласти стан справи, вказати, які факти сторона визнає, а які заперечує, а також висловити свою думку щодо тверджень та доказів, поданих протилежною стороною. У цих документах сторони можуть також вказувати правові підстави своїх вимог або клопотань (ст. 127 § 1 та 2 ЦПК).</w:t>
      </w:r>
    </w:p>
    <w:p w14:paraId="2D0DC1EE" w14:textId="77777777" w:rsidR="0044756F" w:rsidRPr="008146B5" w:rsidRDefault="0044756F" w:rsidP="0045435E">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color w:val="000000"/>
          <w:sz w:val="20"/>
          <w:szCs w:val="20"/>
          <w:lang w:val="ru-RU"/>
        </w:rPr>
      </w:pPr>
      <w:r w:rsidRPr="008146B5">
        <w:rPr>
          <w:rFonts w:asciiTheme="minorHAnsi" w:hAnsiTheme="minorHAnsi" w:cstheme="minorHAnsi"/>
          <w:sz w:val="20"/>
          <w:lang w:val="uk-UA" w:bidi="uk-UA"/>
        </w:rPr>
        <w:t xml:space="preserve">Голова суду може також зобов’язати сторону вказати у підготовчому листі </w:t>
      </w:r>
      <w:r w:rsidRPr="008146B5">
        <w:rPr>
          <w:rFonts w:asciiTheme="minorHAnsi" w:hAnsiTheme="minorHAnsi" w:cstheme="minorHAnsi"/>
          <w:b/>
          <w:sz w:val="20"/>
          <w:lang w:val="uk-UA" w:bidi="uk-UA"/>
        </w:rPr>
        <w:t>всі твердження та докази</w:t>
      </w:r>
      <w:r w:rsidRPr="008146B5">
        <w:rPr>
          <w:rFonts w:asciiTheme="minorHAnsi" w:hAnsiTheme="minorHAnsi" w:cstheme="minorHAnsi"/>
          <w:sz w:val="20"/>
          <w:lang w:val="uk-UA" w:bidi="uk-UA"/>
        </w:rPr>
        <w:t>, що мають істотне значення для вирішення справи, під загрозою втрати права на посилання на них в ході подальшого розгляду. У такому випадку твердження та докази, подані з порушенням вищезазначеного обов’язку, не враховуються, якщо тільки сторона не доведе, що їхнє зазначення у підготовчому листі було неможливим або що необхідність їхнього зазначення виникла пізніше (ст. 205</w:t>
      </w:r>
      <w:r w:rsidRPr="008146B5">
        <w:rPr>
          <w:rFonts w:asciiTheme="minorHAnsi" w:hAnsiTheme="minorHAnsi" w:cstheme="minorHAnsi"/>
          <w:sz w:val="20"/>
          <w:vertAlign w:val="superscript"/>
          <w:lang w:val="uk-UA" w:bidi="uk-UA"/>
        </w:rPr>
        <w:t>3</w:t>
      </w:r>
      <w:r w:rsidRPr="008146B5">
        <w:rPr>
          <w:rFonts w:asciiTheme="minorHAnsi" w:hAnsiTheme="minorHAnsi" w:cstheme="minorHAnsi"/>
          <w:sz w:val="20"/>
          <w:lang w:val="uk-UA" w:bidi="uk-UA"/>
        </w:rPr>
        <w:t xml:space="preserve"> § 2 ЦПК). Сторону, яку представляє професійний повноважний представник, голова може додатково зобов’язати вказати у підготовчому листі також правові підстави її вимог та клопотань (ст. 205</w:t>
      </w:r>
      <w:r w:rsidRPr="008146B5">
        <w:rPr>
          <w:rFonts w:asciiTheme="minorHAnsi" w:hAnsiTheme="minorHAnsi" w:cstheme="minorHAnsi"/>
          <w:sz w:val="20"/>
          <w:vertAlign w:val="superscript"/>
          <w:lang w:val="uk-UA" w:bidi="uk-UA"/>
        </w:rPr>
        <w:t>3</w:t>
      </w:r>
      <w:r w:rsidRPr="008146B5">
        <w:rPr>
          <w:rFonts w:asciiTheme="minorHAnsi" w:hAnsiTheme="minorHAnsi" w:cstheme="minorHAnsi"/>
          <w:sz w:val="20"/>
          <w:lang w:val="uk-UA" w:bidi="uk-UA"/>
        </w:rPr>
        <w:t xml:space="preserve"> § 4 ЦПК).</w:t>
      </w:r>
    </w:p>
    <w:p w14:paraId="03D58FA0" w14:textId="77777777" w:rsidR="0044756F" w:rsidRPr="008146B5" w:rsidRDefault="0044756F" w:rsidP="0045435E">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color w:val="000000"/>
          <w:sz w:val="20"/>
          <w:szCs w:val="20"/>
          <w:lang w:val="ru-RU"/>
        </w:rPr>
      </w:pPr>
      <w:r w:rsidRPr="008146B5">
        <w:rPr>
          <w:rFonts w:asciiTheme="minorHAnsi" w:hAnsiTheme="minorHAnsi" w:cstheme="minorHAnsi"/>
          <w:sz w:val="20"/>
          <w:lang w:val="uk-UA" w:bidi="uk-UA"/>
        </w:rPr>
        <w:t>Пізніше призначення підготовчого засідання не спричиняє відкриття строку для подання нових тверджень та доказів (ст. 205</w:t>
      </w:r>
      <w:r w:rsidRPr="008146B5">
        <w:rPr>
          <w:rFonts w:asciiTheme="minorHAnsi" w:hAnsiTheme="minorHAnsi" w:cstheme="minorHAnsi"/>
          <w:sz w:val="20"/>
          <w:vertAlign w:val="superscript"/>
          <w:lang w:val="uk-UA" w:bidi="uk-UA"/>
        </w:rPr>
        <w:t>3</w:t>
      </w:r>
      <w:r w:rsidRPr="008146B5">
        <w:rPr>
          <w:rFonts w:asciiTheme="minorHAnsi" w:hAnsiTheme="minorHAnsi" w:cstheme="minorHAnsi"/>
          <w:sz w:val="20"/>
          <w:lang w:val="uk-UA" w:bidi="uk-UA"/>
        </w:rPr>
        <w:t xml:space="preserve"> § 3 ЦПК).</w:t>
      </w:r>
    </w:p>
    <w:p w14:paraId="32F38E2B" w14:textId="77777777" w:rsidR="0044756F" w:rsidRPr="008146B5" w:rsidRDefault="0044756F" w:rsidP="0045435E">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Голова постановляє повернути підготовчий лист, поданий з порушенням строку або без розпорядження (ст. 205</w:t>
      </w:r>
      <w:r w:rsidRPr="008146B5">
        <w:rPr>
          <w:rFonts w:asciiTheme="minorHAnsi" w:hAnsiTheme="minorHAnsi" w:cstheme="minorHAnsi"/>
          <w:sz w:val="20"/>
          <w:vertAlign w:val="superscript"/>
          <w:lang w:val="uk-UA" w:bidi="uk-UA"/>
        </w:rPr>
        <w:t>3</w:t>
      </w:r>
      <w:r w:rsidRPr="008146B5">
        <w:rPr>
          <w:rFonts w:asciiTheme="minorHAnsi" w:hAnsiTheme="minorHAnsi" w:cstheme="minorHAnsi"/>
          <w:sz w:val="20"/>
          <w:lang w:val="uk-UA" w:bidi="uk-UA"/>
        </w:rPr>
        <w:t xml:space="preserve"> § 5 ЦПК).</w:t>
      </w:r>
    </w:p>
    <w:p w14:paraId="44A1E56E" w14:textId="77777777" w:rsidR="00CF3479" w:rsidRPr="008146B5" w:rsidRDefault="00CF3479" w:rsidP="0045435E">
      <w:pPr>
        <w:widowControl w:val="0"/>
        <w:numPr>
          <w:ilvl w:val="0"/>
          <w:numId w:val="2"/>
        </w:numPr>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284"/>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На кожному етапі провадження </w:t>
      </w:r>
      <w:r w:rsidRPr="008146B5">
        <w:rPr>
          <w:rFonts w:asciiTheme="minorHAnsi" w:hAnsiTheme="minorHAnsi" w:cstheme="minorHAnsi"/>
          <w:b/>
          <w:sz w:val="20"/>
          <w:lang w:val="uk-UA" w:bidi="uk-UA"/>
        </w:rPr>
        <w:t>сторона може призначити процесуального повноважного представника</w:t>
      </w:r>
      <w:r w:rsidRPr="008146B5">
        <w:rPr>
          <w:rFonts w:asciiTheme="minorHAnsi" w:hAnsiTheme="minorHAnsi" w:cstheme="minorHAnsi"/>
          <w:sz w:val="20"/>
          <w:lang w:val="uk-UA" w:bidi="uk-UA"/>
        </w:rPr>
        <w:t xml:space="preserve">; обов’язкового представництва сторони адвокатом або юрисконсультом немає. </w:t>
      </w:r>
      <w:r w:rsidRPr="008146B5">
        <w:rPr>
          <w:rFonts w:asciiTheme="minorHAnsi" w:hAnsiTheme="minorHAnsi" w:cstheme="minorHAnsi"/>
          <w:sz w:val="20"/>
          <w:lang w:val="uk-UA" w:bidi="uk-UA"/>
        </w:rPr>
        <w:lastRenderedPageBreak/>
        <w:t xml:space="preserve">Процесуальна довіреність може бути загальною, для ведення окремих справ або для певних процесуальних дій. </w:t>
      </w:r>
    </w:p>
    <w:p w14:paraId="11EB96B0" w14:textId="77777777" w:rsidR="00CF3479" w:rsidRPr="008146B5" w:rsidRDefault="00CF3479" w:rsidP="0045435E">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Процесуальним повноважним представником може бути адвокат або юрисконсульт, а у справах про промислову власність також патентний повірений, а також особа, яка здійснює управління майном або інтересами сторони, та особа, яка перебуває зі стороною у постійних довірчих відносинах, якщо предмет справи входить до сфери цих довірчих відносин, співучасник спору, а також батьки, чоловік або дружина, брати та сестри або нащадки сторони, а також особи, які перебувають зі стороною у відносинах усиновлення (ст. 87 § 1 ЦПК).</w:t>
      </w:r>
    </w:p>
    <w:p w14:paraId="16009CBB" w14:textId="77777777" w:rsidR="00CF3479" w:rsidRPr="008146B5" w:rsidRDefault="00CF3479" w:rsidP="0045435E">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uk-UA"/>
        </w:rPr>
      </w:pPr>
      <w:r w:rsidRPr="008146B5">
        <w:rPr>
          <w:rFonts w:asciiTheme="minorHAnsi" w:hAnsiTheme="minorHAnsi" w:cstheme="minorHAnsi"/>
          <w:sz w:val="20"/>
          <w:lang w:val="uk-UA" w:bidi="uk-UA"/>
        </w:rPr>
        <w:t>Повноважним представником юридичної особи або підприємця, у тому числі без статусу юридичної особи, може бути також працівник цієї організаційної одиниці або її вищого органу. Юридична особа, яка на підставі окремих положень здійснює юридичне обслуговування підприємця, юридичної особи або іншої організаційної одиниці, може надати процесуальну довіреність - від імені суб’єкта, юридичне обслуговування якого вона здійснює, - адвокату або юрисконсульту, якщо вона була до цього уповноважена цим суб’єктом (ст. 87 § 2 ЦПК).</w:t>
      </w:r>
    </w:p>
    <w:p w14:paraId="30896DA7" w14:textId="77777777" w:rsidR="00CF3479" w:rsidRPr="008146B5" w:rsidRDefault="00CF3479" w:rsidP="0045435E">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b/>
          <w:sz w:val="20"/>
          <w:lang w:val="uk-UA" w:bidi="uk-UA"/>
        </w:rPr>
        <w:t>Повноваження на здійснення деяких процесуальних дій</w:t>
      </w:r>
      <w:r w:rsidRPr="008146B5">
        <w:rPr>
          <w:rFonts w:asciiTheme="minorHAnsi" w:hAnsiTheme="minorHAnsi" w:cstheme="minorHAnsi"/>
          <w:sz w:val="20"/>
          <w:lang w:val="uk-UA" w:bidi="uk-UA"/>
        </w:rPr>
        <w:t>, у тому числі таке, що охоплює виключно уповноваження на отримання судових документів (</w:t>
      </w:r>
      <w:r w:rsidRPr="008146B5">
        <w:rPr>
          <w:rFonts w:asciiTheme="minorHAnsi" w:hAnsiTheme="minorHAnsi" w:cstheme="minorHAnsi"/>
          <w:b/>
          <w:sz w:val="20"/>
          <w:lang w:val="uk-UA" w:bidi="uk-UA"/>
        </w:rPr>
        <w:t>повноважний представник для отримання документів</w:t>
      </w:r>
      <w:r w:rsidRPr="008146B5">
        <w:rPr>
          <w:rFonts w:asciiTheme="minorHAnsi" w:hAnsiTheme="minorHAnsi" w:cstheme="minorHAnsi"/>
          <w:sz w:val="20"/>
          <w:lang w:val="uk-UA" w:bidi="uk-UA"/>
        </w:rPr>
        <w:t>), може бути надане будь-якій фізичній особі, яка має повну процесуальну дієздатність.</w:t>
      </w:r>
    </w:p>
    <w:p w14:paraId="23407098" w14:textId="77777777" w:rsidR="00CF3479" w:rsidRPr="008146B5" w:rsidRDefault="00CF3479" w:rsidP="0045435E">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Повноважний представник зобов'язаний під час своєї першої процесуальної дії </w:t>
      </w:r>
      <w:r w:rsidRPr="008146B5">
        <w:rPr>
          <w:rFonts w:asciiTheme="minorHAnsi" w:hAnsiTheme="minorHAnsi" w:cstheme="minorHAnsi"/>
          <w:b/>
          <w:sz w:val="20"/>
          <w:lang w:val="uk-UA" w:bidi="uk-UA"/>
        </w:rPr>
        <w:t>подати письмову довіреність</w:t>
      </w:r>
      <w:r w:rsidRPr="008146B5">
        <w:rPr>
          <w:rFonts w:asciiTheme="minorHAnsi" w:hAnsiTheme="minorHAnsi" w:cstheme="minorHAnsi"/>
          <w:sz w:val="20"/>
          <w:lang w:val="uk-UA" w:bidi="uk-UA"/>
        </w:rPr>
        <w:t xml:space="preserve"> з підписом довірителя або завірену копію довіреності, а також інші документи, що підтверджують його повноваження - усі ці документи разом із копією для протилежної сторони (ст. 89 § 1 ЦПК).</w:t>
      </w:r>
    </w:p>
    <w:p w14:paraId="7A2C3149" w14:textId="77777777" w:rsidR="002F43BD" w:rsidRPr="008146B5" w:rsidRDefault="002F43BD" w:rsidP="0045435E">
      <w:pPr>
        <w:widowControl w:val="0"/>
        <w:numPr>
          <w:ilvl w:val="0"/>
          <w:numId w:val="2"/>
        </w:numPr>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284"/>
        <w:jc w:val="both"/>
        <w:rPr>
          <w:rFonts w:asciiTheme="minorHAnsi" w:hAnsiTheme="minorHAnsi" w:cstheme="minorHAnsi"/>
          <w:sz w:val="20"/>
          <w:szCs w:val="20"/>
          <w:lang w:val="uk-UA"/>
        </w:rPr>
      </w:pPr>
      <w:r w:rsidRPr="008146B5">
        <w:rPr>
          <w:rFonts w:asciiTheme="minorHAnsi" w:hAnsiTheme="minorHAnsi" w:cstheme="minorHAnsi"/>
          <w:sz w:val="20"/>
          <w:lang w:val="uk-UA" w:bidi="uk-UA"/>
        </w:rPr>
        <w:t xml:space="preserve">Сторони та їхні представники </w:t>
      </w:r>
      <w:r w:rsidRPr="008146B5">
        <w:rPr>
          <w:rFonts w:asciiTheme="minorHAnsi" w:hAnsiTheme="minorHAnsi" w:cstheme="minorHAnsi"/>
          <w:b/>
          <w:sz w:val="20"/>
          <w:lang w:val="uk-UA" w:bidi="uk-UA"/>
        </w:rPr>
        <w:t>зобов’язані повідомляти суд про кожну зміну свого місця проживання</w:t>
      </w:r>
      <w:r w:rsidRPr="008146B5">
        <w:rPr>
          <w:rFonts w:asciiTheme="minorHAnsi" w:hAnsiTheme="minorHAnsi" w:cstheme="minorHAnsi"/>
          <w:sz w:val="20"/>
          <w:lang w:val="uk-UA" w:bidi="uk-UA"/>
        </w:rPr>
        <w:t xml:space="preserve">, а у випадку сторін, які не є фізичними особами, - </w:t>
      </w:r>
      <w:r w:rsidRPr="008146B5">
        <w:rPr>
          <w:rFonts w:asciiTheme="minorHAnsi" w:hAnsiTheme="minorHAnsi" w:cstheme="minorHAnsi"/>
          <w:b/>
          <w:sz w:val="20"/>
          <w:lang w:val="uk-UA" w:bidi="uk-UA"/>
        </w:rPr>
        <w:t>адреси головного офісу</w:t>
      </w:r>
      <w:r w:rsidRPr="008146B5">
        <w:rPr>
          <w:rFonts w:asciiTheme="minorHAnsi" w:hAnsiTheme="minorHAnsi" w:cstheme="minorHAnsi"/>
          <w:sz w:val="20"/>
          <w:lang w:val="uk-UA" w:bidi="uk-UA"/>
        </w:rPr>
        <w:t xml:space="preserve">. Сторона, яка є </w:t>
      </w:r>
      <w:r w:rsidRPr="008146B5">
        <w:rPr>
          <w:rFonts w:asciiTheme="minorHAnsi" w:hAnsiTheme="minorHAnsi" w:cstheme="minorHAnsi"/>
          <w:b/>
          <w:sz w:val="20"/>
          <w:lang w:val="uk-UA" w:bidi="uk-UA"/>
        </w:rPr>
        <w:t>підприємцем, зареєстрованим у Центральному реєстрі та Інформаційній системі про господарську діяльність</w:t>
      </w:r>
      <w:r w:rsidRPr="008146B5">
        <w:rPr>
          <w:rFonts w:asciiTheme="minorHAnsi" w:hAnsiTheme="minorHAnsi" w:cstheme="minorHAnsi"/>
          <w:sz w:val="20"/>
          <w:lang w:val="uk-UA" w:bidi="uk-UA"/>
        </w:rPr>
        <w:t>, зобов’язана повідомляти суд про кожну зміну адреси для поштових відправлень, зазначеної в цьому реєстрі.</w:t>
      </w:r>
    </w:p>
    <w:p w14:paraId="0C6BB4F5" w14:textId="77777777" w:rsidR="002F43BD" w:rsidRPr="008146B5" w:rsidRDefault="002F43BD" w:rsidP="0045435E">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Сторона, яка подала клопотання про вручення документів на адресу вказаної </w:t>
      </w:r>
      <w:r w:rsidRPr="008146B5">
        <w:rPr>
          <w:rFonts w:asciiTheme="minorHAnsi" w:hAnsiTheme="minorHAnsi" w:cstheme="minorHAnsi"/>
          <w:b/>
          <w:sz w:val="20"/>
          <w:lang w:val="uk-UA" w:bidi="uk-UA"/>
        </w:rPr>
        <w:t>поштової скриньки</w:t>
      </w:r>
      <w:r w:rsidRPr="008146B5">
        <w:rPr>
          <w:rFonts w:asciiTheme="minorHAnsi" w:hAnsiTheme="minorHAnsi" w:cstheme="minorHAnsi"/>
          <w:sz w:val="20"/>
          <w:lang w:val="uk-UA" w:bidi="uk-UA"/>
        </w:rPr>
        <w:t>, зобов’язана повідомляти суд про кожну зміну цієї адреси.</w:t>
      </w:r>
    </w:p>
    <w:p w14:paraId="1B09E32A" w14:textId="77777777" w:rsidR="002F43BD" w:rsidRPr="008146B5" w:rsidRDefault="002F43BD" w:rsidP="0045435E">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У разі невиконання вищезазначених зобов'язань судовий документ залишається у справі та вважається врученим, якщо нова адреса не відома суду (ст. 136 § 2 ЦПК). </w:t>
      </w:r>
    </w:p>
    <w:p w14:paraId="655C72A9" w14:textId="77777777" w:rsidR="0044756F" w:rsidRPr="008146B5" w:rsidRDefault="0044756F" w:rsidP="0045435E">
      <w:pPr>
        <w:numPr>
          <w:ilvl w:val="0"/>
          <w:numId w:val="2"/>
        </w:numPr>
        <w:spacing w:before="120"/>
        <w:ind w:left="426" w:hanging="284"/>
        <w:jc w:val="both"/>
        <w:rPr>
          <w:rFonts w:asciiTheme="minorHAnsi" w:hAnsiTheme="minorHAnsi" w:cstheme="minorHAnsi"/>
          <w:sz w:val="20"/>
          <w:szCs w:val="20"/>
          <w:lang w:val="ru-RU"/>
        </w:rPr>
      </w:pPr>
      <w:r w:rsidRPr="008146B5">
        <w:rPr>
          <w:rFonts w:asciiTheme="minorHAnsi" w:hAnsiTheme="minorHAnsi" w:cstheme="minorHAnsi"/>
          <w:b/>
          <w:sz w:val="20"/>
          <w:lang w:val="uk-UA" w:bidi="uk-UA"/>
        </w:rPr>
        <w:t>Сторона, яка не має місця проживання або звичайного місця перебування, або головного адреси офісу в Республіці Польща або в іншій державі-члені Європейського Союзу</w:t>
      </w:r>
      <w:r w:rsidRPr="008146B5">
        <w:rPr>
          <w:rFonts w:asciiTheme="minorHAnsi" w:hAnsiTheme="minorHAnsi" w:cstheme="minorHAnsi"/>
          <w:sz w:val="20"/>
          <w:lang w:val="uk-UA" w:bidi="uk-UA"/>
        </w:rPr>
        <w:t>, якщо вона не призначила представника для ведення справи, який проживає в Республіці Польща, зобов’язана вказати представника для поштових відправлень в Республіці Польща.</w:t>
      </w:r>
    </w:p>
    <w:p w14:paraId="26A7A446" w14:textId="77777777" w:rsidR="0044756F" w:rsidRPr="008146B5" w:rsidRDefault="0044756F" w:rsidP="0045435E">
      <w:pPr>
        <w:spacing w:before="120"/>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Якщо повноважного представника для вручення документів не призначено, судові документи, адресовані цій стороні, залишаються у справах і вважаються врученими (ст. 1135</w:t>
      </w:r>
      <w:r w:rsidRPr="008146B5">
        <w:rPr>
          <w:rFonts w:asciiTheme="minorHAnsi" w:hAnsiTheme="minorHAnsi" w:cstheme="minorHAnsi"/>
          <w:sz w:val="20"/>
          <w:vertAlign w:val="superscript"/>
          <w:lang w:val="uk-UA" w:bidi="uk-UA"/>
        </w:rPr>
        <w:t>5</w:t>
      </w:r>
      <w:r w:rsidRPr="008146B5">
        <w:rPr>
          <w:rFonts w:asciiTheme="minorHAnsi" w:hAnsiTheme="minorHAnsi" w:cstheme="minorHAnsi"/>
          <w:sz w:val="20"/>
          <w:lang w:val="uk-UA" w:bidi="uk-UA"/>
        </w:rPr>
        <w:t xml:space="preserve"> § 1 ЦПК).</w:t>
      </w:r>
    </w:p>
    <w:p w14:paraId="0855D3F8" w14:textId="77777777" w:rsidR="0044756F" w:rsidRPr="008146B5" w:rsidRDefault="0044756F" w:rsidP="0045435E">
      <w:pPr>
        <w:ind w:left="426"/>
        <w:jc w:val="both"/>
        <w:rPr>
          <w:rFonts w:asciiTheme="minorHAnsi" w:hAnsiTheme="minorHAnsi" w:cstheme="minorHAnsi"/>
          <w:sz w:val="20"/>
          <w:szCs w:val="20"/>
          <w:lang w:val="ru-RU"/>
        </w:rPr>
      </w:pPr>
      <w:r w:rsidRPr="008146B5">
        <w:rPr>
          <w:rFonts w:asciiTheme="minorHAnsi" w:hAnsiTheme="minorHAnsi" w:cstheme="minorHAnsi"/>
          <w:sz w:val="20"/>
          <w:lang w:val="uk-UA" w:bidi="uk-UA"/>
        </w:rPr>
        <w:t xml:space="preserve">Обсяг повноважень особи, визначеної як повноважний представник для вручення документів, обмежується виключно отриманням судових документів. </w:t>
      </w:r>
    </w:p>
    <w:p w14:paraId="5FB18FF5" w14:textId="77777777" w:rsidR="0044756F" w:rsidRPr="008146B5" w:rsidRDefault="0044756F" w:rsidP="0045435E">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hanging="290"/>
        <w:jc w:val="both"/>
        <w:rPr>
          <w:rFonts w:asciiTheme="minorHAnsi" w:hAnsiTheme="minorHAnsi" w:cstheme="minorHAnsi"/>
          <w:b/>
          <w:bCs/>
          <w:sz w:val="20"/>
          <w:szCs w:val="20"/>
          <w:lang w:val="ru-RU"/>
        </w:rPr>
      </w:pPr>
      <w:r w:rsidRPr="008146B5">
        <w:rPr>
          <w:rFonts w:asciiTheme="minorHAnsi" w:hAnsiTheme="minorHAnsi" w:cstheme="minorHAnsi"/>
          <w:sz w:val="20"/>
          <w:lang w:val="uk-UA" w:bidi="uk-UA"/>
        </w:rPr>
        <w:t xml:space="preserve">Усі судові документи мають бути складені </w:t>
      </w:r>
      <w:r w:rsidRPr="008146B5">
        <w:rPr>
          <w:rFonts w:asciiTheme="minorHAnsi" w:hAnsiTheme="minorHAnsi" w:cstheme="minorHAnsi"/>
          <w:b/>
          <w:sz w:val="20"/>
          <w:lang w:val="uk-UA" w:bidi="uk-UA"/>
        </w:rPr>
        <w:t xml:space="preserve">польською мовою. </w:t>
      </w:r>
    </w:p>
    <w:p w14:paraId="39EC930E" w14:textId="77777777" w:rsidR="00973251" w:rsidRPr="008146B5" w:rsidRDefault="0044756F" w:rsidP="0045435E">
      <w:pPr>
        <w:numPr>
          <w:ilvl w:val="0"/>
          <w:numId w:val="2"/>
        </w:numPr>
        <w:spacing w:before="120"/>
        <w:ind w:left="426" w:hanging="356"/>
        <w:jc w:val="both"/>
        <w:rPr>
          <w:rFonts w:asciiTheme="minorHAnsi" w:hAnsiTheme="minorHAnsi" w:cstheme="minorHAnsi"/>
          <w:iCs/>
          <w:sz w:val="20"/>
          <w:szCs w:val="20"/>
          <w:lang w:val="ru-RU"/>
        </w:rPr>
      </w:pPr>
      <w:r w:rsidRPr="008146B5">
        <w:rPr>
          <w:rFonts w:asciiTheme="minorHAnsi" w:hAnsiTheme="minorHAnsi" w:cstheme="minorHAnsi"/>
          <w:sz w:val="20"/>
          <w:lang w:val="uk-UA" w:bidi="uk-UA"/>
        </w:rPr>
        <w:t xml:space="preserve">Подаючи судовий документ до суду, слід вказати </w:t>
      </w:r>
      <w:r w:rsidRPr="008146B5">
        <w:rPr>
          <w:rFonts w:asciiTheme="minorHAnsi" w:hAnsiTheme="minorHAnsi" w:cstheme="minorHAnsi"/>
          <w:b/>
          <w:sz w:val="20"/>
          <w:lang w:val="uk-UA" w:bidi="uk-UA"/>
        </w:rPr>
        <w:t>номер справи</w:t>
      </w:r>
      <w:r w:rsidRPr="008146B5">
        <w:rPr>
          <w:rFonts w:asciiTheme="minorHAnsi" w:hAnsiTheme="minorHAnsi" w:cstheme="minorHAnsi"/>
          <w:sz w:val="20"/>
          <w:lang w:val="uk-UA" w:bidi="uk-UA"/>
        </w:rPr>
        <w:t>, зазначений у цьому документі.</w:t>
      </w:r>
    </w:p>
    <w:p w14:paraId="43D24CE3" w14:textId="77777777" w:rsidR="00973251" w:rsidRPr="008146B5" w:rsidRDefault="0044756F" w:rsidP="0045435E">
      <w:pPr>
        <w:numPr>
          <w:ilvl w:val="0"/>
          <w:numId w:val="2"/>
        </w:numPr>
        <w:spacing w:before="120"/>
        <w:ind w:left="426" w:hanging="356"/>
        <w:jc w:val="both"/>
        <w:rPr>
          <w:rFonts w:asciiTheme="minorHAnsi" w:hAnsiTheme="minorHAnsi" w:cstheme="minorHAnsi"/>
          <w:iCs/>
          <w:sz w:val="20"/>
          <w:szCs w:val="20"/>
          <w:lang w:val="ru-RU"/>
        </w:rPr>
      </w:pPr>
      <w:r w:rsidRPr="008146B5">
        <w:rPr>
          <w:rFonts w:asciiTheme="minorHAnsi" w:hAnsiTheme="minorHAnsi" w:cstheme="minorHAnsi"/>
          <w:sz w:val="20"/>
          <w:lang w:val="uk-UA" w:bidi="uk-UA"/>
        </w:rPr>
        <w:t>До процесуального документа слід додати його копії та копії додатків для вручення їх особам, які беруть участь у справі, а також, якщо в суді не було подано оригіналів додатків, по одній копії кожного додатка до судової справи (ст. 128 § 1 ЦПК).</w:t>
      </w:r>
    </w:p>
    <w:p w14:paraId="75DC8145" w14:textId="77777777" w:rsidR="0044756F" w:rsidRPr="008146B5" w:rsidRDefault="0044756F" w:rsidP="0045435E">
      <w:pPr>
        <w:numPr>
          <w:ilvl w:val="0"/>
          <w:numId w:val="2"/>
        </w:numPr>
        <w:spacing w:before="120"/>
        <w:ind w:left="426" w:hanging="356"/>
        <w:jc w:val="both"/>
        <w:rPr>
          <w:rFonts w:asciiTheme="minorHAnsi" w:hAnsiTheme="minorHAnsi" w:cstheme="minorHAnsi"/>
          <w:iCs/>
          <w:sz w:val="20"/>
          <w:szCs w:val="20"/>
          <w:lang w:val="ru-RU"/>
        </w:rPr>
      </w:pPr>
      <w:r w:rsidRPr="008146B5">
        <w:rPr>
          <w:rFonts w:asciiTheme="minorHAnsi" w:hAnsiTheme="minorHAnsi" w:cstheme="minorHAnsi"/>
          <w:b/>
          <w:sz w:val="20"/>
          <w:lang w:val="uk-UA" w:bidi="uk-UA"/>
        </w:rPr>
        <w:t>Подання процесуального документа</w:t>
      </w:r>
      <w:r w:rsidRPr="008146B5">
        <w:rPr>
          <w:rFonts w:asciiTheme="minorHAnsi" w:hAnsiTheme="minorHAnsi" w:cstheme="minorHAnsi"/>
          <w:sz w:val="20"/>
          <w:lang w:val="uk-UA" w:bidi="uk-UA"/>
        </w:rPr>
        <w:t xml:space="preserve"> у польському відділенні оператора, що надає універсальні поштові послуги на території Республіки Польща, або в закордонному поштовому відділенні оператора, що надає універсальні поштові послуги на території іншої держави-члена Європейського Союзу, є </w:t>
      </w:r>
      <w:r w:rsidRPr="008146B5">
        <w:rPr>
          <w:rFonts w:asciiTheme="minorHAnsi" w:hAnsiTheme="minorHAnsi" w:cstheme="minorHAnsi"/>
          <w:b/>
          <w:sz w:val="20"/>
          <w:lang w:val="uk-UA" w:bidi="uk-UA"/>
        </w:rPr>
        <w:t xml:space="preserve">рівнозначним </w:t>
      </w:r>
      <w:r w:rsidRPr="008146B5">
        <w:rPr>
          <w:rFonts w:asciiTheme="minorHAnsi" w:hAnsiTheme="minorHAnsi" w:cstheme="minorHAnsi"/>
          <w:b/>
          <w:sz w:val="20"/>
          <w:lang w:val="uk-UA" w:bidi="uk-UA"/>
        </w:rPr>
        <w:lastRenderedPageBreak/>
        <w:t>його подачі до суду</w:t>
      </w:r>
      <w:r w:rsidRPr="008146B5">
        <w:rPr>
          <w:rFonts w:asciiTheme="minorHAnsi" w:hAnsiTheme="minorHAnsi" w:cstheme="minorHAnsi"/>
          <w:sz w:val="20"/>
          <w:lang w:val="uk-UA" w:bidi="uk-UA"/>
        </w:rPr>
        <w:t xml:space="preserve"> (ст. 165 § 2 ЦПК). Те саме стосується подання процесуального документа військовослужбовцем до командування військової частини або особою, позбавленою волі, до адміністрації виправної установи, а також членом екіпажу польського морського судна капітану судна (ст. 165 § 3 ЦПК).</w:t>
      </w:r>
    </w:p>
    <w:sectPr w:rsidR="0044756F" w:rsidRPr="008146B5" w:rsidSect="0056301A">
      <w:footerReference w:type="default" r:id="rId7"/>
      <w:pgSz w:w="12240" w:h="15840"/>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943B" w14:textId="77777777" w:rsidR="00741C61" w:rsidRDefault="00741C61" w:rsidP="000922E4">
      <w:r>
        <w:separator/>
      </w:r>
    </w:p>
  </w:endnote>
  <w:endnote w:type="continuationSeparator" w:id="0">
    <w:p w14:paraId="5122105C" w14:textId="77777777" w:rsidR="00741C61" w:rsidRDefault="00741C61" w:rsidP="0009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3AA9" w14:textId="77777777" w:rsidR="00791D41" w:rsidRDefault="00791D41">
    <w:pPr>
      <w:pStyle w:val="Stopka"/>
      <w:jc w:val="center"/>
    </w:pPr>
    <w:r>
      <w:rPr>
        <w:lang w:val="uk-UA" w:bidi="uk-UA"/>
      </w:rPr>
      <w:fldChar w:fldCharType="begin"/>
    </w:r>
    <w:r>
      <w:rPr>
        <w:lang w:val="uk-UA" w:bidi="uk-UA"/>
      </w:rPr>
      <w:instrText>PAGE   \* MERGEFORMAT</w:instrText>
    </w:r>
    <w:r>
      <w:rPr>
        <w:lang w:val="uk-UA" w:bidi="uk-UA"/>
      </w:rPr>
      <w:fldChar w:fldCharType="separate"/>
    </w:r>
    <w:r>
      <w:rPr>
        <w:lang w:val="uk-UA" w:bidi="uk-UA"/>
      </w:rPr>
      <w:t>2</w:t>
    </w:r>
    <w:r>
      <w:rPr>
        <w:lang w:val="uk-UA" w:bidi="uk-UA"/>
      </w:rPr>
      <w:fldChar w:fldCharType="end"/>
    </w:r>
  </w:p>
  <w:p w14:paraId="32821B32" w14:textId="77777777" w:rsidR="00791D41" w:rsidRDefault="00791D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068C" w14:textId="77777777" w:rsidR="00741C61" w:rsidRDefault="00741C61" w:rsidP="000922E4">
      <w:r>
        <w:separator/>
      </w:r>
    </w:p>
  </w:footnote>
  <w:footnote w:type="continuationSeparator" w:id="0">
    <w:p w14:paraId="5CB5E9AD" w14:textId="77777777" w:rsidR="00741C61" w:rsidRDefault="00741C61" w:rsidP="00092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B9D"/>
    <w:multiLevelType w:val="hybridMultilevel"/>
    <w:tmpl w:val="8D20804A"/>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9EF41A7"/>
    <w:multiLevelType w:val="hybridMultilevel"/>
    <w:tmpl w:val="AC2A6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6A157F"/>
    <w:multiLevelType w:val="hybridMultilevel"/>
    <w:tmpl w:val="011E186E"/>
    <w:lvl w:ilvl="0" w:tplc="8594F7F6">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B2D06F0"/>
    <w:multiLevelType w:val="hybridMultilevel"/>
    <w:tmpl w:val="A88447EA"/>
    <w:lvl w:ilvl="0" w:tplc="61F2F6B6">
      <w:start w:val="1"/>
      <w:numFmt w:val="upperRoman"/>
      <w:lvlText w:val="%1."/>
      <w:lvlJc w:val="right"/>
      <w:pPr>
        <w:ind w:left="36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F91575B"/>
    <w:multiLevelType w:val="hybridMultilevel"/>
    <w:tmpl w:val="FA52E8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1687A44"/>
    <w:multiLevelType w:val="hybridMultilevel"/>
    <w:tmpl w:val="C0C852EC"/>
    <w:lvl w:ilvl="0" w:tplc="524ED2C4">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7A6119"/>
    <w:multiLevelType w:val="hybridMultilevel"/>
    <w:tmpl w:val="7B1440C2"/>
    <w:lvl w:ilvl="0" w:tplc="DE8E880A">
      <w:start w:val="1"/>
      <w:numFmt w:val="upperRoman"/>
      <w:lvlText w:val="%1."/>
      <w:lvlJc w:val="right"/>
      <w:pPr>
        <w:ind w:left="360" w:hanging="360"/>
      </w:pPr>
      <w:rPr>
        <w:b w:val="0"/>
      </w:rPr>
    </w:lvl>
    <w:lvl w:ilvl="1" w:tplc="04150001">
      <w:start w:val="1"/>
      <w:numFmt w:val="bullet"/>
      <w:lvlText w:val=""/>
      <w:lvlJc w:val="left"/>
      <w:pPr>
        <w:ind w:left="928"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D550E5E"/>
    <w:multiLevelType w:val="hybridMultilevel"/>
    <w:tmpl w:val="DD8494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540B5F17"/>
    <w:multiLevelType w:val="hybridMultilevel"/>
    <w:tmpl w:val="E8E67356"/>
    <w:lvl w:ilvl="0" w:tplc="4F90BCEA">
      <w:start w:val="1"/>
      <w:numFmt w:val="upperRoman"/>
      <w:lvlText w:val="%1."/>
      <w:lvlJc w:val="right"/>
      <w:pPr>
        <w:ind w:left="360" w:hanging="360"/>
      </w:pPr>
      <w:rPr>
        <w:rFonts w:ascii="Calibri" w:hAnsi="Calibri" w:hint="default"/>
        <w:b w:val="0"/>
        <w:sz w:val="20"/>
        <w:szCs w:val="20"/>
      </w:rPr>
    </w:lvl>
    <w:lvl w:ilvl="1" w:tplc="04150019">
      <w:start w:val="1"/>
      <w:numFmt w:val="lowerLetter"/>
      <w:lvlText w:val="%2."/>
      <w:lvlJc w:val="left"/>
      <w:pPr>
        <w:ind w:left="1800" w:hanging="360"/>
      </w:pPr>
    </w:lvl>
    <w:lvl w:ilvl="2" w:tplc="25D6D398">
      <w:start w:val="1"/>
      <w:numFmt w:val="lowerLetter"/>
      <w:lvlText w:val="%3)"/>
      <w:lvlJc w:val="left"/>
      <w:pPr>
        <w:ind w:left="2700" w:hanging="360"/>
      </w:pPr>
      <w:rPr>
        <w:rFonts w:cs="Times New Roman"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95D1BF7"/>
    <w:multiLevelType w:val="hybridMultilevel"/>
    <w:tmpl w:val="FD84728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0" w15:restartNumberingAfterBreak="0">
    <w:nsid w:val="6B113864"/>
    <w:multiLevelType w:val="hybridMultilevel"/>
    <w:tmpl w:val="93083406"/>
    <w:lvl w:ilvl="0" w:tplc="0415000F">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203316F"/>
    <w:multiLevelType w:val="hybridMultilevel"/>
    <w:tmpl w:val="702CD5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60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74913CFB"/>
    <w:multiLevelType w:val="hybridMultilevel"/>
    <w:tmpl w:val="C78CF08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7">
      <w:start w:val="1"/>
      <w:numFmt w:val="lowerLetter"/>
      <w:lvlText w:val="%3)"/>
      <w:lvlJc w:val="left"/>
      <w:pPr>
        <w:ind w:left="606"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3" w15:restartNumberingAfterBreak="0">
    <w:nsid w:val="7EF1354D"/>
    <w:multiLevelType w:val="hybridMultilevel"/>
    <w:tmpl w:val="CAEEBB50"/>
    <w:lvl w:ilvl="0" w:tplc="6C742AD4">
      <w:start w:val="1"/>
      <w:numFmt w:val="upperRoman"/>
      <w:lvlText w:val="%1."/>
      <w:lvlJc w:val="right"/>
      <w:pPr>
        <w:ind w:left="36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97887146">
    <w:abstractNumId w:val="5"/>
  </w:num>
  <w:num w:numId="2" w16cid:durableId="1030104831">
    <w:abstractNumId w:val="8"/>
  </w:num>
  <w:num w:numId="3" w16cid:durableId="1165974300">
    <w:abstractNumId w:val="2"/>
  </w:num>
  <w:num w:numId="4" w16cid:durableId="415250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073744">
    <w:abstractNumId w:val="6"/>
  </w:num>
  <w:num w:numId="6" w16cid:durableId="715740127">
    <w:abstractNumId w:val="9"/>
  </w:num>
  <w:num w:numId="7" w16cid:durableId="1292130458">
    <w:abstractNumId w:val="0"/>
  </w:num>
  <w:num w:numId="8" w16cid:durableId="1720593892">
    <w:abstractNumId w:val="4"/>
  </w:num>
  <w:num w:numId="9" w16cid:durableId="879824173">
    <w:abstractNumId w:val="13"/>
  </w:num>
  <w:num w:numId="10" w16cid:durableId="852843273">
    <w:abstractNumId w:val="12"/>
  </w:num>
  <w:num w:numId="11" w16cid:durableId="1105811222">
    <w:abstractNumId w:val="7"/>
  </w:num>
  <w:num w:numId="12" w16cid:durableId="843669867">
    <w:abstractNumId w:val="11"/>
  </w:num>
  <w:num w:numId="13" w16cid:durableId="104732878">
    <w:abstractNumId w:val="3"/>
  </w:num>
  <w:num w:numId="14" w16cid:durableId="1057824096">
    <w:abstractNumId w:val="10"/>
  </w:num>
  <w:num w:numId="15" w16cid:durableId="680546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72B88"/>
    <w:rsid w:val="00001F79"/>
    <w:rsid w:val="00015859"/>
    <w:rsid w:val="00021B6A"/>
    <w:rsid w:val="000221A0"/>
    <w:rsid w:val="00036C62"/>
    <w:rsid w:val="00042EBC"/>
    <w:rsid w:val="00053C3F"/>
    <w:rsid w:val="00060ABD"/>
    <w:rsid w:val="00060D6A"/>
    <w:rsid w:val="000922E4"/>
    <w:rsid w:val="00092333"/>
    <w:rsid w:val="00097367"/>
    <w:rsid w:val="00097517"/>
    <w:rsid w:val="000A7E18"/>
    <w:rsid w:val="000B2B88"/>
    <w:rsid w:val="000C5920"/>
    <w:rsid w:val="000D4F8F"/>
    <w:rsid w:val="000D6AB1"/>
    <w:rsid w:val="00106297"/>
    <w:rsid w:val="00124DF3"/>
    <w:rsid w:val="00137B0D"/>
    <w:rsid w:val="00140510"/>
    <w:rsid w:val="001518D4"/>
    <w:rsid w:val="00152B45"/>
    <w:rsid w:val="00161F41"/>
    <w:rsid w:val="00165B84"/>
    <w:rsid w:val="00171290"/>
    <w:rsid w:val="00191A2D"/>
    <w:rsid w:val="001A22F0"/>
    <w:rsid w:val="001B0A11"/>
    <w:rsid w:val="001C570C"/>
    <w:rsid w:val="001E10ED"/>
    <w:rsid w:val="001E528D"/>
    <w:rsid w:val="001F24C3"/>
    <w:rsid w:val="001F7EAD"/>
    <w:rsid w:val="00230C62"/>
    <w:rsid w:val="002459D0"/>
    <w:rsid w:val="00251F7C"/>
    <w:rsid w:val="00261061"/>
    <w:rsid w:val="002874D9"/>
    <w:rsid w:val="0029326E"/>
    <w:rsid w:val="00297041"/>
    <w:rsid w:val="002D4B40"/>
    <w:rsid w:val="002E292D"/>
    <w:rsid w:val="002E6094"/>
    <w:rsid w:val="002F43BD"/>
    <w:rsid w:val="002F69C6"/>
    <w:rsid w:val="00326EDF"/>
    <w:rsid w:val="0033267A"/>
    <w:rsid w:val="00343704"/>
    <w:rsid w:val="00345A26"/>
    <w:rsid w:val="0035065E"/>
    <w:rsid w:val="00351608"/>
    <w:rsid w:val="00366614"/>
    <w:rsid w:val="003742A8"/>
    <w:rsid w:val="00377543"/>
    <w:rsid w:val="003A3E11"/>
    <w:rsid w:val="003A5BBF"/>
    <w:rsid w:val="0040091A"/>
    <w:rsid w:val="00412E66"/>
    <w:rsid w:val="00413B66"/>
    <w:rsid w:val="004229A8"/>
    <w:rsid w:val="00431391"/>
    <w:rsid w:val="00437F9D"/>
    <w:rsid w:val="00441A24"/>
    <w:rsid w:val="0044756F"/>
    <w:rsid w:val="00450982"/>
    <w:rsid w:val="0045435E"/>
    <w:rsid w:val="0045527A"/>
    <w:rsid w:val="00456E4F"/>
    <w:rsid w:val="004632F4"/>
    <w:rsid w:val="00483E54"/>
    <w:rsid w:val="004871E9"/>
    <w:rsid w:val="004A08D0"/>
    <w:rsid w:val="004B5254"/>
    <w:rsid w:val="004D3480"/>
    <w:rsid w:val="004E621E"/>
    <w:rsid w:val="005005BA"/>
    <w:rsid w:val="00527FED"/>
    <w:rsid w:val="00554D27"/>
    <w:rsid w:val="00560157"/>
    <w:rsid w:val="005607EE"/>
    <w:rsid w:val="0056301A"/>
    <w:rsid w:val="005762D0"/>
    <w:rsid w:val="005820C2"/>
    <w:rsid w:val="005B0C9C"/>
    <w:rsid w:val="005C19B0"/>
    <w:rsid w:val="005C2996"/>
    <w:rsid w:val="005C3422"/>
    <w:rsid w:val="005D750A"/>
    <w:rsid w:val="005E7BD2"/>
    <w:rsid w:val="005F1848"/>
    <w:rsid w:val="0060329F"/>
    <w:rsid w:val="00611290"/>
    <w:rsid w:val="00617E10"/>
    <w:rsid w:val="0062057D"/>
    <w:rsid w:val="0063413F"/>
    <w:rsid w:val="006369EE"/>
    <w:rsid w:val="006423C2"/>
    <w:rsid w:val="0064626A"/>
    <w:rsid w:val="006575E0"/>
    <w:rsid w:val="00672F1F"/>
    <w:rsid w:val="006735C8"/>
    <w:rsid w:val="00683EA6"/>
    <w:rsid w:val="00686A58"/>
    <w:rsid w:val="006B0F1E"/>
    <w:rsid w:val="006B26A2"/>
    <w:rsid w:val="006D2749"/>
    <w:rsid w:val="006D3463"/>
    <w:rsid w:val="006D3989"/>
    <w:rsid w:val="007038A7"/>
    <w:rsid w:val="007140DF"/>
    <w:rsid w:val="007148F2"/>
    <w:rsid w:val="007160F5"/>
    <w:rsid w:val="00725655"/>
    <w:rsid w:val="00726BE9"/>
    <w:rsid w:val="00736459"/>
    <w:rsid w:val="00741C61"/>
    <w:rsid w:val="00756913"/>
    <w:rsid w:val="007615A6"/>
    <w:rsid w:val="00766A9C"/>
    <w:rsid w:val="00774782"/>
    <w:rsid w:val="00775AC7"/>
    <w:rsid w:val="00791D41"/>
    <w:rsid w:val="007E1CB5"/>
    <w:rsid w:val="007E1E5B"/>
    <w:rsid w:val="007E2331"/>
    <w:rsid w:val="007E617E"/>
    <w:rsid w:val="007F1115"/>
    <w:rsid w:val="008009FA"/>
    <w:rsid w:val="0080407C"/>
    <w:rsid w:val="00806B55"/>
    <w:rsid w:val="008146B5"/>
    <w:rsid w:val="00824F3A"/>
    <w:rsid w:val="00832743"/>
    <w:rsid w:val="0084531A"/>
    <w:rsid w:val="00852201"/>
    <w:rsid w:val="0085423F"/>
    <w:rsid w:val="0086061C"/>
    <w:rsid w:val="008627CB"/>
    <w:rsid w:val="00863ACE"/>
    <w:rsid w:val="00864AAE"/>
    <w:rsid w:val="00894697"/>
    <w:rsid w:val="008B24FC"/>
    <w:rsid w:val="008B7222"/>
    <w:rsid w:val="008C0D17"/>
    <w:rsid w:val="008E6006"/>
    <w:rsid w:val="008E63E4"/>
    <w:rsid w:val="008E79A0"/>
    <w:rsid w:val="008E7AD7"/>
    <w:rsid w:val="008F1EAB"/>
    <w:rsid w:val="008F69D2"/>
    <w:rsid w:val="00923980"/>
    <w:rsid w:val="00924438"/>
    <w:rsid w:val="00926266"/>
    <w:rsid w:val="009279BA"/>
    <w:rsid w:val="0094239A"/>
    <w:rsid w:val="009457E2"/>
    <w:rsid w:val="009562A1"/>
    <w:rsid w:val="00970680"/>
    <w:rsid w:val="00973251"/>
    <w:rsid w:val="00977FDC"/>
    <w:rsid w:val="00993E13"/>
    <w:rsid w:val="009959B1"/>
    <w:rsid w:val="009A345D"/>
    <w:rsid w:val="009A5914"/>
    <w:rsid w:val="009B5667"/>
    <w:rsid w:val="009C22F8"/>
    <w:rsid w:val="009C64A3"/>
    <w:rsid w:val="009F43A6"/>
    <w:rsid w:val="009F56AF"/>
    <w:rsid w:val="00A007BD"/>
    <w:rsid w:val="00A10954"/>
    <w:rsid w:val="00A11FB7"/>
    <w:rsid w:val="00A16767"/>
    <w:rsid w:val="00A27A95"/>
    <w:rsid w:val="00A3475B"/>
    <w:rsid w:val="00A60DC3"/>
    <w:rsid w:val="00A91163"/>
    <w:rsid w:val="00A9520A"/>
    <w:rsid w:val="00A95BD8"/>
    <w:rsid w:val="00AA18AB"/>
    <w:rsid w:val="00AB24EC"/>
    <w:rsid w:val="00AB6215"/>
    <w:rsid w:val="00AB7AA2"/>
    <w:rsid w:val="00AE7C70"/>
    <w:rsid w:val="00AF0131"/>
    <w:rsid w:val="00AF3BA2"/>
    <w:rsid w:val="00B00454"/>
    <w:rsid w:val="00B00786"/>
    <w:rsid w:val="00B04461"/>
    <w:rsid w:val="00B0754D"/>
    <w:rsid w:val="00B07BD0"/>
    <w:rsid w:val="00B17D5A"/>
    <w:rsid w:val="00B26627"/>
    <w:rsid w:val="00B43E25"/>
    <w:rsid w:val="00B47D98"/>
    <w:rsid w:val="00B630D3"/>
    <w:rsid w:val="00B64AA3"/>
    <w:rsid w:val="00B76BF1"/>
    <w:rsid w:val="00B81212"/>
    <w:rsid w:val="00B82C95"/>
    <w:rsid w:val="00BB3C90"/>
    <w:rsid w:val="00BC3F6F"/>
    <w:rsid w:val="00BC692B"/>
    <w:rsid w:val="00BD5258"/>
    <w:rsid w:val="00BE40FD"/>
    <w:rsid w:val="00BF2A40"/>
    <w:rsid w:val="00BF2C53"/>
    <w:rsid w:val="00C01C04"/>
    <w:rsid w:val="00C104CB"/>
    <w:rsid w:val="00C11692"/>
    <w:rsid w:val="00C1481C"/>
    <w:rsid w:val="00C5571A"/>
    <w:rsid w:val="00C607AB"/>
    <w:rsid w:val="00C668DF"/>
    <w:rsid w:val="00C81F8A"/>
    <w:rsid w:val="00C85791"/>
    <w:rsid w:val="00CB528D"/>
    <w:rsid w:val="00CB64AF"/>
    <w:rsid w:val="00CB7E69"/>
    <w:rsid w:val="00CF3479"/>
    <w:rsid w:val="00CF562F"/>
    <w:rsid w:val="00D020E9"/>
    <w:rsid w:val="00D10916"/>
    <w:rsid w:val="00D12720"/>
    <w:rsid w:val="00D35BFD"/>
    <w:rsid w:val="00D40F88"/>
    <w:rsid w:val="00D51E8F"/>
    <w:rsid w:val="00D52761"/>
    <w:rsid w:val="00D57F3A"/>
    <w:rsid w:val="00D622D1"/>
    <w:rsid w:val="00D64768"/>
    <w:rsid w:val="00D65089"/>
    <w:rsid w:val="00D72F08"/>
    <w:rsid w:val="00D82B6E"/>
    <w:rsid w:val="00D865F0"/>
    <w:rsid w:val="00D903D9"/>
    <w:rsid w:val="00D9224D"/>
    <w:rsid w:val="00DA718D"/>
    <w:rsid w:val="00DB4BE3"/>
    <w:rsid w:val="00DB652A"/>
    <w:rsid w:val="00DE284D"/>
    <w:rsid w:val="00DE6EA1"/>
    <w:rsid w:val="00DF3F40"/>
    <w:rsid w:val="00DF4E60"/>
    <w:rsid w:val="00E16298"/>
    <w:rsid w:val="00E168B1"/>
    <w:rsid w:val="00E2189C"/>
    <w:rsid w:val="00E40416"/>
    <w:rsid w:val="00E40807"/>
    <w:rsid w:val="00E4181D"/>
    <w:rsid w:val="00E5647D"/>
    <w:rsid w:val="00E633C3"/>
    <w:rsid w:val="00E6531D"/>
    <w:rsid w:val="00E66A44"/>
    <w:rsid w:val="00E72B88"/>
    <w:rsid w:val="00E772EA"/>
    <w:rsid w:val="00E869C9"/>
    <w:rsid w:val="00E90DE5"/>
    <w:rsid w:val="00EA3D33"/>
    <w:rsid w:val="00EC2BBF"/>
    <w:rsid w:val="00ED2E48"/>
    <w:rsid w:val="00ED582B"/>
    <w:rsid w:val="00EE7F7E"/>
    <w:rsid w:val="00EF1FC2"/>
    <w:rsid w:val="00EF3A62"/>
    <w:rsid w:val="00F35E91"/>
    <w:rsid w:val="00F52B5E"/>
    <w:rsid w:val="00F544A4"/>
    <w:rsid w:val="00F60042"/>
    <w:rsid w:val="00F70B3D"/>
    <w:rsid w:val="00F73F99"/>
    <w:rsid w:val="00F746B3"/>
    <w:rsid w:val="00F84407"/>
    <w:rsid w:val="00FB0435"/>
    <w:rsid w:val="00FB3FA2"/>
    <w:rsid w:val="00FE6068"/>
    <w:rsid w:val="00FE72B4"/>
    <w:rsid w:val="00FF373C"/>
    <w:rsid w:val="00FF4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66A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2B88"/>
    <w:rPr>
      <w:rFonts w:ascii="Times New Roman" w:eastAsia="Times New Roman" w:hAnsi="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gindeksgrny">
    <w:name w:val="igindeksgrny"/>
    <w:rsid w:val="00E6531D"/>
  </w:style>
  <w:style w:type="paragraph" w:customStyle="1" w:styleId="zartzmartartykuempunktem">
    <w:name w:val="zartzmartartykuempunktem"/>
    <w:basedOn w:val="Normalny"/>
    <w:rsid w:val="001E528D"/>
    <w:pPr>
      <w:spacing w:before="100" w:beforeAutospacing="1" w:after="100" w:afterAutospacing="1"/>
    </w:pPr>
  </w:style>
  <w:style w:type="paragraph" w:customStyle="1" w:styleId="zustzmustartykuempunktem">
    <w:name w:val="zustzmustartykuempunktem"/>
    <w:basedOn w:val="Normalny"/>
    <w:rsid w:val="001E528D"/>
    <w:pPr>
      <w:spacing w:before="100" w:beforeAutospacing="1" w:after="100" w:afterAutospacing="1"/>
    </w:pPr>
  </w:style>
  <w:style w:type="paragraph" w:styleId="Tekstprzypisukocowego">
    <w:name w:val="endnote text"/>
    <w:basedOn w:val="Normalny"/>
    <w:link w:val="TekstprzypisukocowegoZnak"/>
    <w:uiPriority w:val="99"/>
    <w:semiHidden/>
    <w:unhideWhenUsed/>
    <w:rsid w:val="000922E4"/>
    <w:rPr>
      <w:sz w:val="20"/>
      <w:szCs w:val="20"/>
    </w:rPr>
  </w:style>
  <w:style w:type="character" w:customStyle="1" w:styleId="TekstprzypisukocowegoZnak">
    <w:name w:val="Tekst przypisu końcowego Znak"/>
    <w:link w:val="Tekstprzypisukocowego"/>
    <w:uiPriority w:val="99"/>
    <w:semiHidden/>
    <w:rsid w:val="000922E4"/>
    <w:rPr>
      <w:rFonts w:ascii="Times New Roman" w:eastAsia="Times New Roman" w:hAnsi="Times New Roman"/>
    </w:rPr>
  </w:style>
  <w:style w:type="character" w:styleId="Odwoanieprzypisukocowego">
    <w:name w:val="endnote reference"/>
    <w:uiPriority w:val="99"/>
    <w:semiHidden/>
    <w:unhideWhenUsed/>
    <w:rsid w:val="000922E4"/>
    <w:rPr>
      <w:vertAlign w:val="superscript"/>
    </w:rPr>
  </w:style>
  <w:style w:type="paragraph" w:styleId="Nagwek">
    <w:name w:val="header"/>
    <w:basedOn w:val="Normalny"/>
    <w:link w:val="NagwekZnak"/>
    <w:uiPriority w:val="99"/>
    <w:unhideWhenUsed/>
    <w:rsid w:val="00791D41"/>
    <w:pPr>
      <w:tabs>
        <w:tab w:val="center" w:pos="4536"/>
        <w:tab w:val="right" w:pos="9072"/>
      </w:tabs>
    </w:pPr>
  </w:style>
  <w:style w:type="character" w:customStyle="1" w:styleId="NagwekZnak">
    <w:name w:val="Nagłówek Znak"/>
    <w:link w:val="Nagwek"/>
    <w:uiPriority w:val="99"/>
    <w:rsid w:val="00791D41"/>
    <w:rPr>
      <w:rFonts w:ascii="Times New Roman" w:eastAsia="Times New Roman" w:hAnsi="Times New Roman"/>
      <w:sz w:val="24"/>
      <w:szCs w:val="24"/>
    </w:rPr>
  </w:style>
  <w:style w:type="paragraph" w:styleId="Stopka">
    <w:name w:val="footer"/>
    <w:basedOn w:val="Normalny"/>
    <w:link w:val="StopkaZnak"/>
    <w:uiPriority w:val="99"/>
    <w:unhideWhenUsed/>
    <w:rsid w:val="00791D41"/>
    <w:pPr>
      <w:tabs>
        <w:tab w:val="center" w:pos="4536"/>
        <w:tab w:val="right" w:pos="9072"/>
      </w:tabs>
    </w:pPr>
  </w:style>
  <w:style w:type="character" w:customStyle="1" w:styleId="StopkaZnak">
    <w:name w:val="Stopka Znak"/>
    <w:link w:val="Stopka"/>
    <w:uiPriority w:val="99"/>
    <w:rsid w:val="00791D41"/>
    <w:rPr>
      <w:rFonts w:ascii="Times New Roman" w:eastAsia="Times New Roman" w:hAnsi="Times New Roman"/>
      <w:sz w:val="24"/>
      <w:szCs w:val="24"/>
    </w:rPr>
  </w:style>
  <w:style w:type="paragraph" w:styleId="Akapitzlist">
    <w:name w:val="List Paragraph"/>
    <w:basedOn w:val="Normalny"/>
    <w:uiPriority w:val="34"/>
    <w:qFormat/>
    <w:rsid w:val="00F73F9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30234">
      <w:bodyDiv w:val="1"/>
      <w:marLeft w:val="0"/>
      <w:marRight w:val="0"/>
      <w:marTop w:val="0"/>
      <w:marBottom w:val="0"/>
      <w:divBdr>
        <w:top w:val="none" w:sz="0" w:space="0" w:color="auto"/>
        <w:left w:val="none" w:sz="0" w:space="0" w:color="auto"/>
        <w:bottom w:val="none" w:sz="0" w:space="0" w:color="auto"/>
        <w:right w:val="none" w:sz="0" w:space="0" w:color="auto"/>
      </w:divBdr>
    </w:div>
    <w:div w:id="460420120">
      <w:bodyDiv w:val="1"/>
      <w:marLeft w:val="0"/>
      <w:marRight w:val="0"/>
      <w:marTop w:val="0"/>
      <w:marBottom w:val="0"/>
      <w:divBdr>
        <w:top w:val="none" w:sz="0" w:space="0" w:color="auto"/>
        <w:left w:val="none" w:sz="0" w:space="0" w:color="auto"/>
        <w:bottom w:val="none" w:sz="0" w:space="0" w:color="auto"/>
        <w:right w:val="none" w:sz="0" w:space="0" w:color="auto"/>
      </w:divBdr>
    </w:div>
    <w:div w:id="495416250">
      <w:bodyDiv w:val="1"/>
      <w:marLeft w:val="0"/>
      <w:marRight w:val="0"/>
      <w:marTop w:val="0"/>
      <w:marBottom w:val="0"/>
      <w:divBdr>
        <w:top w:val="none" w:sz="0" w:space="0" w:color="auto"/>
        <w:left w:val="none" w:sz="0" w:space="0" w:color="auto"/>
        <w:bottom w:val="none" w:sz="0" w:space="0" w:color="auto"/>
        <w:right w:val="none" w:sz="0" w:space="0" w:color="auto"/>
      </w:divBdr>
    </w:div>
    <w:div w:id="804158680">
      <w:bodyDiv w:val="1"/>
      <w:marLeft w:val="0"/>
      <w:marRight w:val="0"/>
      <w:marTop w:val="0"/>
      <w:marBottom w:val="0"/>
      <w:divBdr>
        <w:top w:val="none" w:sz="0" w:space="0" w:color="auto"/>
        <w:left w:val="none" w:sz="0" w:space="0" w:color="auto"/>
        <w:bottom w:val="none" w:sz="0" w:space="0" w:color="auto"/>
        <w:right w:val="none" w:sz="0" w:space="0" w:color="auto"/>
      </w:divBdr>
    </w:div>
    <w:div w:id="1194030896">
      <w:bodyDiv w:val="1"/>
      <w:marLeft w:val="0"/>
      <w:marRight w:val="0"/>
      <w:marTop w:val="0"/>
      <w:marBottom w:val="0"/>
      <w:divBdr>
        <w:top w:val="none" w:sz="0" w:space="0" w:color="auto"/>
        <w:left w:val="none" w:sz="0" w:space="0" w:color="auto"/>
        <w:bottom w:val="none" w:sz="0" w:space="0" w:color="auto"/>
        <w:right w:val="none" w:sz="0" w:space="0" w:color="auto"/>
      </w:divBdr>
    </w:div>
    <w:div w:id="1501500990">
      <w:bodyDiv w:val="1"/>
      <w:marLeft w:val="0"/>
      <w:marRight w:val="0"/>
      <w:marTop w:val="0"/>
      <w:marBottom w:val="0"/>
      <w:divBdr>
        <w:top w:val="none" w:sz="0" w:space="0" w:color="auto"/>
        <w:left w:val="none" w:sz="0" w:space="0" w:color="auto"/>
        <w:bottom w:val="none" w:sz="0" w:space="0" w:color="auto"/>
        <w:right w:val="none" w:sz="0" w:space="0" w:color="auto"/>
      </w:divBdr>
    </w:div>
    <w:div w:id="1585995817">
      <w:bodyDiv w:val="1"/>
      <w:marLeft w:val="0"/>
      <w:marRight w:val="0"/>
      <w:marTop w:val="0"/>
      <w:marBottom w:val="0"/>
      <w:divBdr>
        <w:top w:val="none" w:sz="0" w:space="0" w:color="auto"/>
        <w:left w:val="none" w:sz="0" w:space="0" w:color="auto"/>
        <w:bottom w:val="none" w:sz="0" w:space="0" w:color="auto"/>
        <w:right w:val="none" w:sz="0" w:space="0" w:color="auto"/>
      </w:divBdr>
    </w:div>
    <w:div w:id="1910799612">
      <w:bodyDiv w:val="1"/>
      <w:marLeft w:val="0"/>
      <w:marRight w:val="0"/>
      <w:marTop w:val="0"/>
      <w:marBottom w:val="0"/>
      <w:divBdr>
        <w:top w:val="none" w:sz="0" w:space="0" w:color="auto"/>
        <w:left w:val="none" w:sz="0" w:space="0" w:color="auto"/>
        <w:bottom w:val="none" w:sz="0" w:space="0" w:color="auto"/>
        <w:right w:val="none" w:sz="0" w:space="0" w:color="auto"/>
      </w:divBdr>
    </w:div>
    <w:div w:id="20349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2252</Words>
  <Characters>13400</Characters>
  <Application>Microsoft Office Word</Application>
  <DocSecurity>0</DocSecurity>
  <Lines>190</Lines>
  <Paragraphs>61</Paragraphs>
  <ScaleCrop>false</ScaleCrop>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2026-03-20T11:04:00Z</dcterms:created>
  <dcterms:modified xsi:type="dcterms:W3CDTF">2026-03-20T11:05:00Z</dcterms:modified>
</cp:coreProperties>
</file>