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90446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I.    Uwagi do wzorów tablic</w:t>
      </w:r>
    </w:p>
    <w:p w14:paraId="3635ACA0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Współzależności między cechami występującymi w tablicach muszą spełniać warunki występujące w Kodeksie karnym i ustawach szczególnych. Należy opracować kontrolę danych w celu </w:t>
      </w:r>
      <w:r>
        <w:rPr>
          <w:rFonts w:ascii="Arial" w:hAnsi="Arial" w:cs="Arial"/>
          <w:sz w:val="20"/>
          <w:szCs w:val="20"/>
        </w:rPr>
        <w:br/>
        <w:t xml:space="preserve">wyeliminowania błędów wynikających z braku korelacji z przepisami występującymi w Kodeksie karnym i ustawach szczególnych.  </w:t>
      </w:r>
    </w:p>
    <w:p w14:paraId="442C3CA2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Przedstawione wzory tablic są otwarte.</w:t>
      </w:r>
    </w:p>
    <w:p w14:paraId="701EE9C4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roku boczek tablic zmienia się w zależności od występujących przestępstw.</w:t>
      </w:r>
    </w:p>
    <w:p w14:paraId="6CFAF904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każdej tablicy występują podane zakresy przestępstw, rodzaje orzeczeń, wysokości wymiaru kar. Przed wykonaniem tabel należy sprawdzić, jakie informacje występują w zbiorze danych i odpowiednio dostosować nagłówki tabel.</w:t>
      </w:r>
    </w:p>
    <w:p w14:paraId="732FEF2F" w14:textId="6FEE5BED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tablice powinny być wykonane i przekazane w plikach (.pdf) sformatowanych w sposób umożliwiający czytelny i przejrzysty wydruk na papierze o rozmiarze A3,  oraz w plikach w formacie zgodnym z arkuszem MS Excel</w:t>
      </w:r>
      <w:r w:rsidR="00094063">
        <w:rPr>
          <w:rFonts w:ascii="Arial" w:hAnsi="Arial" w:cs="Arial"/>
          <w:sz w:val="20"/>
          <w:szCs w:val="20"/>
        </w:rPr>
        <w:t xml:space="preserve"> 365</w:t>
      </w:r>
      <w:r>
        <w:rPr>
          <w:rFonts w:ascii="Arial" w:hAnsi="Arial" w:cs="Arial"/>
          <w:sz w:val="20"/>
          <w:szCs w:val="20"/>
        </w:rPr>
        <w:t>, którego format będzie umożliwiał wykonywanie dalszych obliczeń.</w:t>
      </w:r>
    </w:p>
    <w:p w14:paraId="10F7CB19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0D373CA7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II.    Wzory tablic</w:t>
      </w:r>
    </w:p>
    <w:p w14:paraId="1B1E797C" w14:textId="074000FA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Wzory tablic za rok 2019 przedstawione są w postaci załączonych plików w formacie MS Excel. </w:t>
      </w:r>
    </w:p>
    <w:p w14:paraId="3D721C9F" w14:textId="5DF74549" w:rsidR="000D304F" w:rsidRDefault="000D304F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304F">
        <w:rPr>
          <w:rFonts w:ascii="Arial" w:hAnsi="Arial" w:cs="Arial"/>
          <w:sz w:val="20"/>
          <w:szCs w:val="20"/>
        </w:rPr>
        <w:t>Za rok 20</w:t>
      </w:r>
      <w:r>
        <w:rPr>
          <w:rFonts w:ascii="Arial" w:hAnsi="Arial" w:cs="Arial"/>
          <w:sz w:val="20"/>
          <w:szCs w:val="20"/>
        </w:rPr>
        <w:t>20</w:t>
      </w:r>
      <w:r w:rsidRPr="000D304F">
        <w:rPr>
          <w:rFonts w:ascii="Arial" w:hAnsi="Arial" w:cs="Arial"/>
          <w:sz w:val="20"/>
          <w:szCs w:val="20"/>
        </w:rPr>
        <w:t xml:space="preserve"> należy wykonać tablice analogiczne do przedstawionych wzorów z roku 20</w:t>
      </w:r>
      <w:r w:rsidR="008E597A">
        <w:rPr>
          <w:rFonts w:ascii="Arial" w:hAnsi="Arial" w:cs="Arial"/>
          <w:sz w:val="20"/>
          <w:szCs w:val="20"/>
        </w:rPr>
        <w:t>19</w:t>
      </w:r>
      <w:r w:rsidR="00720F49">
        <w:rPr>
          <w:rFonts w:ascii="Arial" w:hAnsi="Arial" w:cs="Arial"/>
          <w:sz w:val="20"/>
          <w:szCs w:val="20"/>
        </w:rPr>
        <w:t>.</w:t>
      </w:r>
    </w:p>
    <w:p w14:paraId="7B2740F7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82859A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Pr="00921EE8">
        <w:rPr>
          <w:rFonts w:ascii="Arial" w:hAnsi="Arial" w:cs="Arial"/>
          <w:b/>
          <w:sz w:val="20"/>
          <w:szCs w:val="20"/>
        </w:rPr>
        <w:t>Opis systemu</w:t>
      </w:r>
      <w:r>
        <w:rPr>
          <w:rFonts w:ascii="Arial" w:hAnsi="Arial" w:cs="Arial"/>
          <w:b/>
          <w:sz w:val="20"/>
          <w:szCs w:val="20"/>
        </w:rPr>
        <w:t xml:space="preserve"> teleinformatycznego Krajowego Rejestru Karny (ST KRK)</w:t>
      </w:r>
    </w:p>
    <w:p w14:paraId="744C3890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</w:p>
    <w:p w14:paraId="2B22E16D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</w:p>
    <w:p w14:paraId="742EE8D6" w14:textId="77777777" w:rsidR="005A2E7C" w:rsidRPr="00921EE8" w:rsidRDefault="005A2E7C" w:rsidP="005A2E7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21EE8">
        <w:rPr>
          <w:rFonts w:ascii="Arial" w:hAnsi="Arial" w:cs="Arial"/>
          <w:b/>
          <w:sz w:val="20"/>
          <w:szCs w:val="20"/>
        </w:rPr>
        <w:t>Cel biznesowy systemu</w:t>
      </w:r>
    </w:p>
    <w:p w14:paraId="46A75C91" w14:textId="77777777" w:rsidR="005A2E7C" w:rsidRPr="00921EE8" w:rsidRDefault="005A2E7C" w:rsidP="005A2E7C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D970636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 xml:space="preserve">Głównym zadaniem systemu teleinformatycznego Krajowego Rejestru Karnego </w:t>
      </w:r>
      <w:r>
        <w:rPr>
          <w:rFonts w:ascii="Arial" w:hAnsi="Arial" w:cs="Arial"/>
          <w:sz w:val="20"/>
          <w:szCs w:val="20"/>
        </w:rPr>
        <w:t xml:space="preserve">(ST KRK) </w:t>
      </w:r>
      <w:r w:rsidRPr="00921EE8">
        <w:rPr>
          <w:rFonts w:ascii="Arial" w:hAnsi="Arial" w:cs="Arial"/>
          <w:sz w:val="20"/>
          <w:szCs w:val="20"/>
        </w:rPr>
        <w:t xml:space="preserve">jest przetwarzanie </w:t>
      </w:r>
      <w:r>
        <w:rPr>
          <w:rFonts w:ascii="Arial" w:hAnsi="Arial" w:cs="Arial"/>
          <w:sz w:val="20"/>
          <w:szCs w:val="20"/>
        </w:rPr>
        <w:t xml:space="preserve">danych </w:t>
      </w:r>
      <w:r w:rsidRPr="00921EE8">
        <w:rPr>
          <w:rFonts w:ascii="Arial" w:hAnsi="Arial" w:cs="Arial"/>
          <w:sz w:val="20"/>
          <w:szCs w:val="20"/>
        </w:rPr>
        <w:t>oraz udzielanie informacji o osobach:</w:t>
      </w:r>
    </w:p>
    <w:p w14:paraId="45D60FCC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Verdana" w:hAnsi="Verdana"/>
          <w:color w:val="000000"/>
          <w:sz w:val="20"/>
          <w:szCs w:val="20"/>
        </w:rPr>
        <w:t>1)</w:t>
      </w:r>
      <w:r w:rsidRPr="00921EE8">
        <w:rPr>
          <w:rStyle w:val="tabulatory"/>
          <w:rFonts w:ascii="Verdana" w:eastAsia="Calibri" w:hAnsi="Verdana"/>
          <w:color w:val="000000"/>
          <w:sz w:val="20"/>
          <w:szCs w:val="20"/>
        </w:rPr>
        <w:t> </w:t>
      </w:r>
      <w:r w:rsidRPr="00921EE8">
        <w:rPr>
          <w:rFonts w:ascii="Arial" w:hAnsi="Arial" w:cs="Arial"/>
          <w:sz w:val="20"/>
          <w:szCs w:val="20"/>
        </w:rPr>
        <w:t>prawomocnie skazanych za przestępstwa lub przestępstwa skarbowe;</w:t>
      </w:r>
    </w:p>
    <w:p w14:paraId="4028D835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</w:t>
      </w:r>
      <w:r w:rsidRPr="00921EE8">
        <w:rPr>
          <w:rFonts w:ascii="Arial" w:hAnsi="Arial" w:cs="Arial"/>
          <w:sz w:val="20"/>
          <w:szCs w:val="20"/>
        </w:rPr>
        <w:t>przeciwko którym prawomocnie warunkowo umorzono postępowanie karne w sprawach o przestępstwa lub przestępstwa skarbowe;</w:t>
      </w:r>
    </w:p>
    <w:p w14:paraId="79FB2D96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3)   przeciwko którym prawomocnie umorzono postępowanie karne w sprawach o przestępstwa lub przestępstwa skarbowe na podstawie amnestii;</w:t>
      </w:r>
    </w:p>
    <w:p w14:paraId="3410C682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4)   będących obywatelami polskimi prawomocnie skazanymi przez sądy państw obcych;</w:t>
      </w:r>
    </w:p>
    <w:p w14:paraId="029C3C2D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5)   wobec których prawomocnie orzeczono środki zabezpieczające w sprawach o przestępstwa lub przestępstwa skarbowe;</w:t>
      </w:r>
    </w:p>
    <w:p w14:paraId="3EBD40BF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6)   nieletnich, wobec których prawomocnie orzeczono środki wychowawcze, poprawcze lub wychowawczo-lecznicze albo którym wymierzono karę na podstawie </w:t>
      </w:r>
      <w:hyperlink r:id="rId5" w:anchor="hiperlinkText.rpc?hiperlink=type=tresc:nro=Powszechny.2070433:part=a13&amp;full=1" w:tgtFrame="_parent" w:history="1">
        <w:r w:rsidRPr="00921EE8">
          <w:rPr>
            <w:rFonts w:ascii="Arial" w:hAnsi="Arial" w:cs="Arial"/>
            <w:sz w:val="20"/>
            <w:szCs w:val="20"/>
          </w:rPr>
          <w:t>art. 13</w:t>
        </w:r>
      </w:hyperlink>
      <w:r w:rsidRPr="00921EE8">
        <w:rPr>
          <w:rFonts w:ascii="Arial" w:hAnsi="Arial" w:cs="Arial"/>
          <w:sz w:val="20"/>
          <w:szCs w:val="20"/>
        </w:rPr>
        <w:t> lub </w:t>
      </w:r>
      <w:hyperlink r:id="rId6" w:anchor="hiperlinkText.rpc?hiperlink=type=tresc:nro=Powszechny.2070433:part=a94&amp;full=1" w:tgtFrame="_parent" w:history="1">
        <w:r w:rsidRPr="00921EE8">
          <w:rPr>
            <w:rFonts w:ascii="Arial" w:hAnsi="Arial" w:cs="Arial"/>
            <w:sz w:val="20"/>
            <w:szCs w:val="20"/>
          </w:rPr>
          <w:t>art. 94</w:t>
        </w:r>
      </w:hyperlink>
      <w:r w:rsidRPr="00921EE8">
        <w:rPr>
          <w:rFonts w:ascii="Arial" w:hAnsi="Arial" w:cs="Arial"/>
          <w:sz w:val="20"/>
          <w:szCs w:val="20"/>
        </w:rPr>
        <w:t> ustawy z dnia 26 października 1982 r. o postępowaniu w sprawach nieletnich (Dz. U. z 2018 r. poz. 969), zwanej dalej "ustawą o postępowaniu w sprawach nieletnich";</w:t>
      </w:r>
    </w:p>
    <w:p w14:paraId="7D69B44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7)   prawomocnie skazanych za wykroczenia na karę aresztu;</w:t>
      </w:r>
    </w:p>
    <w:p w14:paraId="5B36174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8)   poszukiwanych listem gończym;</w:t>
      </w:r>
    </w:p>
    <w:p w14:paraId="4527F900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9)   tymczasowo aresztowanych;</w:t>
      </w:r>
    </w:p>
    <w:p w14:paraId="298858A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lastRenderedPageBreak/>
        <w:t>10)  nieletnich umieszczonych w schroniskach dla nieletnich.</w:t>
      </w:r>
    </w:p>
    <w:p w14:paraId="6EBDEED5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W Rejestrze gromadzi się również dane o podmiotach zbiorowych, wobec których prawomocnie orzeczono karę pieniężną, przepadek, zakaz lub podanie wyroku do publicznej wiadomości, na podstawie </w:t>
      </w:r>
      <w:hyperlink r:id="rId7" w:anchor="hiperlinkText.rpc?hiperlink=type=tresc:nro=Powszechny.2211456&amp;full=1" w:tgtFrame="_parent" w:history="1">
        <w:r w:rsidRPr="00921EE8">
          <w:rPr>
            <w:rFonts w:ascii="Arial" w:hAnsi="Arial" w:cs="Arial"/>
            <w:sz w:val="20"/>
            <w:szCs w:val="20"/>
          </w:rPr>
          <w:t>ustawy</w:t>
        </w:r>
      </w:hyperlink>
      <w:r w:rsidRPr="00921EE8">
        <w:rPr>
          <w:rFonts w:ascii="Arial" w:hAnsi="Arial" w:cs="Arial"/>
          <w:sz w:val="20"/>
          <w:szCs w:val="20"/>
        </w:rPr>
        <w:t> z dnia 28 października 2002 r. o odpowiedzialności podmiotów zbiorowych za czyny zabronione pod groźbą kary (Dz. U. z 201</w:t>
      </w:r>
      <w:r>
        <w:rPr>
          <w:rFonts w:ascii="Arial" w:hAnsi="Arial" w:cs="Arial"/>
          <w:sz w:val="20"/>
          <w:szCs w:val="20"/>
        </w:rPr>
        <w:t>9</w:t>
      </w:r>
      <w:r w:rsidRPr="00921EE8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628 i 1214</w:t>
      </w:r>
      <w:r w:rsidRPr="00921EE8">
        <w:rPr>
          <w:rFonts w:ascii="Arial" w:hAnsi="Arial" w:cs="Arial"/>
          <w:sz w:val="20"/>
          <w:szCs w:val="20"/>
        </w:rPr>
        <w:t>).</w:t>
      </w:r>
    </w:p>
    <w:p w14:paraId="07805E5D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Dodatkową funkcją systemu jest wytwarzanie corocznych zestawień statystycznych z orzeczeń podlegających gromadzeniu w Krajowym Rejestrze Karnym.</w:t>
      </w:r>
    </w:p>
    <w:p w14:paraId="62B0C85C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 xml:space="preserve">System teleinformatyczny Krajowego Rejestru Karnego zasila ponadto określonymi danymi system </w:t>
      </w:r>
      <w:r>
        <w:rPr>
          <w:rFonts w:ascii="Arial" w:hAnsi="Arial" w:cs="Arial"/>
          <w:sz w:val="20"/>
          <w:szCs w:val="20"/>
        </w:rPr>
        <w:t>Rejestru Sprawców Przestępstw na Tle Seksualnym (</w:t>
      </w:r>
      <w:r w:rsidRPr="00921EE8">
        <w:rPr>
          <w:rFonts w:ascii="Arial" w:hAnsi="Arial" w:cs="Arial"/>
          <w:sz w:val="20"/>
          <w:szCs w:val="20"/>
        </w:rPr>
        <w:t>RSPTS</w:t>
      </w:r>
      <w:r>
        <w:rPr>
          <w:rFonts w:ascii="Arial" w:hAnsi="Arial" w:cs="Arial"/>
          <w:sz w:val="20"/>
          <w:szCs w:val="20"/>
        </w:rPr>
        <w:t>)</w:t>
      </w:r>
      <w:r w:rsidRPr="00921EE8">
        <w:rPr>
          <w:rFonts w:ascii="Arial" w:hAnsi="Arial" w:cs="Arial"/>
          <w:sz w:val="20"/>
          <w:szCs w:val="20"/>
        </w:rPr>
        <w:t xml:space="preserve"> zgodnie z ustawą z dnia 2016 r. o przeciwdziałaniu zagrożeniom przestępczością na tle seksualnym (Dz.U</w:t>
      </w:r>
      <w:r>
        <w:rPr>
          <w:rFonts w:ascii="Arial" w:hAnsi="Arial" w:cs="Arial"/>
          <w:sz w:val="20"/>
          <w:szCs w:val="20"/>
        </w:rPr>
        <w:t xml:space="preserve">. z </w:t>
      </w:r>
      <w:r w:rsidRPr="00921EE8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r. poz. </w:t>
      </w:r>
      <w:r w:rsidRPr="00921EE8">
        <w:rPr>
          <w:rFonts w:ascii="Arial" w:hAnsi="Arial" w:cs="Arial"/>
          <w:sz w:val="20"/>
          <w:szCs w:val="20"/>
        </w:rPr>
        <w:t>405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oraz z 2019 r. poz. 1820</w:t>
      </w:r>
      <w:r w:rsidRPr="00921EE8">
        <w:rPr>
          <w:rFonts w:ascii="Arial" w:hAnsi="Arial" w:cs="Arial"/>
          <w:sz w:val="20"/>
          <w:szCs w:val="20"/>
        </w:rPr>
        <w:t>)</w:t>
      </w:r>
    </w:p>
    <w:p w14:paraId="33036291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3E912CB" w14:textId="77777777" w:rsidR="005A2E7C" w:rsidRPr="00921EE8" w:rsidRDefault="005A2E7C" w:rsidP="005A2E7C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921EE8">
        <w:rPr>
          <w:rFonts w:ascii="Arial" w:hAnsi="Arial" w:cs="Arial"/>
          <w:b/>
          <w:sz w:val="20"/>
          <w:szCs w:val="20"/>
        </w:rPr>
        <w:t xml:space="preserve">Moduły systemu </w:t>
      </w:r>
    </w:p>
    <w:p w14:paraId="3F82BF7A" w14:textId="77777777" w:rsidR="005A2E7C" w:rsidRPr="00921EE8" w:rsidRDefault="005A2E7C" w:rsidP="005A2E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5A2E7C" w:rsidRPr="00921EE8" w14:paraId="78925927" w14:textId="77777777" w:rsidTr="00753363">
        <w:tc>
          <w:tcPr>
            <w:tcW w:w="9211" w:type="dxa"/>
            <w:gridSpan w:val="2"/>
            <w:shd w:val="clear" w:color="auto" w:fill="auto"/>
          </w:tcPr>
          <w:p w14:paraId="15F87AF9" w14:textId="77777777" w:rsidR="005A2E7C" w:rsidRPr="00C62426" w:rsidRDefault="005A2E7C" w:rsidP="007533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Centralny moduł ST KRK</w:t>
            </w:r>
          </w:p>
        </w:tc>
      </w:tr>
      <w:tr w:rsidR="005A2E7C" w:rsidRPr="00921EE8" w14:paraId="19FCF9DC" w14:textId="77777777" w:rsidTr="00753363">
        <w:tc>
          <w:tcPr>
            <w:tcW w:w="4605" w:type="dxa"/>
            <w:shd w:val="clear" w:color="auto" w:fill="auto"/>
          </w:tcPr>
          <w:p w14:paraId="21731DF0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  <w:tc>
          <w:tcPr>
            <w:tcW w:w="4606" w:type="dxa"/>
            <w:shd w:val="clear" w:color="auto" w:fill="auto"/>
          </w:tcPr>
          <w:p w14:paraId="585041E6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OpenVMS</w:t>
            </w:r>
            <w:proofErr w:type="spellEnd"/>
          </w:p>
        </w:tc>
      </w:tr>
      <w:tr w:rsidR="005A2E7C" w:rsidRPr="00921EE8" w14:paraId="2437BA99" w14:textId="77777777" w:rsidTr="00753363">
        <w:trPr>
          <w:trHeight w:val="345"/>
        </w:trPr>
        <w:tc>
          <w:tcPr>
            <w:tcW w:w="4605" w:type="dxa"/>
            <w:shd w:val="clear" w:color="auto" w:fill="auto"/>
          </w:tcPr>
          <w:p w14:paraId="190A369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Bazy danych</w:t>
            </w:r>
          </w:p>
        </w:tc>
        <w:tc>
          <w:tcPr>
            <w:tcW w:w="4606" w:type="dxa"/>
            <w:shd w:val="clear" w:color="auto" w:fill="auto"/>
          </w:tcPr>
          <w:p w14:paraId="37DC9472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</w:p>
        </w:tc>
      </w:tr>
      <w:tr w:rsidR="005A2E7C" w:rsidRPr="00921EE8" w14:paraId="1D1837BE" w14:textId="77777777" w:rsidTr="00753363">
        <w:trPr>
          <w:trHeight w:val="180"/>
        </w:trPr>
        <w:tc>
          <w:tcPr>
            <w:tcW w:w="4605" w:type="dxa"/>
            <w:shd w:val="clear" w:color="auto" w:fill="auto"/>
          </w:tcPr>
          <w:p w14:paraId="08FE499D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Wielkość baz danych (łączna ilość rekordów)</w:t>
            </w:r>
          </w:p>
        </w:tc>
        <w:tc>
          <w:tcPr>
            <w:tcW w:w="4606" w:type="dxa"/>
            <w:shd w:val="clear" w:color="auto" w:fill="auto"/>
          </w:tcPr>
          <w:p w14:paraId="1E5AD132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200 GB (200 tabel, 500 widoków)</w:t>
            </w:r>
          </w:p>
        </w:tc>
      </w:tr>
      <w:tr w:rsidR="005A2E7C" w:rsidRPr="00921EE8" w14:paraId="019EE8BC" w14:textId="77777777" w:rsidTr="00753363">
        <w:trPr>
          <w:trHeight w:val="150"/>
        </w:trPr>
        <w:tc>
          <w:tcPr>
            <w:tcW w:w="4605" w:type="dxa"/>
            <w:shd w:val="clear" w:color="auto" w:fill="auto"/>
          </w:tcPr>
          <w:p w14:paraId="451F3FED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Środowisko infrastrukturalne</w:t>
            </w:r>
          </w:p>
        </w:tc>
        <w:tc>
          <w:tcPr>
            <w:tcW w:w="4606" w:type="dxa"/>
            <w:shd w:val="clear" w:color="auto" w:fill="auto"/>
          </w:tcPr>
          <w:p w14:paraId="5AE44103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Serwery fizyczne HP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rx2800 z procesorem Intel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Itanium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i6 podłączone do macierzy dyskowych za  pomocą sieci SAN</w:t>
            </w:r>
          </w:p>
        </w:tc>
      </w:tr>
      <w:tr w:rsidR="005A2E7C" w:rsidRPr="005E6186" w14:paraId="476EC578" w14:textId="77777777" w:rsidTr="00753363">
        <w:tc>
          <w:tcPr>
            <w:tcW w:w="4605" w:type="dxa"/>
            <w:shd w:val="clear" w:color="auto" w:fill="auto"/>
          </w:tcPr>
          <w:p w14:paraId="4853233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Język aplikacji</w:t>
            </w:r>
          </w:p>
        </w:tc>
        <w:tc>
          <w:tcPr>
            <w:tcW w:w="4606" w:type="dxa"/>
            <w:shd w:val="clear" w:color="auto" w:fill="auto"/>
          </w:tcPr>
          <w:p w14:paraId="387A507E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C, COBOL, IFDL (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DECforms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), SQLMOD (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), TDF (ACMS)</w:t>
            </w:r>
          </w:p>
        </w:tc>
      </w:tr>
      <w:tr w:rsidR="005A2E7C" w:rsidRPr="00921EE8" w14:paraId="312FFFA7" w14:textId="77777777" w:rsidTr="00753363">
        <w:tc>
          <w:tcPr>
            <w:tcW w:w="4605" w:type="dxa"/>
            <w:shd w:val="clear" w:color="auto" w:fill="auto"/>
          </w:tcPr>
          <w:p w14:paraId="7F9A624F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Dodatkowe informacje o module/aplikacjach</w:t>
            </w:r>
          </w:p>
        </w:tc>
        <w:tc>
          <w:tcPr>
            <w:tcW w:w="4606" w:type="dxa"/>
            <w:shd w:val="clear" w:color="auto" w:fill="auto"/>
          </w:tcPr>
          <w:p w14:paraId="60BA691B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Moduł składa się z:</w:t>
            </w:r>
          </w:p>
          <w:p w14:paraId="6A5F2D1D" w14:textId="77777777" w:rsidR="005A2E7C" w:rsidRPr="00C62426" w:rsidRDefault="005A2E7C" w:rsidP="005A2E7C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aplikacji lokalnej z poziomu której pracownicy Biura Informacyjnego Krajowego Rejestru Karnego aktualizują bazę danych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oraz udzielają informacji na zapytania kierowane do Krajowego Rejestru Karnego,</w:t>
            </w:r>
          </w:p>
          <w:p w14:paraId="6052987C" w14:textId="77777777" w:rsidR="005A2E7C" w:rsidRPr="00C62426" w:rsidRDefault="005A2E7C" w:rsidP="005A2E7C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aplikacji zdalnej z poziomu której pracownicy sądów są w stanie odpytać bazę danych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B0BCEA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Aplikacja lokalna jest dostępna na stacjach roboczych użytkowników przy wykorzystaniu emulatora terminala znakowego VT320, który zbudowany jest z trzech elementów – bazy danych Oracle RDB, monitora transakcyjnego ACMS oraz pakietu obsługi interfejsu znakowego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DECforms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4C3E1E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lastRenderedPageBreak/>
              <w:t>Aplikacja lokalna na podstawie określonych warunkach generuje zawiadomienia do sądów, ministerstw, urzędów i urzędów.</w:t>
            </w:r>
          </w:p>
          <w:p w14:paraId="55F7C7F5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Aplikacja zdalna wykorzystuje oprogramowanie ACMSDA, które jest częścią monitora transakcyjnego ACMS. </w:t>
            </w:r>
          </w:p>
          <w:p w14:paraId="1DBEF1A6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Aplikacja zdalna dostępna jest z poziomu przeglądarki internetowej.</w:t>
            </w:r>
          </w:p>
          <w:p w14:paraId="41493982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Aplikacja lokalna cechuje się czasem dostępu do danych wynoszącym poniżej 1 sec.</w:t>
            </w:r>
          </w:p>
        </w:tc>
      </w:tr>
      <w:tr w:rsidR="005A2E7C" w:rsidRPr="00921EE8" w14:paraId="65E46D49" w14:textId="77777777" w:rsidTr="00753363">
        <w:tc>
          <w:tcPr>
            <w:tcW w:w="4605" w:type="dxa"/>
            <w:shd w:val="clear" w:color="auto" w:fill="auto"/>
          </w:tcPr>
          <w:p w14:paraId="196F71D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</w:t>
            </w:r>
          </w:p>
        </w:tc>
        <w:tc>
          <w:tcPr>
            <w:tcW w:w="4606" w:type="dxa"/>
            <w:shd w:val="clear" w:color="auto" w:fill="auto"/>
          </w:tcPr>
          <w:p w14:paraId="636E826B" w14:textId="77777777" w:rsidR="005A2E7C" w:rsidRPr="00C62426" w:rsidRDefault="005A2E7C" w:rsidP="005A2E7C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Część funkcjonalności ST KRK zaszyta jest bezpośrednio w bazach danych.</w:t>
            </w:r>
          </w:p>
          <w:p w14:paraId="218E29C0" w14:textId="77777777" w:rsidR="005A2E7C" w:rsidRPr="00C62426" w:rsidRDefault="005A2E7C" w:rsidP="005A2E7C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W module centralnym ST KRK wykorzystywany jest mechanizm sekcji globalnych, który umożliwia jednoczesny dostęp różnych użytkowników do wybranych obszarów pamięci oraz rezydentne biblioteki „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image”.</w:t>
            </w:r>
          </w:p>
        </w:tc>
      </w:tr>
      <w:tr w:rsidR="005A2E7C" w:rsidRPr="00921EE8" w14:paraId="35F95B7D" w14:textId="77777777" w:rsidTr="007533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05" w:type="dxa"/>
            <w:shd w:val="clear" w:color="auto" w:fill="auto"/>
          </w:tcPr>
          <w:p w14:paraId="07416EC0" w14:textId="77777777" w:rsidR="005A2E7C" w:rsidRPr="00C62426" w:rsidRDefault="005A2E7C" w:rsidP="00753363">
            <w:pPr>
              <w:spacing w:line="36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Dokumentacja</w:t>
            </w:r>
          </w:p>
        </w:tc>
        <w:tc>
          <w:tcPr>
            <w:tcW w:w="4606" w:type="dxa"/>
            <w:shd w:val="clear" w:color="auto" w:fill="auto"/>
          </w:tcPr>
          <w:p w14:paraId="74427E6F" w14:textId="77777777" w:rsidR="005A2E7C" w:rsidRPr="00C62426" w:rsidRDefault="005A2E7C" w:rsidP="00753363">
            <w:pPr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Dokumentacja techniczna, podręcznik dewelopera, podręcznik administratora, opis usług, mapa procesów, instrukcje stanowiskowe.</w:t>
            </w:r>
          </w:p>
        </w:tc>
      </w:tr>
    </w:tbl>
    <w:p w14:paraId="21FE5193" w14:textId="77777777" w:rsidR="005A2E7C" w:rsidRDefault="005A2E7C" w:rsidP="005A2E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48C3F2F" w14:textId="77777777" w:rsidR="005A2E7C" w:rsidRDefault="005A2E7C" w:rsidP="005A2E7C">
      <w:pPr>
        <w:jc w:val="center"/>
        <w:rPr>
          <w:rFonts w:ascii="Arial" w:hAnsi="Arial" w:cs="Arial"/>
          <w:b/>
          <w:sz w:val="20"/>
          <w:szCs w:val="20"/>
        </w:rPr>
      </w:pPr>
    </w:p>
    <w:p w14:paraId="0360AC32" w14:textId="77777777" w:rsidR="005A2E7C" w:rsidRDefault="005A2E7C" w:rsidP="005A2E7C">
      <w:pPr>
        <w:rPr>
          <w:b/>
          <w:bCs/>
          <w:color w:val="000000"/>
        </w:rPr>
      </w:pPr>
      <w:r>
        <w:rPr>
          <w:b/>
          <w:bCs/>
          <w:color w:val="000000"/>
        </w:rPr>
        <w:t>Podstawa prawna działania Krajowego Rejestru Karnego</w:t>
      </w:r>
    </w:p>
    <w:p w14:paraId="2EBA9D88" w14:textId="77777777" w:rsidR="005A2E7C" w:rsidRDefault="005A2E7C" w:rsidP="005A2E7C">
      <w:pPr>
        <w:rPr>
          <w:color w:val="000000"/>
        </w:rPr>
      </w:pPr>
    </w:p>
    <w:p w14:paraId="483A3A0E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Ustawa z dnia 24 maja 2000 r. o Krajowym Rejestrze Karnym (Dz.U. z 2019 r. poz. 1158 )</w:t>
      </w:r>
    </w:p>
    <w:p w14:paraId="7CD20825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 września 2015 r. w sprawie </w:t>
      </w:r>
      <w:r>
        <w:br/>
        <w:t xml:space="preserve">gromadzenia danych osobowych i danych o podmiotach zbiorowych w Krajowym </w:t>
      </w:r>
      <w:r>
        <w:br/>
        <w:t>Rejestrze Karnym oraz usuwania tych danych z Rejestru (Dz. U. poz. 1464)</w:t>
      </w:r>
    </w:p>
    <w:p w14:paraId="208F6436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7 lipca 2015 r. w sprawie udzielania informacji o osobach oraz o podmiotach zbiorowych na podstawie danych </w:t>
      </w:r>
      <w:r>
        <w:br/>
        <w:t xml:space="preserve">zgromadzonych w Krajowym Rejestrze Karnym (Dz. U. z 2015 r. poz. 1025 </w:t>
      </w:r>
      <w:r>
        <w:br/>
        <w:t>oraz z 2016 r. poz. 411)</w:t>
      </w:r>
    </w:p>
    <w:p w14:paraId="38042D55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1 lipca 2015 r. w sprawie </w:t>
      </w:r>
      <w:r>
        <w:br/>
        <w:t>szczegółowych zasad i sposobu przetwarzania oraz przekazywania danych osobowych zgromadzonych w zbiorach Krajowego Rejestru Karnego do celów statystycznych oraz badań naukowych (Dz. U. poz. 984)</w:t>
      </w:r>
    </w:p>
    <w:p w14:paraId="134BD4D2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27 maja 2015 r. w sprawie wykazu kodów stosowanych przy przekazywaniu za pośrednictwem systemu ECRIS </w:t>
      </w:r>
      <w:r>
        <w:br/>
      </w:r>
      <w:r>
        <w:lastRenderedPageBreak/>
        <w:t xml:space="preserve">informacji dotyczących kwalifikacji prawnej czynu zabronionego przyjętej w orzeczeniu oraz orzeczonych kar i środków karnych, jak również środków </w:t>
      </w:r>
      <w:r>
        <w:br/>
        <w:t xml:space="preserve">zabezpieczających, kompensacyjnych i przepadku, środków wychowawczych, </w:t>
      </w:r>
      <w:r>
        <w:br/>
        <w:t>poprawczych i wychowawczo-leczniczych, oraz sposobu zastosowania tych kodów (Dz. U. poz. 853)</w:t>
      </w:r>
    </w:p>
    <w:p w14:paraId="5F3045F1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26 maja 2015 r. w sprawie </w:t>
      </w:r>
      <w:r>
        <w:br/>
        <w:t>szczegółowości informacji umieszczanych w karcie rejestracyjnej i w zawiadomieniu (Dz. U. 2015 r. poz. 846 oraz z 2017 r. poz. 1721)</w:t>
      </w:r>
    </w:p>
    <w:p w14:paraId="59F81D98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18 czerwca 2014 r. w sprawie opłat za wydanie informacji z Krajowego Rejestru Karnego  (Dz. U. z 2014 r. poz. 861 </w:t>
      </w:r>
      <w:r>
        <w:br/>
        <w:t>oraz z 2016 r. poz. 390 )</w:t>
      </w:r>
    </w:p>
    <w:p w14:paraId="1E943167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Rozporządzenie Ministra Sprawiedliwości z dnia 18 czerwca 2014 r. w sprawie trybu udzielania z Krajowego Rejestru Karnego informacji o osobach oraz o podmiotach zbiorowych za pośrednictwem systemu teleinformatycznego (Dz. U. z 2014 r. poz. 841 oraz z 2016 r. poz. 1673)</w:t>
      </w:r>
    </w:p>
    <w:p w14:paraId="36380673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8 sierpnia 2013 r. w sprawie </w:t>
      </w:r>
      <w:r>
        <w:br/>
        <w:t xml:space="preserve">wymogów technicznych, jakie musi spełniać aplikacja do przesyłania kart </w:t>
      </w:r>
      <w:r>
        <w:br/>
        <w:t xml:space="preserve">rejestracyjnych i zawiadomień za pośrednictwem systemu teleinformatycznego </w:t>
      </w:r>
      <w:r>
        <w:br/>
        <w:t>oraz trybu przyznawania, zmieniania i wycofywania oraz sposobu weryfikacji podpisu elektronicznego do podpisywania kart rejestracyjnych i zawiadomień za pośrednictwem systemu teleinformatycznego (Dz. U. z 2013 r. poz. 955 oraz z 2016 r. poz. 1681)</w:t>
      </w:r>
    </w:p>
    <w:p w14:paraId="1E5C2EF0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Rozporządzenie Ministra Sprawiedliwości z dnia 26 kwietnia 2012 r. w sprawie wzoru formularza zapytania o udzielenie informacji pochodzących z rejestru karnego i odpowiedzi na zapytanie, wykorzystywanego między organami centralnymi państw członkowskich Unii Europejskiej (Dz. U. poz. 487)</w:t>
      </w:r>
    </w:p>
    <w:p w14:paraId="518179C3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Rozporządzenie Ministra Sprawiedliwości z dnia 3 czerwca 2015 r.</w:t>
      </w:r>
      <w:r>
        <w:rPr>
          <w:b/>
          <w:bCs/>
        </w:rPr>
        <w:t xml:space="preserve"> </w:t>
      </w:r>
      <w:r>
        <w:rPr>
          <w:bCs/>
        </w:rPr>
        <w:t xml:space="preserve">w sprawie </w:t>
      </w:r>
      <w:r>
        <w:rPr>
          <w:bCs/>
        </w:rPr>
        <w:br/>
        <w:t xml:space="preserve">sposobu sporządzania i przekazywania do Krajowego Rejestru Karnego kart </w:t>
      </w:r>
      <w:r>
        <w:rPr>
          <w:bCs/>
        </w:rPr>
        <w:br/>
        <w:t xml:space="preserve">rejestracyjnych i zawiadomień w postaci papierowej oraz szczegółowości </w:t>
      </w:r>
      <w:r>
        <w:rPr>
          <w:bCs/>
        </w:rPr>
        <w:br/>
        <w:t>umieszczanych w nich informacji (Dz. U. z 2015 r. poz. 863 oraz z 2017 r. poz. 1745)</w:t>
      </w:r>
    </w:p>
    <w:p w14:paraId="6F29201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rPr>
          <w:bCs/>
        </w:rPr>
        <w:t>Ustawa z dnia 13 maja 2016 r. o przeciwdziałaniu zagrożeniom przestępczością na tle seksualnym (Dz. U. z 2018 r. poz. 405 oraz z 2019 r. poz. 1820)</w:t>
      </w:r>
    </w:p>
    <w:p w14:paraId="17C185B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rPr>
          <w:bCs/>
        </w:rPr>
        <w:t xml:space="preserve">Rozporządzenie Ministra Sprawiedliwości z dnia 13 marca 2017 r. w sprawie </w:t>
      </w:r>
      <w:r>
        <w:rPr>
          <w:bCs/>
        </w:rPr>
        <w:br/>
        <w:t xml:space="preserve">przetwarzania oraz przekazywania danych osobowych zgromadzonych w Rejestrze Sprawców Przestępstw na Tle Seksualnym do celów statystycznych oraz badań </w:t>
      </w:r>
      <w:r>
        <w:rPr>
          <w:bCs/>
        </w:rPr>
        <w:br/>
        <w:t>naukowych (Dz. U. poz. 656)</w:t>
      </w:r>
    </w:p>
    <w:p w14:paraId="7633E2D8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Rozporządzenia Ministra Sprawiedliwości z dnia 2 lutego 2017 r. </w:t>
      </w:r>
      <w:r>
        <w:rPr>
          <w:bCs/>
        </w:rPr>
        <w:t xml:space="preserve">w sprawie </w:t>
      </w:r>
      <w:r>
        <w:rPr>
          <w:bCs/>
        </w:rPr>
        <w:br/>
        <w:t>określenia trybu i sposobu przekazywania danych do Rejestru Sprawców Przestępstw na Tle Seksualnym (Dz. U. poz. 238)</w:t>
      </w:r>
    </w:p>
    <w:p w14:paraId="3F92741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lastRenderedPageBreak/>
        <w:t xml:space="preserve">Rozporządzenie Ministra Sprawiedliwości z dnia 31 lipca 2017 r.  </w:t>
      </w:r>
      <w:r>
        <w:rPr>
          <w:bCs/>
        </w:rPr>
        <w:t xml:space="preserve">w sprawie trybu, sposobu i zakresu uzyskiwania i udostępniania informacji z Rejestru z dostępem </w:t>
      </w:r>
      <w:r>
        <w:rPr>
          <w:bCs/>
        </w:rPr>
        <w:br/>
        <w:t>ograniczonym oraz sposobu zakładania konta użytkownika (Dz. U. poz. 1561)</w:t>
      </w:r>
    </w:p>
    <w:p w14:paraId="707CD831" w14:textId="77777777" w:rsidR="005A2E7C" w:rsidRPr="0096159D" w:rsidRDefault="005A2E7C" w:rsidP="005A2E7C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jc w:val="both"/>
        <w:rPr>
          <w:rFonts w:ascii="Garamond" w:hAnsi="Garamond"/>
        </w:rPr>
      </w:pPr>
    </w:p>
    <w:p w14:paraId="1BDDC988" w14:textId="77777777" w:rsidR="0085495F" w:rsidRDefault="0085495F"/>
    <w:sectPr w:rsidR="0085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230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" w15:restartNumberingAfterBreak="0">
    <w:nsid w:val="089736F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2" w15:restartNumberingAfterBreak="0">
    <w:nsid w:val="0DE82FF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" w15:restartNumberingAfterBreak="0">
    <w:nsid w:val="0FCE0448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4" w15:restartNumberingAfterBreak="0">
    <w:nsid w:val="14FA6685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5" w15:restartNumberingAfterBreak="0">
    <w:nsid w:val="1F617210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6" w15:restartNumberingAfterBreak="0">
    <w:nsid w:val="238727C2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7" w15:restartNumberingAfterBreak="0">
    <w:nsid w:val="23E1343F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8" w15:restartNumberingAfterBreak="0">
    <w:nsid w:val="35B77026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9" w15:restartNumberingAfterBreak="0">
    <w:nsid w:val="3DA771F4"/>
    <w:multiLevelType w:val="hybridMultilevel"/>
    <w:tmpl w:val="F9A2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10DEE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1" w15:restartNumberingAfterBreak="0">
    <w:nsid w:val="485F276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2" w15:restartNumberingAfterBreak="0">
    <w:nsid w:val="498E050F"/>
    <w:multiLevelType w:val="hybridMultilevel"/>
    <w:tmpl w:val="B150C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37403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4" w15:restartNumberingAfterBreak="0">
    <w:nsid w:val="5E9C498C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5" w15:restartNumberingAfterBreak="0">
    <w:nsid w:val="5F62068A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6" w15:restartNumberingAfterBreak="0">
    <w:nsid w:val="61ED002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7" w15:restartNumberingAfterBreak="0">
    <w:nsid w:val="6BE62D14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8" w15:restartNumberingAfterBreak="0">
    <w:nsid w:val="7CE4044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3"/>
  </w:num>
  <w:num w:numId="23">
    <w:abstractNumId w:val="5"/>
  </w:num>
  <w:num w:numId="24">
    <w:abstractNumId w:val="1"/>
  </w:num>
  <w:num w:numId="25">
    <w:abstractNumId w:val="17"/>
  </w:num>
  <w:num w:numId="26">
    <w:abstractNumId w:val="2"/>
  </w:num>
  <w:num w:numId="27">
    <w:abstractNumId w:val="4"/>
  </w:num>
  <w:num w:numId="28">
    <w:abstractNumId w:val="15"/>
  </w:num>
  <w:num w:numId="29">
    <w:abstractNumId w:val="10"/>
  </w:num>
  <w:num w:numId="30">
    <w:abstractNumId w:val="16"/>
  </w:num>
  <w:num w:numId="31">
    <w:abstractNumId w:val="11"/>
  </w:num>
  <w:num w:numId="32">
    <w:abstractNumId w:val="14"/>
  </w:num>
  <w:num w:numId="33">
    <w:abstractNumId w:val="0"/>
  </w:num>
  <w:num w:numId="34">
    <w:abstractNumId w:val="3"/>
  </w:num>
  <w:num w:numId="35">
    <w:abstractNumId w:val="8"/>
  </w:num>
  <w:num w:numId="36">
    <w:abstractNumId w:val="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2"/>
    <w:rsid w:val="00094063"/>
    <w:rsid w:val="000D304F"/>
    <w:rsid w:val="005459AA"/>
    <w:rsid w:val="005A2E7C"/>
    <w:rsid w:val="00720F49"/>
    <w:rsid w:val="0085495F"/>
    <w:rsid w:val="008875C2"/>
    <w:rsid w:val="008E597A"/>
    <w:rsid w:val="00C7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24B9"/>
  <w15:chartTrackingRefBased/>
  <w15:docId w15:val="{7E5AA102-0A72-4EB9-ADBE-E7C10BEE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5459AA"/>
    <w:rPr>
      <w:sz w:val="24"/>
      <w:szCs w:val="24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459AA"/>
    <w:pPr>
      <w:ind w:left="708"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uiPriority w:val="99"/>
    <w:unhideWhenUsed/>
    <w:rsid w:val="005459AA"/>
    <w:rPr>
      <w:sz w:val="16"/>
      <w:szCs w:val="16"/>
    </w:rPr>
  </w:style>
  <w:style w:type="character" w:customStyle="1" w:styleId="FontStyle13">
    <w:name w:val="Font Style13"/>
    <w:rsid w:val="005459A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tabulatory">
    <w:name w:val="tabulatory"/>
    <w:rsid w:val="005459AA"/>
  </w:style>
  <w:style w:type="character" w:styleId="Hipercze">
    <w:name w:val="Hyperlink"/>
    <w:basedOn w:val="Domylnaczcionkaakapitu"/>
    <w:uiPriority w:val="99"/>
    <w:semiHidden/>
    <w:unhideWhenUsed/>
    <w:rsid w:val="005459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4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4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x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online.wolterskluwer.pl/WKPLOnline/index.rpc" TargetMode="External"/><Relationship Id="rId5" Type="http://schemas.openxmlformats.org/officeDocument/2006/relationships/hyperlink" Target="https://lex.online.wolterskluwer.pl/WKPLOnline/index.rp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1354</Words>
  <Characters>8125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Kwiatkowski Dariusz  (BF)</cp:lastModifiedBy>
  <cp:revision>9</cp:revision>
  <dcterms:created xsi:type="dcterms:W3CDTF">2020-09-22T09:10:00Z</dcterms:created>
  <dcterms:modified xsi:type="dcterms:W3CDTF">2020-11-16T09:10:00Z</dcterms:modified>
</cp:coreProperties>
</file>