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Pr="00853D79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633274" w14:textId="5DE2E85A" w:rsidR="00453E71" w:rsidRPr="00853D79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53D79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490999E" w14:textId="694CED5C" w:rsidR="00207FF7" w:rsidRPr="00853D79" w:rsidRDefault="00207FF7" w:rsidP="00207FF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3D79">
        <w:rPr>
          <w:rFonts w:ascii="Arial" w:eastAsia="Times New Roman" w:hAnsi="Arial" w:cs="Arial"/>
          <w:sz w:val="24"/>
          <w:szCs w:val="24"/>
          <w:lang w:eastAsia="pl-PL"/>
        </w:rPr>
        <w:t>Przewodniczący</w:t>
      </w:r>
    </w:p>
    <w:p w14:paraId="1BE990D7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Warszawa, 30 listopada 2022 r.</w:t>
      </w:r>
    </w:p>
    <w:p w14:paraId="6A665355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Sygn. akt KR II R 92/22</w:t>
      </w:r>
    </w:p>
    <w:p w14:paraId="7297CBCD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DPA-II.9130.31.2022</w:t>
      </w:r>
    </w:p>
    <w:p w14:paraId="44727534" w14:textId="603E3B96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Zawiadomienie</w:t>
      </w:r>
    </w:p>
    <w:p w14:paraId="76071DEF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o wszczęciu postępowania rozpoznawczego</w:t>
      </w:r>
    </w:p>
    <w:p w14:paraId="49363738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16 ust. 2, ust. 3 i ust. 4 ustawy z dnia 9 marca 2017 r. </w:t>
      </w:r>
    </w:p>
    <w:p w14:paraId="3FF13AE8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o szczególnych zasadach usuwania skutków prawnych decyzji reprywatyzacyjnych dotyczących nieruchomości warszawskich, wydanych z naruszeniem prawa (Dz.U. z 2021 r. poz. 795), w wykonaniu postanowienia Komisji do spraw reprywatyzacji nieruchomości warszawskich z dnia  30 listopada  2022 r., sygn. akt KR II R 92/22</w:t>
      </w:r>
    </w:p>
    <w:p w14:paraId="1ED6A944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zawiadamiam następujące strony:</w:t>
      </w:r>
    </w:p>
    <w:p w14:paraId="2C28462F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 xml:space="preserve">- Miasto Stołeczne Warszawa, </w:t>
      </w:r>
    </w:p>
    <w:p w14:paraId="2019408F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 xml:space="preserve">- Elżbietę Majchrzak </w:t>
      </w:r>
    </w:p>
    <w:p w14:paraId="03CE6C5E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1201164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o wszczęciu w dniu 30 listopada 2022 r. z urzędu postępowania rozpoznawczego </w:t>
      </w:r>
    </w:p>
    <w:p w14:paraId="0F88147C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w przedmiocie decyzji Prezydenta m.st. Warszawy z dnia 22 października 2015 r. nr 591/GK/DW/2015 dotyczącej niezabudowanego gruntu o pow. 501 m², położonego w  Warszawie Dzielnicy Bielany przy Al. Zjednoczenia 46,  dawny hip. nr 12377, oznaczonego jako działka ewidencyjna nr 53/11 w obrębie 7-05-05, uregulowanego w  księdze wieczystej KW nr WA1M/00153434/2.</w:t>
      </w:r>
    </w:p>
    <w:p w14:paraId="2F98B90B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853D7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53D7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53D79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53D79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                      </w:t>
      </w:r>
    </w:p>
    <w:p w14:paraId="28DF8790" w14:textId="728691EA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659C924F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42A5D703" w14:textId="6927FF1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42713AE" w14:textId="541DEAE9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2. Zgodnie z art. 33 ustawy z dnia 14 czerwca 1960 r. – Kodeks postępowania administracyjnego (Dz. U. z 2022 r. poz. 2000):</w:t>
      </w:r>
    </w:p>
    <w:p w14:paraId="3A2ABD6C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§ 1. Pełnomocnikiem strony może być osoba fizyczna posiadająca zdolność do czynności prawnych.</w:t>
      </w:r>
    </w:p>
    <w:p w14:paraId="14B1AF74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§ 2. Pełnomocnictwo powinno być udzielone na piśmie, w formie dokumentu elektronicznego lub zgłoszone do protokołu.</w:t>
      </w:r>
    </w:p>
    <w:p w14:paraId="7FA4B919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6D5DEA9E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46FE9706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FF4A31D" w14:textId="77777777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7225285" w14:textId="4D2EADEC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3. 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AC4A0FD" w14:textId="44D0F8DA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 xml:space="preserve">4. Zgodnie z art.  351 ust. 4 ustawy z dnia 6 lipca 1982 r. ustawy o radach prawnych (Dz. U. z 2022 r. poz. 1166) aplikant radcowski może sporządzać i podpisywać </w:t>
      </w:r>
      <w:r w:rsidRPr="00853D79">
        <w:rPr>
          <w:rFonts w:ascii="Arial" w:eastAsia="Times New Roman" w:hAnsi="Arial" w:cs="Arial"/>
          <w:sz w:val="24"/>
          <w:szCs w:val="24"/>
          <w:lang w:eastAsia="zh-CN"/>
        </w:rPr>
        <w:lastRenderedPageBreak/>
        <w:t>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44610099" w14:textId="140A2DBD" w:rsidR="00CA41A4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5. Zgodnie z art. 25 ust. 3 ustawy z dnia 26 maja 1982 r. – Prawo o adwokaturze (Dz. U. z 2022 r. poz. 1184) w wypadku gdy adwokat prowadzący sprawę nie może wziąć osobiście udziału w rozprawie lub wykonać osobiście poszczególnych czynności w sprawie, może on udzielić substytucji.</w:t>
      </w:r>
    </w:p>
    <w:p w14:paraId="050238B3" w14:textId="611C5E82" w:rsidR="006B4E3C" w:rsidRPr="00853D79" w:rsidRDefault="00CA41A4" w:rsidP="00CA41A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53D79">
        <w:rPr>
          <w:rFonts w:ascii="Arial" w:eastAsia="Times New Roman" w:hAnsi="Arial" w:cs="Arial"/>
          <w:sz w:val="24"/>
          <w:szCs w:val="24"/>
          <w:lang w:eastAsia="zh-CN"/>
        </w:rPr>
        <w:t>6. Zgodnie z art. 77 ust. 5 ustawy z dnia 26 maja 1982 r. – Prawo o adwokaturze (Dz. U. z 2022 r. poz. 1184) 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sectPr w:rsidR="006B4E3C" w:rsidRPr="00853D79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36FE" w14:textId="77777777" w:rsidR="00401324" w:rsidRDefault="00401324">
      <w:pPr>
        <w:spacing w:after="0" w:line="240" w:lineRule="auto"/>
      </w:pPr>
      <w:r>
        <w:separator/>
      </w:r>
    </w:p>
  </w:endnote>
  <w:endnote w:type="continuationSeparator" w:id="0">
    <w:p w14:paraId="4BA889C3" w14:textId="77777777" w:rsidR="00401324" w:rsidRDefault="0040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1066" w14:textId="77777777" w:rsidR="00401324" w:rsidRDefault="00401324">
      <w:pPr>
        <w:spacing w:after="0" w:line="240" w:lineRule="auto"/>
      </w:pPr>
      <w:r>
        <w:separator/>
      </w:r>
    </w:p>
  </w:footnote>
  <w:footnote w:type="continuationSeparator" w:id="0">
    <w:p w14:paraId="4E129D16" w14:textId="77777777" w:rsidR="00401324" w:rsidRDefault="0040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E81BB8"/>
    <w:multiLevelType w:val="hybridMultilevel"/>
    <w:tmpl w:val="B5E4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61D5"/>
    <w:multiLevelType w:val="hybridMultilevel"/>
    <w:tmpl w:val="7C58D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06227D"/>
    <w:multiLevelType w:val="hybridMultilevel"/>
    <w:tmpl w:val="E09A1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817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8154">
    <w:abstractNumId w:val="6"/>
  </w:num>
  <w:num w:numId="3" w16cid:durableId="78644557">
    <w:abstractNumId w:val="1"/>
  </w:num>
  <w:num w:numId="4" w16cid:durableId="140730066">
    <w:abstractNumId w:val="0"/>
  </w:num>
  <w:num w:numId="5" w16cid:durableId="1813136173">
    <w:abstractNumId w:val="3"/>
  </w:num>
  <w:num w:numId="6" w16cid:durableId="1484852042">
    <w:abstractNumId w:val="2"/>
  </w:num>
  <w:num w:numId="7" w16cid:durableId="1035079993">
    <w:abstractNumId w:val="7"/>
  </w:num>
  <w:num w:numId="8" w16cid:durableId="1187598092">
    <w:abstractNumId w:val="5"/>
  </w:num>
  <w:num w:numId="9" w16cid:durableId="407386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555FE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07FF7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E6542"/>
    <w:rsid w:val="003F2AD4"/>
    <w:rsid w:val="003F451E"/>
    <w:rsid w:val="0040132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C40EF"/>
    <w:rsid w:val="004D0039"/>
    <w:rsid w:val="004D24AE"/>
    <w:rsid w:val="004D52BE"/>
    <w:rsid w:val="00521128"/>
    <w:rsid w:val="00533A48"/>
    <w:rsid w:val="00580690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53D79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2837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3966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73374"/>
    <w:rsid w:val="00C9679B"/>
    <w:rsid w:val="00C96AE4"/>
    <w:rsid w:val="00CA0BD6"/>
    <w:rsid w:val="00CA23BD"/>
    <w:rsid w:val="00CA41A4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91.22 zawiadomienie stron o wszczęciu postępowania z 30.11.2022 r. wersja cyfrowa [opublikowano w BIP 21.12.2022 r.]</vt:lpstr>
    </vt:vector>
  </TitlesOfParts>
  <Company>MS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92.22 zawiadomienie stron o wszczęciu postępowania z 30.11.2022 r. wersja cyfrowa [opublikowano w BIP 21.12.2022 r.]</dc:title>
  <dc:subject/>
  <dc:creator>Stachoń-Burtek Joanna  (DPA)</dc:creator>
  <cp:keywords/>
  <cp:lastModifiedBy>Wojnarowicz Anna  (DPA)</cp:lastModifiedBy>
  <cp:revision>2</cp:revision>
  <cp:lastPrinted>2022-09-29T11:19:00Z</cp:lastPrinted>
  <dcterms:created xsi:type="dcterms:W3CDTF">2022-12-21T10:11:00Z</dcterms:created>
  <dcterms:modified xsi:type="dcterms:W3CDTF">2022-12-21T10:11:00Z</dcterms:modified>
</cp:coreProperties>
</file>