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1F23" w14:textId="6BFA885B" w:rsidR="008C016A" w:rsidRDefault="00056307" w:rsidP="00056307">
      <w:pPr>
        <w:jc w:val="center"/>
        <w:rPr>
          <w:b/>
          <w:bCs/>
          <w:sz w:val="20"/>
          <w:szCs w:val="20"/>
          <w:lang w:val="en-US"/>
        </w:rPr>
      </w:pPr>
      <w:r>
        <w:rPr>
          <w:b/>
          <w:bCs/>
          <w:sz w:val="20"/>
          <w:szCs w:val="20"/>
          <w:lang w:val="en-US"/>
        </w:rPr>
        <w:t>INSTRUCTIONS</w:t>
      </w:r>
      <w:r w:rsidRPr="00056307">
        <w:rPr>
          <w:b/>
          <w:bCs/>
          <w:sz w:val="20"/>
          <w:szCs w:val="20"/>
          <w:lang w:val="en-US"/>
        </w:rPr>
        <w:br/>
        <w:t>SERVICE OF A COPY OF THE APPLICATION ON A PARTICIPANT IN THE PROCEEDINGS</w:t>
      </w:r>
      <w:r w:rsidRPr="00056307">
        <w:rPr>
          <w:b/>
          <w:bCs/>
          <w:sz w:val="20"/>
          <w:szCs w:val="20"/>
          <w:lang w:val="en-US"/>
        </w:rPr>
        <w:br/>
        <w:t>(civil proceedings)</w:t>
      </w:r>
    </w:p>
    <w:p w14:paraId="0B5793D6" w14:textId="77777777" w:rsidR="00056307" w:rsidRDefault="00056307" w:rsidP="00056307">
      <w:pPr>
        <w:jc w:val="center"/>
        <w:rPr>
          <w:b/>
          <w:bCs/>
          <w:sz w:val="20"/>
          <w:szCs w:val="20"/>
          <w:lang w:val="en-US"/>
        </w:rPr>
      </w:pPr>
    </w:p>
    <w:p w14:paraId="5BB513F4" w14:textId="7CE5D155" w:rsidR="00056307" w:rsidRDefault="00056307" w:rsidP="00056307">
      <w:pPr>
        <w:pStyle w:val="Akapitzlist"/>
        <w:numPr>
          <w:ilvl w:val="0"/>
          <w:numId w:val="1"/>
        </w:numPr>
        <w:jc w:val="both"/>
        <w:rPr>
          <w:sz w:val="20"/>
          <w:szCs w:val="20"/>
          <w:lang w:val="en-US"/>
        </w:rPr>
      </w:pPr>
      <w:r w:rsidRPr="00056307">
        <w:rPr>
          <w:sz w:val="20"/>
          <w:szCs w:val="20"/>
          <w:lang w:val="en-US"/>
        </w:rPr>
        <w:t>You have just received a copy of the application along with attachments, which means that you are a participant in proceedings before the court. This letter constitutes a set of important instructions regarding the rights and obligations of a participant in the proceedings and indicates the manner in which the proceedings before the court will continue.</w:t>
      </w:r>
    </w:p>
    <w:p w14:paraId="15954401" w14:textId="77777777" w:rsidR="00056307" w:rsidRDefault="00056307" w:rsidP="00056307">
      <w:pPr>
        <w:pStyle w:val="Akapitzlist"/>
        <w:ind w:left="1080"/>
        <w:jc w:val="both"/>
        <w:rPr>
          <w:sz w:val="20"/>
          <w:szCs w:val="20"/>
          <w:lang w:val="en-US"/>
        </w:rPr>
      </w:pPr>
    </w:p>
    <w:p w14:paraId="3A7F6B3E" w14:textId="0394FAF4" w:rsidR="00056307" w:rsidRPr="00056307" w:rsidRDefault="00056307" w:rsidP="00056307">
      <w:pPr>
        <w:pStyle w:val="Akapitzlist"/>
        <w:ind w:left="1080"/>
        <w:jc w:val="both"/>
        <w:rPr>
          <w:b/>
          <w:bCs/>
          <w:sz w:val="20"/>
          <w:szCs w:val="20"/>
          <w:lang w:val="en-US"/>
        </w:rPr>
      </w:pPr>
      <w:r w:rsidRPr="00056307">
        <w:rPr>
          <w:b/>
          <w:bCs/>
          <w:sz w:val="20"/>
          <w:szCs w:val="20"/>
          <w:lang w:val="en-US"/>
        </w:rPr>
        <w:t>A participant in the proceedings who has not familiarized themselves with these instructions bears the risk of procedural consequences resulting from this, including the effects related to not knowing the rights and obligations set out therein.</w:t>
      </w:r>
    </w:p>
    <w:p w14:paraId="266EE29C" w14:textId="77777777" w:rsidR="00056307" w:rsidRDefault="00056307" w:rsidP="00056307">
      <w:pPr>
        <w:pStyle w:val="Akapitzlist"/>
        <w:ind w:left="1080"/>
        <w:jc w:val="both"/>
        <w:rPr>
          <w:sz w:val="20"/>
          <w:szCs w:val="20"/>
          <w:lang w:val="en-US"/>
        </w:rPr>
      </w:pPr>
    </w:p>
    <w:p w14:paraId="4DD9B5A1" w14:textId="4912BF0F" w:rsidR="00056307" w:rsidRPr="00056307" w:rsidRDefault="00056307" w:rsidP="00056307">
      <w:pPr>
        <w:pStyle w:val="Akapitzlist"/>
        <w:ind w:left="1080"/>
        <w:jc w:val="both"/>
        <w:rPr>
          <w:sz w:val="20"/>
          <w:szCs w:val="20"/>
          <w:lang w:val="en-US"/>
        </w:rPr>
      </w:pPr>
      <w:r w:rsidRPr="00056307">
        <w:rPr>
          <w:b/>
          <w:bCs/>
          <w:sz w:val="20"/>
          <w:szCs w:val="20"/>
          <w:lang w:val="en-US"/>
        </w:rPr>
        <w:t>Applicant</w:t>
      </w:r>
      <w:r w:rsidRPr="00056307">
        <w:rPr>
          <w:sz w:val="20"/>
          <w:szCs w:val="20"/>
          <w:lang w:val="en-US"/>
        </w:rPr>
        <w:t xml:space="preserve"> – a person who submitted an application to the court to initiate proceedings (e.g., for</w:t>
      </w:r>
      <w:r w:rsidR="00950EB6">
        <w:rPr>
          <w:sz w:val="20"/>
          <w:szCs w:val="20"/>
          <w:lang w:val="en-US"/>
        </w:rPr>
        <w:br/>
      </w:r>
      <w:r w:rsidRPr="00056307">
        <w:rPr>
          <w:sz w:val="20"/>
          <w:szCs w:val="20"/>
          <w:lang w:val="en-US"/>
        </w:rPr>
        <w:t>a declaration of inheritance, division of an estate, dissolution of co-ownership, division of property of former spouses, or adverse possession);</w:t>
      </w:r>
    </w:p>
    <w:p w14:paraId="5A84D391" w14:textId="261EB488" w:rsidR="00056307" w:rsidRPr="00056307" w:rsidRDefault="00056307" w:rsidP="00056307">
      <w:pPr>
        <w:pStyle w:val="Akapitzlist"/>
        <w:ind w:left="1080"/>
        <w:jc w:val="both"/>
        <w:rPr>
          <w:sz w:val="20"/>
          <w:szCs w:val="20"/>
          <w:lang w:val="en-US"/>
        </w:rPr>
      </w:pPr>
      <w:r w:rsidRPr="00056307">
        <w:rPr>
          <w:sz w:val="20"/>
          <w:szCs w:val="20"/>
          <w:lang w:val="en-US"/>
        </w:rPr>
        <w:br/>
      </w:r>
      <w:r w:rsidRPr="00056307">
        <w:rPr>
          <w:b/>
          <w:bCs/>
          <w:sz w:val="20"/>
          <w:szCs w:val="20"/>
          <w:lang w:val="en-US"/>
        </w:rPr>
        <w:t>Participant</w:t>
      </w:r>
      <w:r w:rsidRPr="00056307">
        <w:rPr>
          <w:sz w:val="20"/>
          <w:szCs w:val="20"/>
          <w:lang w:val="en-US"/>
        </w:rPr>
        <w:t xml:space="preserve"> – a person who takes part in the proceedings </w:t>
      </w:r>
      <w:r w:rsidRPr="00950EB6">
        <w:rPr>
          <w:b/>
          <w:bCs/>
          <w:sz w:val="20"/>
          <w:szCs w:val="20"/>
          <w:lang w:val="en-US"/>
        </w:rPr>
        <w:t>(including the applicant)</w:t>
      </w:r>
      <w:r w:rsidRPr="00056307">
        <w:rPr>
          <w:sz w:val="20"/>
          <w:szCs w:val="20"/>
          <w:lang w:val="en-US"/>
        </w:rPr>
        <w:t>;</w:t>
      </w:r>
    </w:p>
    <w:p w14:paraId="279C49EC" w14:textId="2E642E7F" w:rsidR="00056307" w:rsidRPr="00056307" w:rsidRDefault="00056307" w:rsidP="00056307">
      <w:pPr>
        <w:pStyle w:val="Akapitzlist"/>
        <w:ind w:left="1080"/>
        <w:jc w:val="both"/>
        <w:rPr>
          <w:sz w:val="20"/>
          <w:szCs w:val="20"/>
          <w:lang w:val="en-US"/>
        </w:rPr>
      </w:pPr>
      <w:r w:rsidRPr="00056307">
        <w:rPr>
          <w:sz w:val="20"/>
          <w:szCs w:val="20"/>
          <w:lang w:val="en-US"/>
        </w:rPr>
        <w:br/>
      </w:r>
      <w:r w:rsidRPr="00056307">
        <w:rPr>
          <w:b/>
          <w:bCs/>
          <w:sz w:val="20"/>
          <w:szCs w:val="20"/>
          <w:lang w:val="en-US"/>
        </w:rPr>
        <w:t>Application</w:t>
      </w:r>
      <w:r w:rsidRPr="00056307">
        <w:rPr>
          <w:sz w:val="20"/>
          <w:szCs w:val="20"/>
          <w:lang w:val="en-US"/>
        </w:rPr>
        <w:t xml:space="preserve"> – a document initiating proceedings submitted by the applicant;</w:t>
      </w:r>
    </w:p>
    <w:p w14:paraId="7DCF4E47" w14:textId="73E80551" w:rsidR="00056307" w:rsidRDefault="00056307" w:rsidP="00056307">
      <w:pPr>
        <w:pStyle w:val="Akapitzlist"/>
        <w:ind w:left="1080"/>
        <w:jc w:val="both"/>
        <w:rPr>
          <w:sz w:val="20"/>
          <w:szCs w:val="20"/>
          <w:lang w:val="en-US"/>
        </w:rPr>
      </w:pPr>
      <w:r w:rsidRPr="00056307">
        <w:rPr>
          <w:sz w:val="20"/>
          <w:szCs w:val="20"/>
          <w:lang w:val="en-US"/>
        </w:rPr>
        <w:br/>
      </w:r>
      <w:r w:rsidRPr="00056307">
        <w:rPr>
          <w:b/>
          <w:bCs/>
          <w:sz w:val="20"/>
          <w:szCs w:val="20"/>
          <w:lang w:val="en-US"/>
        </w:rPr>
        <w:t xml:space="preserve">Preparatory submission </w:t>
      </w:r>
      <w:r w:rsidRPr="00056307">
        <w:rPr>
          <w:sz w:val="20"/>
          <w:szCs w:val="20"/>
          <w:lang w:val="en-US"/>
        </w:rPr>
        <w:t>– a document submitted by a participant, e.g., a response to the application or further documents submitted during the proceedings.</w:t>
      </w:r>
    </w:p>
    <w:p w14:paraId="273185FE" w14:textId="67CAC9AD" w:rsidR="00056307" w:rsidRPr="002C4C8A" w:rsidRDefault="002C4C8A" w:rsidP="00056307">
      <w:pPr>
        <w:pStyle w:val="Akapitzlist"/>
        <w:numPr>
          <w:ilvl w:val="0"/>
          <w:numId w:val="1"/>
        </w:numPr>
        <w:jc w:val="both"/>
        <w:rPr>
          <w:sz w:val="20"/>
          <w:szCs w:val="20"/>
          <w:lang w:val="en-US"/>
        </w:rPr>
      </w:pPr>
      <w:r w:rsidRPr="00950EB6">
        <w:rPr>
          <w:b/>
          <w:bCs/>
          <w:sz w:val="20"/>
          <w:szCs w:val="20"/>
          <w:lang w:val="en-US"/>
        </w:rPr>
        <w:t>The presiding judge may require a participant to submit a response to the application</w:t>
      </w:r>
      <w:r w:rsidRPr="002C4C8A">
        <w:rPr>
          <w:sz w:val="20"/>
          <w:szCs w:val="20"/>
          <w:lang w:val="en-US"/>
        </w:rPr>
        <w:t xml:space="preserve"> within a set period, not shorter than two weeks. In such a case, submitting a response to the application is an obligation of the participant (Article 511</w:t>
      </w:r>
      <w:r w:rsidRPr="00950EB6">
        <w:rPr>
          <w:sz w:val="20"/>
          <w:szCs w:val="20"/>
          <w:vertAlign w:val="superscript"/>
          <w:lang w:val="en-US"/>
        </w:rPr>
        <w:t>2</w:t>
      </w:r>
      <w:r w:rsidRPr="002C4C8A">
        <w:rPr>
          <w:sz w:val="20"/>
          <w:szCs w:val="20"/>
          <w:lang w:val="en-US"/>
        </w:rPr>
        <w:t xml:space="preserve"> § 1 C.C.P. of 17 November 1964 </w:t>
      </w:r>
      <w:r w:rsidR="009373E6" w:rsidRPr="009373E6">
        <w:rPr>
          <w:sz w:val="20"/>
          <w:szCs w:val="20"/>
          <w:lang w:val="en-US"/>
        </w:rPr>
        <w:t>–</w:t>
      </w:r>
      <w:r w:rsidR="00950EB6">
        <w:rPr>
          <w:sz w:val="20"/>
          <w:szCs w:val="20"/>
          <w:lang w:val="en-US"/>
        </w:rPr>
        <w:t xml:space="preserve"> </w:t>
      </w:r>
      <w:r w:rsidR="009373E6">
        <w:rPr>
          <w:sz w:val="20"/>
          <w:szCs w:val="20"/>
          <w:lang w:val="en-US"/>
        </w:rPr>
        <w:t xml:space="preserve">Code of </w:t>
      </w:r>
      <w:r w:rsidRPr="002C4C8A">
        <w:rPr>
          <w:sz w:val="20"/>
          <w:szCs w:val="20"/>
          <w:lang w:val="en-US"/>
        </w:rPr>
        <w:t xml:space="preserve">Civil Procedure (Journal of Laws </w:t>
      </w:r>
      <w:r w:rsidR="009373E6">
        <w:rPr>
          <w:sz w:val="20"/>
          <w:szCs w:val="20"/>
          <w:lang w:val="en-US"/>
        </w:rPr>
        <w:t xml:space="preserve">of </w:t>
      </w:r>
      <w:r w:rsidRPr="002C4C8A">
        <w:rPr>
          <w:sz w:val="20"/>
          <w:szCs w:val="20"/>
          <w:lang w:val="en-US"/>
        </w:rPr>
        <w:t>2024</w:t>
      </w:r>
      <w:r w:rsidR="009373E6">
        <w:rPr>
          <w:sz w:val="20"/>
          <w:szCs w:val="20"/>
          <w:lang w:val="en-US"/>
        </w:rPr>
        <w:t xml:space="preserve">, item </w:t>
      </w:r>
      <w:r w:rsidRPr="002C4C8A">
        <w:rPr>
          <w:sz w:val="20"/>
          <w:szCs w:val="20"/>
          <w:lang w:val="en-US"/>
        </w:rPr>
        <w:t>1568</w:t>
      </w:r>
      <w:r w:rsidR="009373E6">
        <w:rPr>
          <w:sz w:val="20"/>
          <w:szCs w:val="20"/>
          <w:lang w:val="en-US"/>
        </w:rPr>
        <w:t>,</w:t>
      </w:r>
      <w:r w:rsidRPr="002C4C8A">
        <w:rPr>
          <w:sz w:val="20"/>
          <w:szCs w:val="20"/>
          <w:lang w:val="en-US"/>
        </w:rPr>
        <w:t xml:space="preserve"> consolidated text – hereinafter C.C.P.)).</w:t>
      </w:r>
    </w:p>
    <w:p w14:paraId="0512F683" w14:textId="77777777" w:rsidR="002C4C8A" w:rsidRDefault="002C4C8A" w:rsidP="002C4C8A">
      <w:pPr>
        <w:pStyle w:val="Akapitzlist"/>
        <w:ind w:left="1080"/>
        <w:jc w:val="both"/>
        <w:rPr>
          <w:sz w:val="20"/>
          <w:szCs w:val="20"/>
          <w:lang w:val="en-US"/>
        </w:rPr>
      </w:pPr>
    </w:p>
    <w:p w14:paraId="4ABC0484" w14:textId="46A9D201" w:rsidR="002C4C8A" w:rsidRDefault="002C4C8A" w:rsidP="002C4C8A">
      <w:pPr>
        <w:pStyle w:val="Akapitzlist"/>
        <w:ind w:left="1080"/>
        <w:jc w:val="both"/>
        <w:rPr>
          <w:sz w:val="20"/>
          <w:szCs w:val="20"/>
          <w:lang w:val="en-US"/>
        </w:rPr>
      </w:pPr>
      <w:r w:rsidRPr="002C4C8A">
        <w:rPr>
          <w:sz w:val="20"/>
          <w:szCs w:val="20"/>
          <w:lang w:val="en-US"/>
        </w:rPr>
        <w:t>A response to the application submitted after this deadline shall be returned (Article 205</w:t>
      </w:r>
      <w:r w:rsidRPr="009373E6">
        <w:rPr>
          <w:sz w:val="20"/>
          <w:szCs w:val="20"/>
          <w:vertAlign w:val="superscript"/>
          <w:lang w:val="en-US"/>
        </w:rPr>
        <w:t>1</w:t>
      </w:r>
      <w:r w:rsidRPr="002C4C8A">
        <w:rPr>
          <w:sz w:val="20"/>
          <w:szCs w:val="20"/>
          <w:lang w:val="en-US"/>
        </w:rPr>
        <w:t xml:space="preserve"> § 2 C.C.P. in conjunction with Article 13 § 2 C.C.P.).</w:t>
      </w:r>
    </w:p>
    <w:p w14:paraId="2CC2A6D5" w14:textId="77777777" w:rsidR="002C4C8A" w:rsidRDefault="002C4C8A" w:rsidP="002C4C8A">
      <w:pPr>
        <w:pStyle w:val="Akapitzlist"/>
        <w:ind w:left="1080"/>
        <w:jc w:val="both"/>
        <w:rPr>
          <w:sz w:val="20"/>
          <w:szCs w:val="20"/>
          <w:lang w:val="en-US"/>
        </w:rPr>
      </w:pPr>
    </w:p>
    <w:p w14:paraId="4F7B253C" w14:textId="464E0D89" w:rsidR="002C4C8A" w:rsidRDefault="002C4C8A" w:rsidP="002C4C8A">
      <w:pPr>
        <w:pStyle w:val="Akapitzlist"/>
        <w:ind w:left="1080"/>
        <w:jc w:val="both"/>
        <w:rPr>
          <w:sz w:val="20"/>
          <w:szCs w:val="20"/>
          <w:lang w:val="en-US"/>
        </w:rPr>
      </w:pPr>
      <w:r w:rsidRPr="002C4C8A">
        <w:rPr>
          <w:sz w:val="20"/>
          <w:szCs w:val="20"/>
          <w:lang w:val="en-US"/>
        </w:rPr>
        <w:t>A response to the application should include (Article 126 C.C.P. in conjunction with Article 13 § 2 C.C.P.):</w:t>
      </w:r>
    </w:p>
    <w:p w14:paraId="01B57629" w14:textId="603D3431" w:rsidR="002C4C8A" w:rsidRDefault="002C4C8A" w:rsidP="002C4C8A">
      <w:pPr>
        <w:pStyle w:val="Akapitzlist"/>
        <w:numPr>
          <w:ilvl w:val="0"/>
          <w:numId w:val="2"/>
        </w:numPr>
        <w:jc w:val="both"/>
        <w:rPr>
          <w:sz w:val="20"/>
          <w:szCs w:val="20"/>
          <w:lang w:val="en-US"/>
        </w:rPr>
      </w:pPr>
      <w:r w:rsidRPr="002C4C8A">
        <w:rPr>
          <w:sz w:val="20"/>
          <w:szCs w:val="20"/>
          <w:lang w:val="en-US"/>
        </w:rPr>
        <w:t>the designation of the court to which it is addressed and the case file reference number;</w:t>
      </w:r>
    </w:p>
    <w:p w14:paraId="37D56424" w14:textId="56B45AF5" w:rsidR="002C4C8A" w:rsidRDefault="002C4C8A" w:rsidP="002C4C8A">
      <w:pPr>
        <w:pStyle w:val="Akapitzlist"/>
        <w:numPr>
          <w:ilvl w:val="0"/>
          <w:numId w:val="2"/>
        </w:numPr>
        <w:jc w:val="both"/>
        <w:rPr>
          <w:sz w:val="20"/>
          <w:szCs w:val="20"/>
          <w:lang w:val="en-US"/>
        </w:rPr>
      </w:pPr>
      <w:r w:rsidRPr="002C4C8A">
        <w:rPr>
          <w:sz w:val="20"/>
          <w:szCs w:val="20"/>
          <w:lang w:val="en-US"/>
        </w:rPr>
        <w:t>the names of the participants, their legal representatives, and attorneys;</w:t>
      </w:r>
    </w:p>
    <w:p w14:paraId="11D058AF" w14:textId="7C313019" w:rsidR="002C4C8A" w:rsidRDefault="002C4C8A" w:rsidP="002C4C8A">
      <w:pPr>
        <w:pStyle w:val="Akapitzlist"/>
        <w:numPr>
          <w:ilvl w:val="0"/>
          <w:numId w:val="2"/>
        </w:numPr>
        <w:jc w:val="both"/>
        <w:rPr>
          <w:sz w:val="20"/>
          <w:szCs w:val="20"/>
          <w:lang w:val="en-US"/>
        </w:rPr>
      </w:pPr>
      <w:r w:rsidRPr="002C4C8A">
        <w:rPr>
          <w:sz w:val="20"/>
          <w:szCs w:val="20"/>
          <w:lang w:val="en-US"/>
        </w:rPr>
        <w:t>the type of document (</w:t>
      </w:r>
      <w:r w:rsidRPr="00A62A29">
        <w:rPr>
          <w:i/>
          <w:iCs/>
          <w:sz w:val="20"/>
          <w:szCs w:val="20"/>
          <w:lang w:val="en-US"/>
        </w:rPr>
        <w:t>response to the application</w:t>
      </w:r>
      <w:r w:rsidRPr="002C4C8A">
        <w:rPr>
          <w:sz w:val="20"/>
          <w:szCs w:val="20"/>
          <w:lang w:val="en-US"/>
        </w:rPr>
        <w:t>);</w:t>
      </w:r>
    </w:p>
    <w:p w14:paraId="2AEDBD1A" w14:textId="625A4D88" w:rsidR="002C4C8A" w:rsidRDefault="002C4C8A" w:rsidP="002C4C8A">
      <w:pPr>
        <w:pStyle w:val="Akapitzlist"/>
        <w:numPr>
          <w:ilvl w:val="0"/>
          <w:numId w:val="2"/>
        </w:numPr>
        <w:jc w:val="both"/>
        <w:rPr>
          <w:sz w:val="20"/>
          <w:szCs w:val="20"/>
          <w:lang w:val="en-US"/>
        </w:rPr>
      </w:pPr>
      <w:r w:rsidRPr="002C4C8A">
        <w:rPr>
          <w:sz w:val="20"/>
          <w:szCs w:val="20"/>
          <w:lang w:val="en-US"/>
        </w:rPr>
        <w:t xml:space="preserve">the substance of the </w:t>
      </w:r>
      <w:r w:rsidR="00A62A29">
        <w:rPr>
          <w:sz w:val="20"/>
          <w:szCs w:val="20"/>
          <w:lang w:val="en-US"/>
        </w:rPr>
        <w:t>application</w:t>
      </w:r>
      <w:r w:rsidRPr="002C4C8A">
        <w:rPr>
          <w:sz w:val="20"/>
          <w:szCs w:val="20"/>
          <w:lang w:val="en-US"/>
        </w:rPr>
        <w:t xml:space="preserve"> or statement;</w:t>
      </w:r>
    </w:p>
    <w:p w14:paraId="36C7BAD1" w14:textId="3CD0BBFD" w:rsidR="002C4C8A" w:rsidRDefault="002C4C8A" w:rsidP="002C4C8A">
      <w:pPr>
        <w:pStyle w:val="Akapitzlist"/>
        <w:numPr>
          <w:ilvl w:val="0"/>
          <w:numId w:val="2"/>
        </w:numPr>
        <w:jc w:val="both"/>
        <w:rPr>
          <w:sz w:val="20"/>
          <w:szCs w:val="20"/>
          <w:lang w:val="en-US"/>
        </w:rPr>
      </w:pPr>
      <w:r w:rsidRPr="002C4C8A">
        <w:rPr>
          <w:sz w:val="20"/>
          <w:szCs w:val="20"/>
          <w:lang w:val="en-US"/>
        </w:rPr>
        <w:t>if necessary for the resolution of the case – specification of the facts on which the participant bases their request or statement, and indication of evidence to prove each of these facts;</w:t>
      </w:r>
    </w:p>
    <w:p w14:paraId="3C458D7C" w14:textId="6E1B5D2C" w:rsidR="002C4C8A" w:rsidRDefault="002C4C8A" w:rsidP="002C4C8A">
      <w:pPr>
        <w:pStyle w:val="Akapitzlist"/>
        <w:numPr>
          <w:ilvl w:val="0"/>
          <w:numId w:val="2"/>
        </w:numPr>
        <w:jc w:val="both"/>
        <w:rPr>
          <w:sz w:val="20"/>
          <w:szCs w:val="20"/>
          <w:lang w:val="en-US"/>
        </w:rPr>
      </w:pPr>
      <w:r w:rsidRPr="002C4C8A">
        <w:rPr>
          <w:sz w:val="20"/>
          <w:szCs w:val="20"/>
          <w:lang w:val="en-US"/>
        </w:rPr>
        <w:t>signature of the participant or their legal representative or attorney;</w:t>
      </w:r>
    </w:p>
    <w:p w14:paraId="760E744E" w14:textId="58C50541" w:rsidR="002C4C8A" w:rsidRPr="007D2D43" w:rsidRDefault="00A62A29" w:rsidP="002C4C8A">
      <w:pPr>
        <w:pStyle w:val="Akapitzlist"/>
        <w:numPr>
          <w:ilvl w:val="0"/>
          <w:numId w:val="2"/>
        </w:numPr>
        <w:jc w:val="both"/>
        <w:rPr>
          <w:sz w:val="20"/>
          <w:szCs w:val="20"/>
          <w:lang w:val="en-US"/>
        </w:rPr>
      </w:pPr>
      <w:r>
        <w:rPr>
          <w:sz w:val="20"/>
          <w:szCs w:val="20"/>
        </w:rPr>
        <w:t xml:space="preserve">a </w:t>
      </w:r>
      <w:r w:rsidR="002C4C8A">
        <w:rPr>
          <w:sz w:val="20"/>
          <w:szCs w:val="20"/>
        </w:rPr>
        <w:t>list</w:t>
      </w:r>
      <w:r w:rsidR="002C4C8A" w:rsidRPr="002C4C8A">
        <w:rPr>
          <w:sz w:val="20"/>
          <w:szCs w:val="20"/>
        </w:rPr>
        <w:t xml:space="preserve"> of </w:t>
      </w:r>
      <w:proofErr w:type="spellStart"/>
      <w:r w:rsidR="002C4C8A" w:rsidRPr="002C4C8A">
        <w:rPr>
          <w:sz w:val="20"/>
          <w:szCs w:val="20"/>
        </w:rPr>
        <w:t>attachments</w:t>
      </w:r>
      <w:proofErr w:type="spellEnd"/>
      <w:r w:rsidR="002C4C8A" w:rsidRPr="002C4C8A">
        <w:rPr>
          <w:sz w:val="20"/>
          <w:szCs w:val="20"/>
        </w:rPr>
        <w:t>.</w:t>
      </w:r>
    </w:p>
    <w:p w14:paraId="212F8542" w14:textId="77777777" w:rsidR="002C4C8A" w:rsidRDefault="002C4C8A" w:rsidP="002C4C8A">
      <w:pPr>
        <w:pStyle w:val="Akapitzlist"/>
        <w:ind w:left="1080"/>
        <w:jc w:val="both"/>
        <w:rPr>
          <w:sz w:val="20"/>
          <w:szCs w:val="20"/>
          <w:lang w:val="en-US"/>
        </w:rPr>
      </w:pPr>
      <w:r w:rsidRPr="002C4C8A">
        <w:rPr>
          <w:sz w:val="20"/>
          <w:szCs w:val="20"/>
          <w:lang w:val="en-US"/>
        </w:rPr>
        <w:t>The</w:t>
      </w:r>
      <w:r>
        <w:rPr>
          <w:sz w:val="20"/>
          <w:szCs w:val="20"/>
          <w:lang w:val="en-US"/>
        </w:rPr>
        <w:t> </w:t>
      </w:r>
      <w:r w:rsidRPr="002C4C8A">
        <w:rPr>
          <w:sz w:val="20"/>
          <w:szCs w:val="20"/>
          <w:lang w:val="en-US"/>
        </w:rPr>
        <w:t>participant</w:t>
      </w:r>
      <w:r>
        <w:rPr>
          <w:sz w:val="20"/>
          <w:szCs w:val="20"/>
          <w:lang w:val="en-US"/>
        </w:rPr>
        <w:t> </w:t>
      </w:r>
      <w:r w:rsidRPr="002C4C8A">
        <w:rPr>
          <w:sz w:val="20"/>
          <w:szCs w:val="20"/>
          <w:lang w:val="en-US"/>
        </w:rPr>
        <w:t>should</w:t>
      </w:r>
      <w:r>
        <w:rPr>
          <w:sz w:val="20"/>
          <w:szCs w:val="20"/>
          <w:lang w:val="en-US"/>
        </w:rPr>
        <w:t> </w:t>
      </w:r>
      <w:r w:rsidRPr="002C4C8A">
        <w:rPr>
          <w:sz w:val="20"/>
          <w:szCs w:val="20"/>
          <w:lang w:val="en-US"/>
        </w:rPr>
        <w:t>attach</w:t>
      </w:r>
      <w:r>
        <w:rPr>
          <w:sz w:val="20"/>
          <w:szCs w:val="20"/>
          <w:lang w:val="en-US"/>
        </w:rPr>
        <w:t> </w:t>
      </w:r>
      <w:r w:rsidRPr="002C4C8A">
        <w:rPr>
          <w:sz w:val="20"/>
          <w:szCs w:val="20"/>
          <w:lang w:val="en-US"/>
        </w:rPr>
        <w:t>to</w:t>
      </w:r>
      <w:r>
        <w:rPr>
          <w:sz w:val="20"/>
          <w:szCs w:val="20"/>
          <w:lang w:val="en-US"/>
        </w:rPr>
        <w:t> </w:t>
      </w:r>
      <w:r w:rsidRPr="002C4C8A">
        <w:rPr>
          <w:sz w:val="20"/>
          <w:szCs w:val="20"/>
          <w:lang w:val="en-US"/>
        </w:rPr>
        <w:t>the</w:t>
      </w:r>
      <w:r>
        <w:rPr>
          <w:sz w:val="20"/>
          <w:szCs w:val="20"/>
          <w:lang w:val="en-US"/>
        </w:rPr>
        <w:t> </w:t>
      </w:r>
      <w:r w:rsidRPr="002C4C8A">
        <w:rPr>
          <w:sz w:val="20"/>
          <w:szCs w:val="20"/>
          <w:lang w:val="en-US"/>
        </w:rPr>
        <w:t>response</w:t>
      </w:r>
      <w:r>
        <w:rPr>
          <w:sz w:val="20"/>
          <w:szCs w:val="20"/>
          <w:lang w:val="en-US"/>
        </w:rPr>
        <w:t> </w:t>
      </w:r>
      <w:r w:rsidRPr="002C4C8A">
        <w:rPr>
          <w:sz w:val="20"/>
          <w:szCs w:val="20"/>
          <w:lang w:val="en-US"/>
        </w:rPr>
        <w:t>to</w:t>
      </w:r>
      <w:r>
        <w:rPr>
          <w:sz w:val="20"/>
          <w:szCs w:val="20"/>
          <w:lang w:val="en-US"/>
        </w:rPr>
        <w:t> </w:t>
      </w:r>
      <w:r w:rsidRPr="002C4C8A">
        <w:rPr>
          <w:sz w:val="20"/>
          <w:szCs w:val="20"/>
          <w:lang w:val="en-US"/>
        </w:rPr>
        <w:t>the</w:t>
      </w:r>
      <w:r>
        <w:rPr>
          <w:sz w:val="20"/>
          <w:szCs w:val="20"/>
          <w:lang w:val="en-US"/>
        </w:rPr>
        <w:t> </w:t>
      </w:r>
      <w:r w:rsidRPr="002C4C8A">
        <w:rPr>
          <w:sz w:val="20"/>
          <w:szCs w:val="20"/>
          <w:lang w:val="en-US"/>
        </w:rPr>
        <w:t>application:</w:t>
      </w:r>
    </w:p>
    <w:p w14:paraId="3717FDA8" w14:textId="5E04EF76" w:rsidR="002C4C8A" w:rsidRDefault="002C4C8A" w:rsidP="002C4C8A">
      <w:pPr>
        <w:pStyle w:val="Akapitzlist"/>
        <w:numPr>
          <w:ilvl w:val="0"/>
          <w:numId w:val="4"/>
        </w:numPr>
        <w:jc w:val="both"/>
        <w:rPr>
          <w:sz w:val="20"/>
          <w:szCs w:val="20"/>
          <w:lang w:val="en-US"/>
        </w:rPr>
      </w:pPr>
      <w:r w:rsidRPr="002C4C8A">
        <w:rPr>
          <w:sz w:val="20"/>
          <w:szCs w:val="20"/>
          <w:lang w:val="en-US"/>
        </w:rPr>
        <w:t>the attachments listed in the response to the application (Article 126 § 1</w:t>
      </w:r>
      <w:r w:rsidRPr="007D2D43">
        <w:rPr>
          <w:sz w:val="20"/>
          <w:szCs w:val="20"/>
          <w:vertAlign w:val="superscript"/>
          <w:lang w:val="en-US"/>
        </w:rPr>
        <w:t>1</w:t>
      </w:r>
      <w:r w:rsidRPr="002C4C8A">
        <w:rPr>
          <w:sz w:val="20"/>
          <w:szCs w:val="20"/>
          <w:lang w:val="en-US"/>
        </w:rPr>
        <w:t xml:space="preserve"> C.C.P. in conjunction with Article 13 § 2 C.C.P.);</w:t>
      </w:r>
    </w:p>
    <w:p w14:paraId="19424314" w14:textId="0A4D3C6D" w:rsidR="002C4C8A" w:rsidRDefault="002C4C8A" w:rsidP="002C4C8A">
      <w:pPr>
        <w:pStyle w:val="Akapitzlist"/>
        <w:numPr>
          <w:ilvl w:val="0"/>
          <w:numId w:val="4"/>
        </w:numPr>
        <w:jc w:val="both"/>
        <w:rPr>
          <w:sz w:val="20"/>
          <w:szCs w:val="20"/>
          <w:lang w:val="en-US"/>
        </w:rPr>
      </w:pPr>
      <w:r w:rsidRPr="002C4C8A">
        <w:rPr>
          <w:sz w:val="20"/>
          <w:szCs w:val="20"/>
          <w:lang w:val="en-US"/>
        </w:rPr>
        <w:t>a copy of the response to the application and copies of attachments for service to the persons participating in the proceedings, and, additionally, if the attachments were not submitted in the original to the court, one copy of each attachment to the court file (Article 128 § 1 C.C.P. in conjunction with Article 13 § 2 C.C.P.).</w:t>
      </w:r>
    </w:p>
    <w:p w14:paraId="32CE95AC" w14:textId="706094E6" w:rsidR="002C4C8A" w:rsidRDefault="002C4C8A" w:rsidP="002C4C8A">
      <w:pPr>
        <w:ind w:left="1077"/>
        <w:jc w:val="both"/>
        <w:rPr>
          <w:sz w:val="20"/>
          <w:szCs w:val="20"/>
          <w:lang w:val="en-US"/>
        </w:rPr>
      </w:pPr>
      <w:r w:rsidRPr="002C4C8A">
        <w:rPr>
          <w:sz w:val="20"/>
          <w:szCs w:val="20"/>
          <w:lang w:val="en-US"/>
        </w:rPr>
        <w:t xml:space="preserve">A participant who is a natural person should indicate their </w:t>
      </w:r>
      <w:r w:rsidRPr="007D2D43">
        <w:rPr>
          <w:b/>
          <w:bCs/>
          <w:sz w:val="20"/>
          <w:szCs w:val="20"/>
          <w:lang w:val="en-US"/>
        </w:rPr>
        <w:t>PESEL</w:t>
      </w:r>
      <w:r w:rsidRPr="002C4C8A">
        <w:rPr>
          <w:sz w:val="20"/>
          <w:szCs w:val="20"/>
          <w:lang w:val="en-US"/>
        </w:rPr>
        <w:t xml:space="preserve"> number in the first </w:t>
      </w:r>
      <w:r w:rsidR="007D2D43">
        <w:rPr>
          <w:sz w:val="20"/>
          <w:szCs w:val="20"/>
          <w:lang w:val="en-US"/>
        </w:rPr>
        <w:t>pleading</w:t>
      </w:r>
      <w:r w:rsidRPr="002C4C8A">
        <w:rPr>
          <w:sz w:val="20"/>
          <w:szCs w:val="20"/>
          <w:lang w:val="en-US"/>
        </w:rPr>
        <w:t xml:space="preserve">, if they are obliged to have it or possess it even without such obligation. A participant who is not a natural person should indicate the number in the </w:t>
      </w:r>
      <w:r w:rsidRPr="007D2D43">
        <w:rPr>
          <w:b/>
          <w:bCs/>
          <w:sz w:val="20"/>
          <w:szCs w:val="20"/>
          <w:lang w:val="en-US"/>
        </w:rPr>
        <w:t>National Court Register</w:t>
      </w:r>
      <w:r w:rsidRPr="002C4C8A">
        <w:rPr>
          <w:sz w:val="20"/>
          <w:szCs w:val="20"/>
          <w:lang w:val="en-US"/>
        </w:rPr>
        <w:t xml:space="preserve">, and if absent – a number </w:t>
      </w:r>
      <w:r w:rsidRPr="002C4C8A">
        <w:rPr>
          <w:sz w:val="20"/>
          <w:szCs w:val="20"/>
          <w:lang w:val="en-US"/>
        </w:rPr>
        <w:lastRenderedPageBreak/>
        <w:t>in another appropriate register, record, or NIP number, if obliged to have it (Article 208</w:t>
      </w:r>
      <w:r w:rsidRPr="007D2D43">
        <w:rPr>
          <w:sz w:val="20"/>
          <w:szCs w:val="20"/>
          <w:vertAlign w:val="superscript"/>
          <w:lang w:val="en-US"/>
        </w:rPr>
        <w:t>1</w:t>
      </w:r>
      <w:r w:rsidRPr="002C4C8A">
        <w:rPr>
          <w:sz w:val="20"/>
          <w:szCs w:val="20"/>
          <w:lang w:val="en-US"/>
        </w:rPr>
        <w:t xml:space="preserve"> C.C.P. in conjunction with Article 13 § 2 C.C.P.).</w:t>
      </w:r>
    </w:p>
    <w:p w14:paraId="2027AEE8" w14:textId="42F40D2D" w:rsidR="007D2D43" w:rsidRDefault="007E1626" w:rsidP="007D2D43">
      <w:pPr>
        <w:pStyle w:val="Akapitzlist"/>
        <w:numPr>
          <w:ilvl w:val="0"/>
          <w:numId w:val="1"/>
        </w:numPr>
        <w:jc w:val="both"/>
        <w:rPr>
          <w:sz w:val="20"/>
          <w:szCs w:val="20"/>
          <w:lang w:val="en-US"/>
        </w:rPr>
      </w:pPr>
      <w:r w:rsidRPr="00781BFA">
        <w:rPr>
          <w:b/>
          <w:bCs/>
          <w:sz w:val="20"/>
          <w:szCs w:val="20"/>
          <w:lang w:val="en-US"/>
        </w:rPr>
        <w:t>Filing a pleading</w:t>
      </w:r>
      <w:r w:rsidRPr="007E1626">
        <w:rPr>
          <w:sz w:val="20"/>
          <w:szCs w:val="20"/>
          <w:lang w:val="en-US"/>
        </w:rPr>
        <w:t xml:space="preserve"> at a Polish office of an operator providing universal postal services within the territory of Poland, or at a foreign office of an operator providing universal postal services within the territory of another European Union member state, </w:t>
      </w:r>
      <w:r w:rsidRPr="00781BFA">
        <w:rPr>
          <w:b/>
          <w:bCs/>
          <w:sz w:val="20"/>
          <w:szCs w:val="20"/>
          <w:lang w:val="en-US"/>
        </w:rPr>
        <w:t>is equivalent to submitting it to the court</w:t>
      </w:r>
      <w:r w:rsidRPr="007E1626">
        <w:rPr>
          <w:sz w:val="20"/>
          <w:szCs w:val="20"/>
          <w:lang w:val="en-US"/>
        </w:rPr>
        <w:t>. The same applies to the submission of a pleading by a soldier at the headquarters of a military unit, by a person deprived of liberty at the administration of a penal institution, and by a member of the crew of a Polish sea-going vessel to the ship’s captain (Art. 165 §§ 2–3 CPC in conjunction with Art</w:t>
      </w:r>
      <w:r w:rsidR="00E21133">
        <w:rPr>
          <w:sz w:val="20"/>
          <w:szCs w:val="20"/>
          <w:lang w:val="en-US"/>
        </w:rPr>
        <w:t>icle</w:t>
      </w:r>
      <w:r w:rsidRPr="007E1626">
        <w:rPr>
          <w:sz w:val="20"/>
          <w:szCs w:val="20"/>
          <w:lang w:val="en-US"/>
        </w:rPr>
        <w:t xml:space="preserve"> 13 § 2 CPC).</w:t>
      </w:r>
    </w:p>
    <w:p w14:paraId="747AD009" w14:textId="00276B55" w:rsidR="007E1626" w:rsidRDefault="007E1626" w:rsidP="007D2D43">
      <w:pPr>
        <w:pStyle w:val="Akapitzlist"/>
        <w:numPr>
          <w:ilvl w:val="0"/>
          <w:numId w:val="1"/>
        </w:numPr>
        <w:jc w:val="both"/>
        <w:rPr>
          <w:sz w:val="20"/>
          <w:szCs w:val="20"/>
          <w:lang w:val="en-US"/>
        </w:rPr>
      </w:pPr>
      <w:r w:rsidRPr="00E21133">
        <w:rPr>
          <w:b/>
          <w:bCs/>
          <w:sz w:val="20"/>
          <w:szCs w:val="20"/>
          <w:lang w:val="en-US"/>
        </w:rPr>
        <w:t>The running of a time limit set by the court</w:t>
      </w:r>
      <w:r w:rsidRPr="007E1626">
        <w:rPr>
          <w:sz w:val="20"/>
          <w:szCs w:val="20"/>
          <w:lang w:val="en-US"/>
        </w:rPr>
        <w:t xml:space="preserve"> or the presiding judge (court deadline) begins from the announcement of the decision or order concerning that matter, </w:t>
      </w:r>
      <w:r w:rsidRPr="00E21133">
        <w:rPr>
          <w:b/>
          <w:bCs/>
          <w:sz w:val="20"/>
          <w:szCs w:val="20"/>
          <w:lang w:val="en-US"/>
        </w:rPr>
        <w:t xml:space="preserve">or, where the Code provides for service </w:t>
      </w:r>
      <w:r w:rsidRPr="00E21133">
        <w:rPr>
          <w:b/>
          <w:bCs/>
          <w:i/>
          <w:iCs/>
          <w:sz w:val="20"/>
          <w:szCs w:val="20"/>
          <w:lang w:val="en-US"/>
        </w:rPr>
        <w:t>ex officio</w:t>
      </w:r>
      <w:r w:rsidRPr="00E21133">
        <w:rPr>
          <w:b/>
          <w:bCs/>
          <w:sz w:val="20"/>
          <w:szCs w:val="20"/>
          <w:lang w:val="en-US"/>
        </w:rPr>
        <w:t>, from the date of such service</w:t>
      </w:r>
      <w:r w:rsidRPr="007E1626">
        <w:rPr>
          <w:sz w:val="20"/>
          <w:szCs w:val="20"/>
          <w:lang w:val="en-US"/>
        </w:rPr>
        <w:t xml:space="preserve"> (Art</w:t>
      </w:r>
      <w:r w:rsidR="00E21133">
        <w:rPr>
          <w:sz w:val="20"/>
          <w:szCs w:val="20"/>
          <w:lang w:val="en-US"/>
        </w:rPr>
        <w:t>icle</w:t>
      </w:r>
      <w:r w:rsidRPr="007E1626">
        <w:rPr>
          <w:sz w:val="20"/>
          <w:szCs w:val="20"/>
          <w:lang w:val="en-US"/>
        </w:rPr>
        <w:t xml:space="preserve"> 164 CPC in conjunction with Art</w:t>
      </w:r>
      <w:r w:rsidR="00E21133">
        <w:rPr>
          <w:sz w:val="20"/>
          <w:szCs w:val="20"/>
          <w:lang w:val="en-US"/>
        </w:rPr>
        <w:t>icle</w:t>
      </w:r>
      <w:r w:rsidRPr="007E1626">
        <w:rPr>
          <w:sz w:val="20"/>
          <w:szCs w:val="20"/>
          <w:lang w:val="en-US"/>
        </w:rPr>
        <w:t xml:space="preserve"> 13 § 2 CPC).</w:t>
      </w:r>
    </w:p>
    <w:p w14:paraId="4D9F1C7B" w14:textId="7E378A1D" w:rsidR="007E1626" w:rsidRPr="007E1626" w:rsidRDefault="007E1626" w:rsidP="007D2D43">
      <w:pPr>
        <w:pStyle w:val="Akapitzlist"/>
        <w:numPr>
          <w:ilvl w:val="0"/>
          <w:numId w:val="1"/>
        </w:numPr>
        <w:jc w:val="both"/>
        <w:rPr>
          <w:sz w:val="20"/>
          <w:szCs w:val="20"/>
          <w:lang w:val="en-US"/>
        </w:rPr>
      </w:pPr>
      <w:r w:rsidRPr="007E1626">
        <w:rPr>
          <w:sz w:val="20"/>
          <w:szCs w:val="20"/>
          <w:lang w:val="en-US"/>
        </w:rPr>
        <w:t>At any stage of the proceedings</w:t>
      </w:r>
      <w:r w:rsidRPr="00E21133">
        <w:rPr>
          <w:b/>
          <w:bCs/>
          <w:sz w:val="20"/>
          <w:szCs w:val="20"/>
          <w:lang w:val="en-US"/>
        </w:rPr>
        <w:t xml:space="preserve">, a </w:t>
      </w:r>
      <w:r w:rsidR="00E21133" w:rsidRPr="00E21133">
        <w:rPr>
          <w:b/>
          <w:bCs/>
          <w:sz w:val="20"/>
          <w:szCs w:val="20"/>
          <w:lang w:val="en-US"/>
        </w:rPr>
        <w:t>party</w:t>
      </w:r>
      <w:r w:rsidRPr="00E21133">
        <w:rPr>
          <w:b/>
          <w:bCs/>
          <w:sz w:val="20"/>
          <w:szCs w:val="20"/>
          <w:lang w:val="en-US"/>
        </w:rPr>
        <w:t xml:space="preserve"> may appoint a</w:t>
      </w:r>
      <w:r w:rsidR="00E21133" w:rsidRPr="00E21133">
        <w:rPr>
          <w:b/>
          <w:bCs/>
          <w:sz w:val="20"/>
          <w:szCs w:val="20"/>
          <w:lang w:val="en-US"/>
        </w:rPr>
        <w:t xml:space="preserve"> </w:t>
      </w:r>
      <w:r w:rsidRPr="00E21133">
        <w:rPr>
          <w:b/>
          <w:bCs/>
          <w:sz w:val="20"/>
          <w:szCs w:val="20"/>
          <w:lang w:val="en-US"/>
        </w:rPr>
        <w:t>legal representative</w:t>
      </w:r>
      <w:r w:rsidRPr="007E1626">
        <w:rPr>
          <w:sz w:val="20"/>
          <w:szCs w:val="20"/>
          <w:lang w:val="en-US"/>
        </w:rPr>
        <w:t xml:space="preserve">. </w:t>
      </w:r>
      <w:r w:rsidR="00E21133">
        <w:rPr>
          <w:sz w:val="20"/>
          <w:szCs w:val="20"/>
          <w:lang w:val="en-US"/>
        </w:rPr>
        <w:t>The</w:t>
      </w:r>
      <w:r w:rsidRPr="007E1626">
        <w:rPr>
          <w:sz w:val="20"/>
          <w:szCs w:val="20"/>
          <w:lang w:val="en-US"/>
        </w:rPr>
        <w:t xml:space="preserve"> </w:t>
      </w:r>
      <w:r w:rsidR="00E21133">
        <w:rPr>
          <w:sz w:val="20"/>
          <w:szCs w:val="20"/>
          <w:lang w:val="en-US"/>
        </w:rPr>
        <w:t>a</w:t>
      </w:r>
      <w:r w:rsidR="00E21133" w:rsidRPr="00E21133">
        <w:rPr>
          <w:sz w:val="20"/>
          <w:szCs w:val="20"/>
          <w:lang w:val="en-US"/>
        </w:rPr>
        <w:t>ppointment of a legal representative in the person of an attorney, legal counsel, or patent attorney is not mandatory (Art. 205² § 1</w:t>
      </w:r>
      <w:r w:rsidR="00E21133">
        <w:rPr>
          <w:sz w:val="20"/>
          <w:szCs w:val="20"/>
          <w:lang w:val="en-US"/>
        </w:rPr>
        <w:t xml:space="preserve"> point </w:t>
      </w:r>
      <w:r w:rsidR="00E21133" w:rsidRPr="00E21133">
        <w:rPr>
          <w:sz w:val="20"/>
          <w:szCs w:val="20"/>
          <w:lang w:val="en-US"/>
        </w:rPr>
        <w:t>2 CPC in conjunction with Art</w:t>
      </w:r>
      <w:r w:rsidR="00E21133">
        <w:rPr>
          <w:sz w:val="20"/>
          <w:szCs w:val="20"/>
          <w:lang w:val="en-US"/>
        </w:rPr>
        <w:t>icle</w:t>
      </w:r>
      <w:r w:rsidR="00E21133" w:rsidRPr="00E21133">
        <w:rPr>
          <w:sz w:val="20"/>
          <w:szCs w:val="20"/>
          <w:lang w:val="en-US"/>
        </w:rPr>
        <w:t xml:space="preserve"> 13 § 2 CPC). A power of attorney may be general, for conducting specific cases, or for certain procedural acts.</w:t>
      </w:r>
    </w:p>
    <w:p w14:paraId="36AF04D7" w14:textId="77777777" w:rsidR="007E1626" w:rsidRDefault="007E1626" w:rsidP="007E1626">
      <w:pPr>
        <w:pStyle w:val="Akapitzlist"/>
        <w:ind w:left="1080"/>
        <w:jc w:val="both"/>
        <w:rPr>
          <w:sz w:val="20"/>
          <w:szCs w:val="20"/>
          <w:lang w:val="en-US"/>
        </w:rPr>
      </w:pPr>
    </w:p>
    <w:p w14:paraId="4D1DFEF5" w14:textId="50674EC4" w:rsidR="007E1626" w:rsidRPr="00E21133" w:rsidRDefault="00E21133" w:rsidP="007E1626">
      <w:pPr>
        <w:pStyle w:val="Akapitzlist"/>
        <w:ind w:left="1080"/>
        <w:jc w:val="both"/>
        <w:rPr>
          <w:sz w:val="20"/>
          <w:szCs w:val="20"/>
          <w:lang w:val="en-US"/>
        </w:rPr>
      </w:pPr>
      <w:r w:rsidRPr="00E21133">
        <w:rPr>
          <w:sz w:val="20"/>
          <w:szCs w:val="20"/>
          <w:lang w:val="en-US"/>
        </w:rPr>
        <w:t>A legal representative may be an attorney or legal counsel, and in matters of industrial property also a patent attorney. Furthermore, a representative may be a person managing the property or interests of the participant, a person in a permanent service relationship with the participant if the subject matter of the case falls within the scope of that service, as well as the participant’s parents, spouse, siblings, descendants, or persons in a legal guardianship relationship with the participant (Article 87 § 1 CPC in conjunction with Article 13 § 2 CPC).</w:t>
      </w:r>
    </w:p>
    <w:p w14:paraId="05D09F10" w14:textId="77777777" w:rsidR="007E1626" w:rsidRDefault="007E1626" w:rsidP="007E1626">
      <w:pPr>
        <w:pStyle w:val="Akapitzlist"/>
        <w:ind w:left="1080"/>
        <w:jc w:val="both"/>
        <w:rPr>
          <w:sz w:val="20"/>
          <w:szCs w:val="20"/>
          <w:lang w:val="en-US"/>
        </w:rPr>
      </w:pPr>
    </w:p>
    <w:p w14:paraId="6659DEF5" w14:textId="06A1D9E8" w:rsidR="007E1626" w:rsidRPr="007E1626" w:rsidRDefault="007E1626" w:rsidP="007E1626">
      <w:pPr>
        <w:pStyle w:val="Akapitzlist"/>
        <w:ind w:left="1080"/>
        <w:jc w:val="both"/>
        <w:rPr>
          <w:sz w:val="20"/>
          <w:szCs w:val="20"/>
          <w:lang w:val="en-US"/>
        </w:rPr>
      </w:pPr>
      <w:r w:rsidRPr="007E1626">
        <w:rPr>
          <w:sz w:val="20"/>
          <w:szCs w:val="20"/>
          <w:lang w:val="en-US"/>
        </w:rPr>
        <w:t>A legal representative of a legal entity or entrepreneur, including one without legal personality, may also be an employee of that entity or of its superior body. A legal entity providing, under separate regulations, legal services to an entrepreneur, legal entity, or other organizational unit may grant a power of attorney</w:t>
      </w:r>
      <w:r w:rsidR="003F1C51">
        <w:rPr>
          <w:sz w:val="20"/>
          <w:szCs w:val="20"/>
          <w:lang w:val="en-US"/>
        </w:rPr>
        <w:t xml:space="preserve"> </w:t>
      </w:r>
      <w:r w:rsidR="003F1C51" w:rsidRPr="003F1C51">
        <w:rPr>
          <w:sz w:val="20"/>
          <w:szCs w:val="20"/>
          <w:lang w:val="en-US"/>
        </w:rPr>
        <w:t xml:space="preserve">– </w:t>
      </w:r>
      <w:r w:rsidRPr="007E1626">
        <w:rPr>
          <w:sz w:val="20"/>
          <w:szCs w:val="20"/>
          <w:lang w:val="en-US"/>
        </w:rPr>
        <w:t>on behalf of the entity it represents</w:t>
      </w:r>
      <w:r w:rsidR="003F1C51">
        <w:rPr>
          <w:sz w:val="20"/>
          <w:szCs w:val="20"/>
          <w:lang w:val="en-US"/>
        </w:rPr>
        <w:t xml:space="preserve"> </w:t>
      </w:r>
      <w:r w:rsidR="003F1C51" w:rsidRPr="003F1C51">
        <w:rPr>
          <w:sz w:val="20"/>
          <w:szCs w:val="20"/>
          <w:lang w:val="en-US"/>
        </w:rPr>
        <w:t xml:space="preserve">– </w:t>
      </w:r>
      <w:r w:rsidRPr="007E1626">
        <w:rPr>
          <w:sz w:val="20"/>
          <w:szCs w:val="20"/>
          <w:lang w:val="en-US"/>
        </w:rPr>
        <w:t>to an attorney or legal counsel if authorized by that entity (Art</w:t>
      </w:r>
      <w:r w:rsidR="003F1C51">
        <w:rPr>
          <w:sz w:val="20"/>
          <w:szCs w:val="20"/>
          <w:lang w:val="en-US"/>
        </w:rPr>
        <w:t>icle</w:t>
      </w:r>
      <w:r w:rsidRPr="007E1626">
        <w:rPr>
          <w:sz w:val="20"/>
          <w:szCs w:val="20"/>
          <w:lang w:val="en-US"/>
        </w:rPr>
        <w:t xml:space="preserve"> 87 § 2 CPC in conjunction with Art</w:t>
      </w:r>
      <w:r w:rsidR="003F1C51">
        <w:rPr>
          <w:sz w:val="20"/>
          <w:szCs w:val="20"/>
          <w:lang w:val="en-US"/>
        </w:rPr>
        <w:t>icle</w:t>
      </w:r>
      <w:r w:rsidRPr="007E1626">
        <w:rPr>
          <w:sz w:val="20"/>
          <w:szCs w:val="20"/>
          <w:lang w:val="en-US"/>
        </w:rPr>
        <w:t xml:space="preserve"> 13 § 2 CPC).</w:t>
      </w:r>
    </w:p>
    <w:p w14:paraId="5FA846E4" w14:textId="77777777" w:rsidR="007E1626" w:rsidRDefault="007E1626" w:rsidP="007E1626">
      <w:pPr>
        <w:pStyle w:val="Akapitzlist"/>
        <w:ind w:left="1080"/>
        <w:jc w:val="both"/>
        <w:rPr>
          <w:sz w:val="20"/>
          <w:szCs w:val="20"/>
          <w:lang w:val="en-US"/>
        </w:rPr>
      </w:pPr>
    </w:p>
    <w:p w14:paraId="0AD00B8F" w14:textId="6A3279B1" w:rsidR="007E1626" w:rsidRPr="003F1C51" w:rsidRDefault="007E1626" w:rsidP="007E1626">
      <w:pPr>
        <w:pStyle w:val="Akapitzlist"/>
        <w:ind w:left="1080"/>
        <w:jc w:val="both"/>
        <w:rPr>
          <w:sz w:val="20"/>
          <w:szCs w:val="20"/>
          <w:lang w:val="en-US"/>
        </w:rPr>
      </w:pPr>
      <w:r w:rsidRPr="003F1C51">
        <w:rPr>
          <w:b/>
          <w:bCs/>
          <w:sz w:val="20"/>
          <w:szCs w:val="20"/>
          <w:lang w:val="en-US"/>
        </w:rPr>
        <w:t>A power of attorney</w:t>
      </w:r>
      <w:r w:rsidRPr="007E1626">
        <w:rPr>
          <w:sz w:val="20"/>
          <w:szCs w:val="20"/>
          <w:lang w:val="en-US"/>
        </w:rPr>
        <w:t xml:space="preserve"> limited solely to the receipt of court documents (</w:t>
      </w:r>
      <w:r w:rsidR="003F1C51" w:rsidRPr="003F1C51">
        <w:rPr>
          <w:b/>
          <w:bCs/>
          <w:sz w:val="20"/>
          <w:szCs w:val="20"/>
          <w:lang w:val="en-US"/>
        </w:rPr>
        <w:t xml:space="preserve">legal representative </w:t>
      </w:r>
      <w:r w:rsidRPr="003F1C51">
        <w:rPr>
          <w:b/>
          <w:bCs/>
          <w:sz w:val="20"/>
          <w:szCs w:val="20"/>
          <w:lang w:val="en-US"/>
        </w:rPr>
        <w:t>for service</w:t>
      </w:r>
      <w:r w:rsidRPr="007E1626">
        <w:rPr>
          <w:sz w:val="20"/>
          <w:szCs w:val="20"/>
          <w:lang w:val="en-US"/>
        </w:rPr>
        <w:t xml:space="preserve">) may be granted to any natural person with full </w:t>
      </w:r>
      <w:r w:rsidR="003F1C51">
        <w:rPr>
          <w:sz w:val="20"/>
          <w:szCs w:val="20"/>
          <w:lang w:val="en-US"/>
        </w:rPr>
        <w:t xml:space="preserve">legal </w:t>
      </w:r>
      <w:r w:rsidRPr="007E1626">
        <w:rPr>
          <w:sz w:val="20"/>
          <w:szCs w:val="20"/>
          <w:lang w:val="en-US"/>
        </w:rPr>
        <w:t>capacit</w:t>
      </w:r>
      <w:r w:rsidR="003F1C51">
        <w:rPr>
          <w:sz w:val="20"/>
          <w:szCs w:val="20"/>
          <w:lang w:val="en-US"/>
        </w:rPr>
        <w:t>y</w:t>
      </w:r>
      <w:r w:rsidRPr="007E1626">
        <w:rPr>
          <w:sz w:val="20"/>
          <w:szCs w:val="20"/>
          <w:lang w:val="en-US"/>
        </w:rPr>
        <w:t>.</w:t>
      </w:r>
    </w:p>
    <w:p w14:paraId="4C9F454D" w14:textId="77777777" w:rsidR="007E1626" w:rsidRDefault="007E1626" w:rsidP="007E1626">
      <w:pPr>
        <w:pStyle w:val="Akapitzlist"/>
        <w:ind w:left="1080"/>
        <w:jc w:val="both"/>
        <w:rPr>
          <w:sz w:val="20"/>
          <w:szCs w:val="20"/>
          <w:lang w:val="en-US"/>
        </w:rPr>
      </w:pPr>
    </w:p>
    <w:p w14:paraId="4D5EAE39" w14:textId="594A9790" w:rsidR="007E1626" w:rsidRDefault="003F1C51" w:rsidP="007E1626">
      <w:pPr>
        <w:pStyle w:val="Akapitzlist"/>
        <w:ind w:left="1080"/>
        <w:jc w:val="both"/>
        <w:rPr>
          <w:sz w:val="20"/>
          <w:szCs w:val="20"/>
          <w:lang w:val="en-US"/>
        </w:rPr>
      </w:pPr>
      <w:r w:rsidRPr="003F1C51">
        <w:rPr>
          <w:sz w:val="20"/>
          <w:szCs w:val="20"/>
          <w:lang w:val="en-US"/>
        </w:rPr>
        <w:t>A legal representative is obliged, at their first procedural act, to submit a written power of attorney signed by the principal, or a certified copy of the power of attorney, as well as other documents demonstrating their authorization — all these documents must be submitted along with a copy for the remaining participants (Article 89 § 1 CPC in conjunction with Article 13 § 2 CPC).</w:t>
      </w:r>
    </w:p>
    <w:p w14:paraId="2461F453" w14:textId="75D460D4" w:rsidR="003C78C5" w:rsidRDefault="004D1545" w:rsidP="003C78C5">
      <w:pPr>
        <w:pStyle w:val="Akapitzlist"/>
        <w:numPr>
          <w:ilvl w:val="0"/>
          <w:numId w:val="1"/>
        </w:numPr>
        <w:jc w:val="both"/>
        <w:rPr>
          <w:sz w:val="20"/>
          <w:szCs w:val="20"/>
          <w:lang w:val="en-US"/>
        </w:rPr>
      </w:pPr>
      <w:r w:rsidRPr="004D1545">
        <w:rPr>
          <w:b/>
          <w:bCs/>
          <w:sz w:val="20"/>
          <w:szCs w:val="20"/>
          <w:lang w:val="en-US"/>
        </w:rPr>
        <w:t>Exemption from court fees</w:t>
      </w:r>
      <w:r w:rsidRPr="004D1545">
        <w:rPr>
          <w:sz w:val="20"/>
          <w:szCs w:val="20"/>
          <w:lang w:val="en-US"/>
        </w:rPr>
        <w:t xml:space="preserve"> may be requested by </w:t>
      </w:r>
      <w:r w:rsidRPr="004D1545">
        <w:rPr>
          <w:b/>
          <w:bCs/>
          <w:sz w:val="20"/>
          <w:szCs w:val="20"/>
          <w:lang w:val="en-US"/>
        </w:rPr>
        <w:t>a natural person</w:t>
      </w:r>
      <w:r w:rsidRPr="004D1545">
        <w:rPr>
          <w:sz w:val="20"/>
          <w:szCs w:val="20"/>
          <w:lang w:val="en-US"/>
        </w:rPr>
        <w:t xml:space="preserve"> if they submit a statement indicating that they are unable to bear the fees without detriment to the necessary maintenance of themselves and their family, or that paying the fees would put them at such detriment (Article 102 point 1 </w:t>
      </w:r>
      <w:r w:rsidRPr="00055956">
        <w:rPr>
          <w:rFonts w:cstheme="minorHAnsi"/>
          <w:sz w:val="20"/>
          <w:szCs w:val="20"/>
          <w:lang w:val="en-US"/>
        </w:rPr>
        <w:t>of the Act of 28 July 2005 on court costs in civil cases (Journal of Laws</w:t>
      </w:r>
      <w:r>
        <w:rPr>
          <w:rFonts w:cstheme="minorHAnsi"/>
          <w:sz w:val="20"/>
          <w:szCs w:val="20"/>
          <w:lang w:val="en-US"/>
        </w:rPr>
        <w:t xml:space="preserve"> of</w:t>
      </w:r>
      <w:r w:rsidRPr="00055956">
        <w:rPr>
          <w:rFonts w:cstheme="minorHAnsi"/>
          <w:sz w:val="20"/>
          <w:szCs w:val="20"/>
          <w:lang w:val="en-US"/>
        </w:rPr>
        <w:t xml:space="preserve"> 2025, item 1228, consolidated text – hereinafter “C.C.C.C.”)</w:t>
      </w:r>
      <w:r w:rsidRPr="004D1545">
        <w:rPr>
          <w:sz w:val="20"/>
          <w:szCs w:val="20"/>
          <w:lang w:val="en-US"/>
        </w:rPr>
        <w:t xml:space="preserve">). A request for exemption from court fees must be accompanied by a statement containing detailed information on the applicant’s family status, assets, income, and sources of livelihood (Article 102 point 2 C.C.C.C.). </w:t>
      </w:r>
      <w:r w:rsidRPr="00E04F47">
        <w:rPr>
          <w:b/>
          <w:bCs/>
          <w:sz w:val="20"/>
          <w:szCs w:val="20"/>
          <w:lang w:val="en-US"/>
        </w:rPr>
        <w:t>The statement is to be completed according to a prescribed template.</w:t>
      </w:r>
      <w:r w:rsidRPr="004D1545">
        <w:rPr>
          <w:sz w:val="20"/>
          <w:szCs w:val="20"/>
          <w:lang w:val="en-US"/>
        </w:rPr>
        <w:t xml:space="preserve"> The form is available on the Ministry of Justice website or at the court. Failure to submit this form with the application constitutes a formal defect of the application. The court may grant exemption from court fees to </w:t>
      </w:r>
      <w:r w:rsidRPr="00E04F47">
        <w:rPr>
          <w:b/>
          <w:bCs/>
          <w:sz w:val="20"/>
          <w:szCs w:val="20"/>
          <w:lang w:val="en-US"/>
        </w:rPr>
        <w:t>a legal person or an organizational unit without legal personality</w:t>
      </w:r>
      <w:r w:rsidRPr="004D1545">
        <w:rPr>
          <w:sz w:val="20"/>
          <w:szCs w:val="20"/>
          <w:lang w:val="en-US"/>
        </w:rPr>
        <w:t>, which is granted legal capacity by law, if they demonstrate insufficient funds to pay the fees (Article 103 point 1 C.C.C.C.).</w:t>
      </w:r>
    </w:p>
    <w:p w14:paraId="00BC63A2" w14:textId="77777777" w:rsidR="004D1545" w:rsidRDefault="004D1545" w:rsidP="004D1545">
      <w:pPr>
        <w:pStyle w:val="Akapitzlist"/>
        <w:ind w:left="1080"/>
        <w:jc w:val="both"/>
        <w:rPr>
          <w:sz w:val="20"/>
          <w:szCs w:val="20"/>
          <w:lang w:val="en-US"/>
        </w:rPr>
      </w:pPr>
    </w:p>
    <w:p w14:paraId="5B0E567D" w14:textId="720CC8FD" w:rsidR="002C4C8A" w:rsidRDefault="00686527" w:rsidP="00897063">
      <w:pPr>
        <w:pStyle w:val="Akapitzlist"/>
        <w:ind w:left="1080"/>
        <w:jc w:val="both"/>
        <w:rPr>
          <w:sz w:val="20"/>
          <w:szCs w:val="20"/>
          <w:lang w:val="en-US"/>
        </w:rPr>
      </w:pPr>
      <w:r w:rsidRPr="00686527">
        <w:rPr>
          <w:sz w:val="20"/>
          <w:szCs w:val="20"/>
          <w:lang w:val="en-US"/>
        </w:rPr>
        <w:lastRenderedPageBreak/>
        <w:t xml:space="preserve">A participant exempted by the court from court fees, in whole or in part, may request </w:t>
      </w:r>
      <w:r w:rsidRPr="00686527">
        <w:rPr>
          <w:b/>
          <w:bCs/>
          <w:sz w:val="20"/>
          <w:szCs w:val="20"/>
          <w:lang w:val="en-US"/>
        </w:rPr>
        <w:t>the appointment of an advocate or legal adviser.</w:t>
      </w:r>
      <w:r w:rsidRPr="00686527">
        <w:rPr>
          <w:sz w:val="20"/>
          <w:szCs w:val="20"/>
          <w:lang w:val="en-US"/>
        </w:rPr>
        <w:t xml:space="preserve"> A natural person not exempted by the court may request the appointment of an advocate or legal adviser if they submit a statement indicating that they are unable to bear the costs of an advocate’s or legal adviser’s remuneration without detriment to the necessary maintenance of themselves and their family (the template is available on the Ministry of Justice website or at the court). A legal person or other organizational unit granted legal capacity by law, not exempted from court fees, may request the appointment of an advocate or legal adviser if they demonstrate insufficient funds to cover the costs of such remuneration. The request for the appointment of an advocate or legal adviser may be submitted together with the request for exemption from court fees or separately, in writing or orally for the record, to the court where the case is to be filed or is already pending. </w:t>
      </w:r>
      <w:r w:rsidRPr="00686527">
        <w:rPr>
          <w:b/>
          <w:bCs/>
          <w:sz w:val="20"/>
          <w:szCs w:val="20"/>
          <w:lang w:val="en-US"/>
        </w:rPr>
        <w:t>The court will grant the request only if it considers the participation of an advocate or legal adviser in the case necessary</w:t>
      </w:r>
      <w:r w:rsidRPr="00686527">
        <w:rPr>
          <w:sz w:val="20"/>
          <w:szCs w:val="20"/>
          <w:lang w:val="en-US"/>
        </w:rPr>
        <w:t xml:space="preserve"> (Article 117 C.C.P</w:t>
      </w:r>
      <w:r w:rsidR="00897063">
        <w:rPr>
          <w:sz w:val="20"/>
          <w:szCs w:val="20"/>
          <w:lang w:val="en-US"/>
        </w:rPr>
        <w:t xml:space="preserve">. </w:t>
      </w:r>
      <w:r w:rsidR="00897063" w:rsidRPr="00897063">
        <w:rPr>
          <w:sz w:val="20"/>
          <w:szCs w:val="20"/>
          <w:lang w:val="en-US"/>
        </w:rPr>
        <w:t>in conjunction with Article 13 § 2 C.C.P.).</w:t>
      </w:r>
    </w:p>
    <w:p w14:paraId="0360488C" w14:textId="6CD6D704" w:rsidR="00897063" w:rsidRDefault="0040074A" w:rsidP="00897063">
      <w:pPr>
        <w:pStyle w:val="Akapitzlist"/>
        <w:numPr>
          <w:ilvl w:val="0"/>
          <w:numId w:val="1"/>
        </w:numPr>
        <w:jc w:val="both"/>
        <w:rPr>
          <w:sz w:val="20"/>
          <w:szCs w:val="20"/>
          <w:lang w:val="en-US"/>
        </w:rPr>
      </w:pPr>
      <w:r w:rsidRPr="0040074A">
        <w:rPr>
          <w:sz w:val="20"/>
          <w:szCs w:val="20"/>
          <w:lang w:val="en-US"/>
        </w:rPr>
        <w:t xml:space="preserve">During the proceedings, a preparatory submission may only be filed if the presiding judge so orders and only within the specified deadline (Article 205² § 1 point 3 C.C.P. in conjunction with Article 13 § 2 C.C.P.). In justified cases, the presiding judge may order </w:t>
      </w:r>
      <w:r w:rsidRPr="0040074A">
        <w:rPr>
          <w:b/>
          <w:bCs/>
          <w:sz w:val="20"/>
          <w:szCs w:val="20"/>
          <w:lang w:val="en-US"/>
        </w:rPr>
        <w:t>the participants to exchange preparatory submissions</w:t>
      </w:r>
      <w:r w:rsidRPr="0040074A">
        <w:rPr>
          <w:sz w:val="20"/>
          <w:szCs w:val="20"/>
          <w:lang w:val="en-US"/>
        </w:rPr>
        <w:t>, specifying the order of submission, the deadlines for filing, and the circumstances that must be clarified (Article 205³ § 1 C.C.P</w:t>
      </w:r>
      <w:r w:rsidRPr="0040074A">
        <w:rPr>
          <w:b/>
          <w:bCs/>
          <w:sz w:val="20"/>
          <w:szCs w:val="20"/>
          <w:lang w:val="en-US"/>
        </w:rPr>
        <w:t>. in conjunction with</w:t>
      </w:r>
      <w:r w:rsidRPr="0040074A">
        <w:rPr>
          <w:sz w:val="20"/>
          <w:szCs w:val="20"/>
          <w:lang w:val="en-US"/>
        </w:rPr>
        <w:t xml:space="preserve"> Article 13 § 2 C.C.P.).</w:t>
      </w:r>
    </w:p>
    <w:p w14:paraId="46767120" w14:textId="77777777" w:rsidR="0040074A" w:rsidRDefault="0040074A" w:rsidP="0040074A">
      <w:pPr>
        <w:pStyle w:val="Akapitzlist"/>
        <w:ind w:left="1080"/>
        <w:jc w:val="both"/>
        <w:rPr>
          <w:sz w:val="20"/>
          <w:szCs w:val="20"/>
          <w:lang w:val="en-US"/>
        </w:rPr>
      </w:pPr>
    </w:p>
    <w:p w14:paraId="2448BBB2" w14:textId="7944F6B3" w:rsidR="0040074A" w:rsidRPr="00625B54" w:rsidRDefault="00625B54" w:rsidP="0040074A">
      <w:pPr>
        <w:pStyle w:val="Akapitzlist"/>
        <w:ind w:left="1080"/>
        <w:jc w:val="both"/>
        <w:rPr>
          <w:sz w:val="20"/>
          <w:szCs w:val="20"/>
          <w:lang w:val="en-US"/>
        </w:rPr>
      </w:pPr>
      <w:r w:rsidRPr="00625B54">
        <w:rPr>
          <w:sz w:val="20"/>
          <w:szCs w:val="20"/>
          <w:lang w:val="en-US"/>
        </w:rPr>
        <w:t>Preparatory submissions must concisely present the state of the case, specify which facts the participant admits and which they deny, and additionally comment on the claims and evidence submitted by the other participants. In these submissions, participants may also indicate the legal grounds for their claims or motions (Article 127 § 1 and 2 C.C.P. in conjunction with Article 13 § 2 C.C.P.).</w:t>
      </w:r>
    </w:p>
    <w:p w14:paraId="4AA06A84" w14:textId="77777777" w:rsidR="00625B54" w:rsidRPr="00625B54" w:rsidRDefault="00625B54" w:rsidP="0040074A">
      <w:pPr>
        <w:pStyle w:val="Akapitzlist"/>
        <w:ind w:left="1080"/>
        <w:jc w:val="both"/>
        <w:rPr>
          <w:sz w:val="20"/>
          <w:szCs w:val="20"/>
          <w:lang w:val="en-US"/>
        </w:rPr>
      </w:pPr>
    </w:p>
    <w:p w14:paraId="69A27A1B" w14:textId="5AD3C56F" w:rsidR="00625B54" w:rsidRPr="00625B54" w:rsidRDefault="00625B54" w:rsidP="0040074A">
      <w:pPr>
        <w:pStyle w:val="Akapitzlist"/>
        <w:ind w:left="1080"/>
        <w:jc w:val="both"/>
        <w:rPr>
          <w:sz w:val="20"/>
          <w:szCs w:val="20"/>
          <w:lang w:val="en-US"/>
        </w:rPr>
      </w:pPr>
      <w:r w:rsidRPr="00625B54">
        <w:rPr>
          <w:sz w:val="20"/>
          <w:szCs w:val="20"/>
          <w:lang w:val="en-US"/>
        </w:rPr>
        <w:t xml:space="preserve">The presiding judge may further require a participant, in the preparatory submission, to provide </w:t>
      </w:r>
      <w:r w:rsidRPr="00625B54">
        <w:rPr>
          <w:b/>
          <w:bCs/>
          <w:sz w:val="20"/>
          <w:szCs w:val="20"/>
          <w:lang w:val="en-US"/>
        </w:rPr>
        <w:t>all claims and evidence</w:t>
      </w:r>
      <w:r w:rsidRPr="00625B54">
        <w:rPr>
          <w:sz w:val="20"/>
          <w:szCs w:val="20"/>
          <w:lang w:val="en-US"/>
        </w:rPr>
        <w:t xml:space="preserve"> relevant to resolving the case under penalty of losing the right to invoke them in further proceedings. In such a case, claims and evidence submitted in violation of this obligation shall be disregarded, unless the participant demonstrates that it was not possible to present them in the preparatory submission or that the need to present them arose later (Article 205³ § 2 C.C.P.).</w:t>
      </w:r>
    </w:p>
    <w:p w14:paraId="4E3711F5" w14:textId="77777777" w:rsidR="00625B54" w:rsidRDefault="00625B54" w:rsidP="0040074A">
      <w:pPr>
        <w:pStyle w:val="Akapitzlist"/>
        <w:ind w:left="1080"/>
        <w:jc w:val="both"/>
        <w:rPr>
          <w:sz w:val="20"/>
          <w:szCs w:val="20"/>
          <w:lang w:val="en-US"/>
        </w:rPr>
      </w:pPr>
    </w:p>
    <w:p w14:paraId="177A5797" w14:textId="37C9F4AF" w:rsidR="00625B54" w:rsidRDefault="00625B54" w:rsidP="0040074A">
      <w:pPr>
        <w:pStyle w:val="Akapitzlist"/>
        <w:ind w:left="1080"/>
        <w:jc w:val="both"/>
        <w:rPr>
          <w:sz w:val="20"/>
          <w:szCs w:val="20"/>
          <w:lang w:val="en-US"/>
        </w:rPr>
      </w:pPr>
      <w:r w:rsidRPr="00625B54">
        <w:rPr>
          <w:sz w:val="20"/>
          <w:szCs w:val="20"/>
          <w:lang w:val="en-US"/>
        </w:rPr>
        <w:t>The presiding judge may order the return of a preparatory submission filed after the deadline or without an order (Article 205³ § 5 C.C.P. in conjunction with Article 13 § 2 C.C.P.).</w:t>
      </w:r>
    </w:p>
    <w:p w14:paraId="0402E4CA" w14:textId="305500FD" w:rsidR="00625B54" w:rsidRPr="00B85666" w:rsidRDefault="00B85666" w:rsidP="00625B54">
      <w:pPr>
        <w:pStyle w:val="Akapitzlist"/>
        <w:numPr>
          <w:ilvl w:val="0"/>
          <w:numId w:val="1"/>
        </w:numPr>
        <w:jc w:val="both"/>
        <w:rPr>
          <w:sz w:val="20"/>
          <w:szCs w:val="20"/>
          <w:lang w:val="en-US"/>
        </w:rPr>
      </w:pPr>
      <w:r w:rsidRPr="00B85666">
        <w:rPr>
          <w:b/>
          <w:bCs/>
          <w:sz w:val="20"/>
          <w:szCs w:val="20"/>
          <w:lang w:val="en-US"/>
        </w:rPr>
        <w:t>The burden of proving a fact</w:t>
      </w:r>
      <w:r w:rsidRPr="00B85666">
        <w:rPr>
          <w:sz w:val="20"/>
          <w:szCs w:val="20"/>
          <w:lang w:val="en-US"/>
        </w:rPr>
        <w:t xml:space="preserve"> rests on the person who derives legal consequences from that fact (Article 6 of the Act of 23 April 1964 – Civil Code, Journal of Laws of 2025, item 1071, consolidated text).</w:t>
      </w:r>
    </w:p>
    <w:p w14:paraId="4ABAD8ED" w14:textId="77777777" w:rsidR="00B85666" w:rsidRDefault="00B85666" w:rsidP="00B85666">
      <w:pPr>
        <w:pStyle w:val="Akapitzlist"/>
        <w:ind w:left="1080"/>
        <w:jc w:val="both"/>
        <w:rPr>
          <w:sz w:val="20"/>
          <w:szCs w:val="20"/>
          <w:lang w:val="en-US"/>
        </w:rPr>
      </w:pPr>
    </w:p>
    <w:p w14:paraId="71C19294" w14:textId="3D985AD4" w:rsidR="00B85666" w:rsidRDefault="00B85666" w:rsidP="00B85666">
      <w:pPr>
        <w:pStyle w:val="Akapitzlist"/>
        <w:ind w:left="1080"/>
        <w:jc w:val="both"/>
        <w:rPr>
          <w:sz w:val="20"/>
          <w:szCs w:val="20"/>
          <w:lang w:val="en-US"/>
        </w:rPr>
      </w:pPr>
      <w:r w:rsidRPr="00B85666">
        <w:rPr>
          <w:b/>
          <w:bCs/>
          <w:sz w:val="20"/>
          <w:szCs w:val="20"/>
          <w:lang w:val="en-US"/>
        </w:rPr>
        <w:t xml:space="preserve">A participant relying on a particular fact </w:t>
      </w:r>
      <w:r w:rsidRPr="00B85666">
        <w:rPr>
          <w:sz w:val="20"/>
          <w:szCs w:val="20"/>
          <w:lang w:val="en-US"/>
        </w:rPr>
        <w:t xml:space="preserve">and deriving beneficial legal consequences from it </w:t>
      </w:r>
      <w:r w:rsidRPr="00B85666">
        <w:rPr>
          <w:b/>
          <w:bCs/>
          <w:sz w:val="20"/>
          <w:szCs w:val="20"/>
          <w:lang w:val="en-US"/>
        </w:rPr>
        <w:t>has the obligation to indicate evidence to establish it</w:t>
      </w:r>
      <w:r w:rsidRPr="00B85666">
        <w:rPr>
          <w:sz w:val="20"/>
          <w:szCs w:val="20"/>
          <w:lang w:val="en-US"/>
        </w:rPr>
        <w:t xml:space="preserve"> (Article 232 C.C.P. in conjunction with Article 13 § 2 C.C.P.).</w:t>
      </w:r>
    </w:p>
    <w:p w14:paraId="7DEA340D" w14:textId="77777777" w:rsidR="00B85666" w:rsidRDefault="00B85666" w:rsidP="00B85666">
      <w:pPr>
        <w:pStyle w:val="Akapitzlist"/>
        <w:ind w:left="1080"/>
        <w:jc w:val="both"/>
        <w:rPr>
          <w:sz w:val="20"/>
          <w:szCs w:val="20"/>
          <w:lang w:val="en-US"/>
        </w:rPr>
      </w:pPr>
    </w:p>
    <w:p w14:paraId="39CB28AB" w14:textId="7E8CE474" w:rsidR="00B85666" w:rsidRPr="00B85666" w:rsidRDefault="00B85666" w:rsidP="00B85666">
      <w:pPr>
        <w:pStyle w:val="Akapitzlist"/>
        <w:ind w:left="1080"/>
        <w:jc w:val="both"/>
        <w:rPr>
          <w:sz w:val="20"/>
          <w:szCs w:val="20"/>
          <w:lang w:val="en-US"/>
        </w:rPr>
      </w:pPr>
      <w:r w:rsidRPr="00B85666">
        <w:rPr>
          <w:b/>
          <w:bCs/>
          <w:sz w:val="20"/>
          <w:szCs w:val="20"/>
          <w:lang w:val="en-US"/>
        </w:rPr>
        <w:t>Facts that are generally known</w:t>
      </w:r>
      <w:r w:rsidRPr="00B85666">
        <w:rPr>
          <w:sz w:val="20"/>
          <w:szCs w:val="20"/>
          <w:lang w:val="en-US"/>
        </w:rPr>
        <w:t xml:space="preserve"> do not require proof, and the court considers them even if the participants do not invoke them. </w:t>
      </w:r>
      <w:r w:rsidRPr="00B85666">
        <w:rPr>
          <w:b/>
          <w:bCs/>
          <w:sz w:val="20"/>
          <w:szCs w:val="20"/>
          <w:lang w:val="en-US"/>
        </w:rPr>
        <w:t xml:space="preserve">Facts for which information is publicly accessible </w:t>
      </w:r>
      <w:r w:rsidRPr="00B85666">
        <w:rPr>
          <w:sz w:val="20"/>
          <w:szCs w:val="20"/>
          <w:lang w:val="en-US"/>
        </w:rPr>
        <w:t xml:space="preserve">and facts known to the court </w:t>
      </w:r>
      <w:r w:rsidRPr="00B85666">
        <w:rPr>
          <w:i/>
          <w:iCs/>
          <w:sz w:val="20"/>
          <w:szCs w:val="20"/>
          <w:lang w:val="en-US"/>
        </w:rPr>
        <w:t>ex officio</w:t>
      </w:r>
      <w:r w:rsidRPr="00B85666">
        <w:rPr>
          <w:sz w:val="20"/>
          <w:szCs w:val="20"/>
          <w:lang w:val="en-US"/>
        </w:rPr>
        <w:t xml:space="preserve"> also do not require proof (Article 228 C.C.P. in conjunction with Article 13 § 2 C.C.P.).</w:t>
      </w:r>
    </w:p>
    <w:p w14:paraId="45F917B8" w14:textId="77777777" w:rsidR="00B85666" w:rsidRDefault="00B85666" w:rsidP="00B85666">
      <w:pPr>
        <w:pStyle w:val="Akapitzlist"/>
        <w:ind w:left="1080"/>
        <w:jc w:val="both"/>
        <w:rPr>
          <w:sz w:val="20"/>
          <w:szCs w:val="20"/>
          <w:lang w:val="en-US"/>
        </w:rPr>
      </w:pPr>
    </w:p>
    <w:p w14:paraId="793B4CEE" w14:textId="0DEFAF0B" w:rsidR="00B85666" w:rsidRDefault="00B85666" w:rsidP="00B85666">
      <w:pPr>
        <w:pStyle w:val="Akapitzlist"/>
        <w:ind w:left="1080"/>
        <w:jc w:val="both"/>
        <w:rPr>
          <w:sz w:val="20"/>
          <w:szCs w:val="20"/>
          <w:lang w:val="en-US"/>
        </w:rPr>
      </w:pPr>
      <w:r w:rsidRPr="00B85666">
        <w:rPr>
          <w:b/>
          <w:bCs/>
          <w:sz w:val="20"/>
          <w:szCs w:val="20"/>
          <w:lang w:val="en-US"/>
        </w:rPr>
        <w:t>Facts admitted during the proceedings</w:t>
      </w:r>
      <w:r w:rsidRPr="00B85666">
        <w:rPr>
          <w:sz w:val="20"/>
          <w:szCs w:val="20"/>
          <w:lang w:val="en-US"/>
        </w:rPr>
        <w:t xml:space="preserve"> by other participants do not require proof, provided that the admission does not raise doubts (Article 229 C.C.P. in conjunction with Article 13 § 2 C.C.P.).</w:t>
      </w:r>
    </w:p>
    <w:p w14:paraId="61C78D72" w14:textId="77777777" w:rsidR="00B85666" w:rsidRDefault="00B85666" w:rsidP="00B85666">
      <w:pPr>
        <w:pStyle w:val="Akapitzlist"/>
        <w:ind w:left="1080"/>
        <w:jc w:val="both"/>
        <w:rPr>
          <w:sz w:val="20"/>
          <w:szCs w:val="20"/>
          <w:lang w:val="en-US"/>
        </w:rPr>
      </w:pPr>
    </w:p>
    <w:p w14:paraId="33D7E489" w14:textId="64AE1A25" w:rsidR="00B85666" w:rsidRDefault="00B85666" w:rsidP="00B85666">
      <w:pPr>
        <w:pStyle w:val="Akapitzlist"/>
        <w:ind w:left="1080"/>
        <w:jc w:val="both"/>
        <w:rPr>
          <w:sz w:val="20"/>
          <w:szCs w:val="20"/>
          <w:lang w:val="en-US"/>
        </w:rPr>
      </w:pPr>
      <w:r w:rsidRPr="00B85666">
        <w:rPr>
          <w:sz w:val="20"/>
          <w:szCs w:val="20"/>
          <w:lang w:val="en-US"/>
        </w:rPr>
        <w:t xml:space="preserve">If </w:t>
      </w:r>
      <w:r w:rsidRPr="00B85666">
        <w:rPr>
          <w:b/>
          <w:bCs/>
          <w:sz w:val="20"/>
          <w:szCs w:val="20"/>
          <w:lang w:val="en-US"/>
        </w:rPr>
        <w:t>a participant does not comment on the claims of the other participants regarding facts</w:t>
      </w:r>
      <w:r w:rsidRPr="00B85666">
        <w:rPr>
          <w:sz w:val="20"/>
          <w:szCs w:val="20"/>
          <w:lang w:val="en-US"/>
        </w:rPr>
        <w:t>, the court, taking into account the results of the entire hearing, may recognize those facts as admitted (Article 230 C.C.P. in conjunction with Article 13 § 2 C.C.P.).</w:t>
      </w:r>
    </w:p>
    <w:p w14:paraId="0E5A769C" w14:textId="63364855" w:rsidR="00B85666" w:rsidRPr="0075716D" w:rsidRDefault="002267A0" w:rsidP="00B85666">
      <w:pPr>
        <w:pStyle w:val="Akapitzlist"/>
        <w:numPr>
          <w:ilvl w:val="0"/>
          <w:numId w:val="1"/>
        </w:numPr>
        <w:jc w:val="both"/>
        <w:rPr>
          <w:sz w:val="20"/>
          <w:szCs w:val="20"/>
          <w:lang w:val="en-US"/>
        </w:rPr>
      </w:pPr>
      <w:r w:rsidRPr="002267A0">
        <w:rPr>
          <w:sz w:val="20"/>
          <w:szCs w:val="20"/>
          <w:lang w:val="en-US"/>
        </w:rPr>
        <w:lastRenderedPageBreak/>
        <w:t xml:space="preserve">Proceedings may be concluded through </w:t>
      </w:r>
      <w:r w:rsidRPr="00BE5E1B">
        <w:rPr>
          <w:b/>
          <w:bCs/>
          <w:sz w:val="20"/>
          <w:szCs w:val="20"/>
          <w:lang w:val="en-US"/>
        </w:rPr>
        <w:t>a settlement between participants</w:t>
      </w:r>
      <w:r w:rsidRPr="002267A0">
        <w:rPr>
          <w:sz w:val="20"/>
          <w:szCs w:val="20"/>
          <w:lang w:val="en-US"/>
        </w:rPr>
        <w:t xml:space="preserve">, in cases where entering into a settlement is permissible. A settlement may be </w:t>
      </w:r>
      <w:r w:rsidRPr="00BE5E1B">
        <w:rPr>
          <w:b/>
          <w:bCs/>
          <w:sz w:val="20"/>
          <w:szCs w:val="20"/>
          <w:lang w:val="en-US"/>
        </w:rPr>
        <w:t>concluded before a mediator or before the court</w:t>
      </w:r>
      <w:r w:rsidRPr="002267A0">
        <w:rPr>
          <w:sz w:val="20"/>
          <w:szCs w:val="20"/>
          <w:lang w:val="en-US"/>
        </w:rPr>
        <w:t xml:space="preserve"> (Article 205² § 1 point 1 C.C.P. in conjunction with Article 13 § 2 C.C.P.).</w:t>
      </w:r>
      <w:r w:rsidR="00BE5E1B">
        <w:rPr>
          <w:sz w:val="20"/>
          <w:szCs w:val="20"/>
          <w:lang w:val="en-US"/>
        </w:rPr>
        <w:br/>
      </w:r>
      <w:r w:rsidRPr="002267A0">
        <w:rPr>
          <w:sz w:val="20"/>
          <w:szCs w:val="20"/>
          <w:lang w:val="en-US"/>
        </w:rPr>
        <w:t>A settlement constitutes one of the methods of expeditiously concluding proceedings; the court, at every stage of the proceedings, seeks an amicable resolution of the dispute, in particular by encouraging participants to mediate (Article 10 C.C.P. in conjunction with Article 13 § 2 C.C.P.).</w:t>
      </w:r>
      <w:r>
        <w:rPr>
          <w:sz w:val="20"/>
          <w:szCs w:val="20"/>
          <w:lang w:val="en-US"/>
        </w:rPr>
        <w:t xml:space="preserve"> </w:t>
      </w:r>
      <w:r w:rsidRPr="002267A0">
        <w:rPr>
          <w:sz w:val="20"/>
          <w:szCs w:val="20"/>
          <w:lang w:val="en-US"/>
        </w:rPr>
        <w:t xml:space="preserve">During the proceedings, the court may direct participants to mediation. Mediation constitutes one method of amicable dispute resolution, and it is conducted with the participation of a neutral mediator, on neutral ground, confidentially and voluntarily. </w:t>
      </w:r>
      <w:r w:rsidRPr="002267A0">
        <w:rPr>
          <w:sz w:val="20"/>
          <w:szCs w:val="20"/>
        </w:rPr>
        <w:t xml:space="preserve">It </w:t>
      </w:r>
      <w:proofErr w:type="spellStart"/>
      <w:r w:rsidRPr="002267A0">
        <w:rPr>
          <w:sz w:val="20"/>
          <w:szCs w:val="20"/>
        </w:rPr>
        <w:t>is</w:t>
      </w:r>
      <w:proofErr w:type="spellEnd"/>
      <w:r w:rsidRPr="002267A0">
        <w:rPr>
          <w:sz w:val="20"/>
          <w:szCs w:val="20"/>
        </w:rPr>
        <w:t xml:space="preserve"> </w:t>
      </w:r>
      <w:proofErr w:type="spellStart"/>
      <w:r w:rsidRPr="002267A0">
        <w:rPr>
          <w:sz w:val="20"/>
          <w:szCs w:val="20"/>
        </w:rPr>
        <w:t>also</w:t>
      </w:r>
      <w:proofErr w:type="spellEnd"/>
      <w:r w:rsidRPr="002267A0">
        <w:rPr>
          <w:sz w:val="20"/>
          <w:szCs w:val="20"/>
        </w:rPr>
        <w:t xml:space="preserve"> </w:t>
      </w:r>
      <w:proofErr w:type="spellStart"/>
      <w:r w:rsidRPr="002267A0">
        <w:rPr>
          <w:sz w:val="20"/>
          <w:szCs w:val="20"/>
        </w:rPr>
        <w:t>significantly</w:t>
      </w:r>
      <w:proofErr w:type="spellEnd"/>
      <w:r w:rsidRPr="002267A0">
        <w:rPr>
          <w:sz w:val="20"/>
          <w:szCs w:val="20"/>
        </w:rPr>
        <w:t xml:space="preserve"> less </w:t>
      </w:r>
      <w:proofErr w:type="spellStart"/>
      <w:r w:rsidRPr="002267A0">
        <w:rPr>
          <w:sz w:val="20"/>
          <w:szCs w:val="20"/>
        </w:rPr>
        <w:t>costly</w:t>
      </w:r>
      <w:proofErr w:type="spellEnd"/>
      <w:r w:rsidRPr="002267A0">
        <w:rPr>
          <w:sz w:val="20"/>
          <w:szCs w:val="20"/>
        </w:rPr>
        <w:t xml:space="preserve"> </w:t>
      </w:r>
      <w:proofErr w:type="spellStart"/>
      <w:r w:rsidRPr="002267A0">
        <w:rPr>
          <w:sz w:val="20"/>
          <w:szCs w:val="20"/>
        </w:rPr>
        <w:t>than</w:t>
      </w:r>
      <w:proofErr w:type="spellEnd"/>
      <w:r w:rsidRPr="002267A0">
        <w:rPr>
          <w:sz w:val="20"/>
          <w:szCs w:val="20"/>
        </w:rPr>
        <w:t xml:space="preserve"> </w:t>
      </w:r>
      <w:proofErr w:type="spellStart"/>
      <w:r w:rsidRPr="002267A0">
        <w:rPr>
          <w:sz w:val="20"/>
          <w:szCs w:val="20"/>
        </w:rPr>
        <w:t>court</w:t>
      </w:r>
      <w:proofErr w:type="spellEnd"/>
      <w:r w:rsidRPr="002267A0">
        <w:rPr>
          <w:sz w:val="20"/>
          <w:szCs w:val="20"/>
        </w:rPr>
        <w:t xml:space="preserve"> </w:t>
      </w:r>
      <w:proofErr w:type="spellStart"/>
      <w:r w:rsidRPr="002267A0">
        <w:rPr>
          <w:sz w:val="20"/>
          <w:szCs w:val="20"/>
        </w:rPr>
        <w:t>proceedings</w:t>
      </w:r>
      <w:proofErr w:type="spellEnd"/>
      <w:r w:rsidRPr="002267A0">
        <w:rPr>
          <w:sz w:val="20"/>
          <w:szCs w:val="20"/>
        </w:rPr>
        <w:t>.</w:t>
      </w:r>
    </w:p>
    <w:p w14:paraId="4C4DDCB0" w14:textId="77777777" w:rsidR="0075716D" w:rsidRDefault="0075716D" w:rsidP="0075716D">
      <w:pPr>
        <w:pStyle w:val="Akapitzlist"/>
        <w:ind w:left="1080"/>
        <w:jc w:val="both"/>
        <w:rPr>
          <w:sz w:val="20"/>
          <w:szCs w:val="20"/>
        </w:rPr>
      </w:pPr>
    </w:p>
    <w:p w14:paraId="52BEBCDA" w14:textId="71048C3D" w:rsidR="0075716D" w:rsidRDefault="007B02FC" w:rsidP="0075716D">
      <w:pPr>
        <w:pStyle w:val="Akapitzlist"/>
        <w:ind w:left="1080"/>
        <w:jc w:val="both"/>
        <w:rPr>
          <w:sz w:val="20"/>
          <w:szCs w:val="20"/>
          <w:lang w:val="en-US"/>
        </w:rPr>
      </w:pPr>
      <w:r w:rsidRPr="007B02FC">
        <w:rPr>
          <w:sz w:val="20"/>
          <w:szCs w:val="20"/>
          <w:lang w:val="en-US"/>
        </w:rPr>
        <w:t>The mediator conducts the mediation using various methods aimed at reaching an amicable resolution of the dispute, including by supporting the parties in formulating settlement proposals, or, upon the parties’ joint request, may indicate ways of resolving the dispute which are not binding on the parties (Article 183³a C.C.P. in conjunction with Article 13 § 2 C.C.P.). The mediator, the participants, and other persons participating in the mediation proceedings are obliged to maintain confidentiality regarding facts they learn in connection with conducting the mediation. The participants may release the mediator and other participants from this obligation (Article 183</w:t>
      </w:r>
      <w:r w:rsidRPr="007B02FC">
        <w:rPr>
          <w:sz w:val="20"/>
          <w:szCs w:val="20"/>
          <w:vertAlign w:val="superscript"/>
          <w:lang w:val="en-US"/>
        </w:rPr>
        <w:t>4</w:t>
      </w:r>
      <w:r w:rsidRPr="007B02FC">
        <w:rPr>
          <w:sz w:val="20"/>
          <w:szCs w:val="20"/>
          <w:lang w:val="en-US"/>
        </w:rPr>
        <w:t xml:space="preserve"> C.C.P. in conjunction with Article 13 § 2 C.C.P.). A settlement concluded before a mediator, once approved by the court, has the legal effect of a settlement concluded before the court. </w:t>
      </w:r>
      <w:r w:rsidRPr="007B02FC">
        <w:rPr>
          <w:b/>
          <w:bCs/>
          <w:sz w:val="20"/>
          <w:szCs w:val="20"/>
          <w:lang w:val="en-US"/>
        </w:rPr>
        <w:t>A settlement concluded before a mediator, which has been approved with an enforcement clause, constitutes an enforceable title.</w:t>
      </w:r>
      <w:r w:rsidRPr="007B02FC">
        <w:rPr>
          <w:sz w:val="20"/>
          <w:szCs w:val="20"/>
          <w:lang w:val="en-US"/>
        </w:rPr>
        <w:t xml:space="preserve"> In the case of a court settlement, the costs of the proceedings in which it was concluded are mutually waived, unless the participants have agreed otherwise (Article 104 C.C.P. in conjunction with Article 13 § 2 C.C.P.). If the settlement is concluded after the commencement of the hearing, the court shall refund the claimant half of the court fee (Article 79 § 1 point 3 letter c C.C.C.C.). In the case of a settlement concluded before a mediator prior to the commencement of the first-instance court hearing, the court shall refund the claimant the full court fee (Article 79 § 1 point 1 letter h C.C.C.C.), whereas if the settlement is concluded before a mediator after the commencement of the hearing, the court shall refund three-quarters of the fee paid for the initiating document or for objections to a payment order (Article 79 § 1 point 2 letter a C.C.C.C.).</w:t>
      </w:r>
    </w:p>
    <w:p w14:paraId="20C92090" w14:textId="77777777" w:rsidR="0075716D" w:rsidRDefault="0075716D" w:rsidP="0075716D">
      <w:pPr>
        <w:pStyle w:val="Akapitzlist"/>
        <w:ind w:left="1080"/>
        <w:jc w:val="both"/>
        <w:rPr>
          <w:sz w:val="20"/>
          <w:szCs w:val="20"/>
          <w:lang w:val="en-US"/>
        </w:rPr>
      </w:pPr>
    </w:p>
    <w:p w14:paraId="2881F8BF" w14:textId="28CA3F75" w:rsidR="0075716D" w:rsidRDefault="007B02FC" w:rsidP="0075716D">
      <w:pPr>
        <w:pStyle w:val="Akapitzlist"/>
        <w:ind w:left="1080"/>
        <w:jc w:val="both"/>
        <w:rPr>
          <w:sz w:val="20"/>
          <w:szCs w:val="20"/>
          <w:lang w:val="en-US"/>
        </w:rPr>
      </w:pPr>
      <w:r w:rsidRPr="007B02FC">
        <w:rPr>
          <w:sz w:val="20"/>
          <w:szCs w:val="20"/>
          <w:lang w:val="en-US"/>
        </w:rPr>
        <w:t>If the participants have concluded a settlement before the court, or if a settlement concluded before a mediator has been approved by the court, the court shall discontinue the proceedings (Article 355 C.C.P. in conjunction with Article 13 § 2 C.C.P.).</w:t>
      </w:r>
    </w:p>
    <w:p w14:paraId="56BECD35" w14:textId="77777777" w:rsidR="00936A4B" w:rsidRDefault="00936A4B" w:rsidP="007B02FC">
      <w:pPr>
        <w:pStyle w:val="Akapitzlist"/>
        <w:numPr>
          <w:ilvl w:val="0"/>
          <w:numId w:val="1"/>
        </w:numPr>
        <w:jc w:val="both"/>
        <w:rPr>
          <w:sz w:val="20"/>
          <w:szCs w:val="20"/>
          <w:lang w:val="en-US"/>
        </w:rPr>
      </w:pPr>
      <w:r w:rsidRPr="00936A4B">
        <w:rPr>
          <w:sz w:val="20"/>
          <w:szCs w:val="20"/>
          <w:lang w:val="en-US"/>
        </w:rPr>
        <w:t xml:space="preserve">Participants in the proceedings are obliged to perform procedural actions </w:t>
      </w:r>
      <w:r w:rsidRPr="00936A4B">
        <w:rPr>
          <w:b/>
          <w:bCs/>
          <w:sz w:val="20"/>
          <w:szCs w:val="20"/>
          <w:lang w:val="en-US"/>
        </w:rPr>
        <w:t>in accordance with good practice</w:t>
      </w:r>
      <w:r w:rsidRPr="00936A4B">
        <w:rPr>
          <w:sz w:val="20"/>
          <w:szCs w:val="20"/>
          <w:lang w:val="en-US"/>
        </w:rPr>
        <w:t xml:space="preserve">, to provide explanations regarding the circumstances of the case truthfully and without concealment, and to present evidence (Article 3 C.C.P.). </w:t>
      </w:r>
    </w:p>
    <w:p w14:paraId="745B1937" w14:textId="77777777" w:rsidR="00936A4B" w:rsidRDefault="00936A4B" w:rsidP="00936A4B">
      <w:pPr>
        <w:pStyle w:val="Akapitzlist"/>
        <w:ind w:left="1080"/>
        <w:jc w:val="both"/>
        <w:rPr>
          <w:sz w:val="20"/>
          <w:szCs w:val="20"/>
          <w:lang w:val="en-US"/>
        </w:rPr>
      </w:pPr>
    </w:p>
    <w:p w14:paraId="481559FA" w14:textId="70D34716" w:rsidR="007B02FC" w:rsidRDefault="00936A4B" w:rsidP="00936A4B">
      <w:pPr>
        <w:pStyle w:val="Akapitzlist"/>
        <w:ind w:left="1080"/>
        <w:jc w:val="both"/>
        <w:rPr>
          <w:sz w:val="20"/>
          <w:szCs w:val="20"/>
          <w:lang w:val="en-US"/>
        </w:rPr>
      </w:pPr>
      <w:r w:rsidRPr="00936A4B">
        <w:rPr>
          <w:sz w:val="20"/>
          <w:szCs w:val="20"/>
          <w:lang w:val="en-US"/>
        </w:rPr>
        <w:t xml:space="preserve">The rights granted under procedural provisions must not be used by the participants in a manner inconsistent with the purpose for which they were established </w:t>
      </w:r>
      <w:r w:rsidRPr="00936A4B">
        <w:rPr>
          <w:b/>
          <w:bCs/>
          <w:sz w:val="20"/>
          <w:szCs w:val="20"/>
          <w:lang w:val="en-US"/>
        </w:rPr>
        <w:t>(abuse of procedural law)</w:t>
      </w:r>
      <w:r w:rsidRPr="00936A4B">
        <w:rPr>
          <w:sz w:val="20"/>
          <w:szCs w:val="20"/>
          <w:lang w:val="en-US"/>
        </w:rPr>
        <w:t xml:space="preserve"> (Article 4</w:t>
      </w:r>
      <w:r w:rsidRPr="00936A4B">
        <w:rPr>
          <w:sz w:val="20"/>
          <w:szCs w:val="20"/>
          <w:vertAlign w:val="superscript"/>
          <w:lang w:val="en-US"/>
        </w:rPr>
        <w:t xml:space="preserve">1 </w:t>
      </w:r>
      <w:r w:rsidRPr="00936A4B">
        <w:rPr>
          <w:sz w:val="20"/>
          <w:szCs w:val="20"/>
          <w:lang w:val="en-US"/>
        </w:rPr>
        <w:t>C.C.P.).</w:t>
      </w:r>
    </w:p>
    <w:p w14:paraId="5B3A97FF" w14:textId="3BE25C81" w:rsidR="00936A4B" w:rsidRDefault="00BF0D20" w:rsidP="00936A4B">
      <w:pPr>
        <w:pStyle w:val="Akapitzlist"/>
        <w:numPr>
          <w:ilvl w:val="0"/>
          <w:numId w:val="1"/>
        </w:numPr>
        <w:jc w:val="both"/>
        <w:rPr>
          <w:sz w:val="20"/>
          <w:szCs w:val="20"/>
          <w:lang w:val="en-US"/>
        </w:rPr>
      </w:pPr>
      <w:r w:rsidRPr="00BF0D20">
        <w:rPr>
          <w:sz w:val="20"/>
          <w:szCs w:val="20"/>
          <w:lang w:val="en-US"/>
        </w:rPr>
        <w:t>A hearing in non-contentious proceedings takes place in cases specified by law. In other cases, scheduling a hearing depends on the discretion of the court. Even if a hearing is not scheduled, the court may, before deciding the case, hear the participants at a court session or request written statements from them. However, even in cases where the law requires a hearing, the court may, without summoning the interested parties, dismiss the motion at a non-public session if the content of the motion shows an obvious lack of entitlement by the applicant (Article 514 C.C.P.).</w:t>
      </w:r>
    </w:p>
    <w:p w14:paraId="50621E17" w14:textId="3C9D816C" w:rsidR="00BF0D20" w:rsidRDefault="00BF0D20" w:rsidP="00936A4B">
      <w:pPr>
        <w:pStyle w:val="Akapitzlist"/>
        <w:numPr>
          <w:ilvl w:val="0"/>
          <w:numId w:val="1"/>
        </w:numPr>
        <w:jc w:val="both"/>
        <w:rPr>
          <w:sz w:val="20"/>
          <w:szCs w:val="20"/>
          <w:lang w:val="en-US"/>
        </w:rPr>
      </w:pPr>
      <w:r w:rsidRPr="00BF0D20">
        <w:rPr>
          <w:b/>
          <w:bCs/>
          <w:sz w:val="20"/>
          <w:szCs w:val="20"/>
          <w:lang w:val="en-US"/>
        </w:rPr>
        <w:t>The absence of participants</w:t>
      </w:r>
      <w:r w:rsidRPr="00BF0D20">
        <w:rPr>
          <w:sz w:val="20"/>
          <w:szCs w:val="20"/>
          <w:lang w:val="en-US"/>
        </w:rPr>
        <w:t xml:space="preserve"> does not prevent the court from hearing the case (Article 513 C.C.P.).</w:t>
      </w:r>
    </w:p>
    <w:p w14:paraId="11A62D01" w14:textId="198C914F" w:rsidR="00BF0D20" w:rsidRPr="00BF0D20" w:rsidRDefault="00BF0D20" w:rsidP="00936A4B">
      <w:pPr>
        <w:pStyle w:val="Akapitzlist"/>
        <w:numPr>
          <w:ilvl w:val="0"/>
          <w:numId w:val="1"/>
        </w:numPr>
        <w:jc w:val="both"/>
        <w:rPr>
          <w:sz w:val="20"/>
          <w:szCs w:val="20"/>
          <w:lang w:val="en-US"/>
        </w:rPr>
      </w:pPr>
      <w:r w:rsidRPr="00BF0D20">
        <w:rPr>
          <w:sz w:val="20"/>
          <w:szCs w:val="20"/>
          <w:lang w:val="en-US"/>
        </w:rPr>
        <w:t xml:space="preserve">A participant should </w:t>
      </w:r>
      <w:r w:rsidRPr="00097888">
        <w:rPr>
          <w:b/>
          <w:bCs/>
          <w:sz w:val="20"/>
          <w:szCs w:val="20"/>
          <w:lang w:val="en-US"/>
        </w:rPr>
        <w:t>draw the court’s attention to any breach of procedural rules</w:t>
      </w:r>
      <w:r w:rsidRPr="00BF0D20">
        <w:rPr>
          <w:sz w:val="20"/>
          <w:szCs w:val="20"/>
          <w:lang w:val="en-US"/>
        </w:rPr>
        <w:t xml:space="preserve"> by requesting that a reservation be entered into the record. Such a reservation may be submitted no later than at the next hearing (Article 162 § 1 C.C.P. in conjunction with Article 13 § 2 C.C.P.).</w:t>
      </w:r>
    </w:p>
    <w:p w14:paraId="57159DE2" w14:textId="328E13D6" w:rsidR="00BF0D20" w:rsidRDefault="00BF0D20" w:rsidP="00936A4B">
      <w:pPr>
        <w:pStyle w:val="Akapitzlist"/>
        <w:numPr>
          <w:ilvl w:val="0"/>
          <w:numId w:val="1"/>
        </w:numPr>
        <w:jc w:val="both"/>
        <w:rPr>
          <w:sz w:val="20"/>
          <w:szCs w:val="20"/>
          <w:lang w:val="en-US"/>
        </w:rPr>
      </w:pPr>
      <w:r w:rsidRPr="00BF0D20">
        <w:rPr>
          <w:sz w:val="20"/>
          <w:szCs w:val="20"/>
          <w:lang w:val="en-US"/>
        </w:rPr>
        <w:t xml:space="preserve">Participants and their representatives are </w:t>
      </w:r>
      <w:r w:rsidRPr="00097888">
        <w:rPr>
          <w:b/>
          <w:bCs/>
          <w:sz w:val="20"/>
          <w:szCs w:val="20"/>
          <w:lang w:val="en-US"/>
        </w:rPr>
        <w:t>obliged to notify the court of any change in their place of residence</w:t>
      </w:r>
      <w:r w:rsidRPr="00BF0D20">
        <w:rPr>
          <w:sz w:val="20"/>
          <w:szCs w:val="20"/>
          <w:lang w:val="en-US"/>
        </w:rPr>
        <w:t xml:space="preserve">, and in the case of participants that are not natural persons – of any change in their </w:t>
      </w:r>
      <w:r w:rsidRPr="00097888">
        <w:rPr>
          <w:b/>
          <w:bCs/>
          <w:sz w:val="20"/>
          <w:szCs w:val="20"/>
          <w:lang w:val="en-US"/>
        </w:rPr>
        <w:lastRenderedPageBreak/>
        <w:t>registered office</w:t>
      </w:r>
      <w:r w:rsidRPr="00BF0D20">
        <w:rPr>
          <w:sz w:val="20"/>
          <w:szCs w:val="20"/>
          <w:lang w:val="en-US"/>
        </w:rPr>
        <w:t xml:space="preserve">. A participant who is </w:t>
      </w:r>
      <w:r w:rsidRPr="00097888">
        <w:rPr>
          <w:b/>
          <w:bCs/>
          <w:sz w:val="20"/>
          <w:szCs w:val="20"/>
          <w:lang w:val="en-US"/>
        </w:rPr>
        <w:t>an entrepreneur registered in the Central Registration and Information on Economic Activity (CEIDG)</w:t>
      </w:r>
      <w:r w:rsidRPr="00BF0D20">
        <w:rPr>
          <w:sz w:val="20"/>
          <w:szCs w:val="20"/>
          <w:lang w:val="en-US"/>
        </w:rPr>
        <w:t xml:space="preserve"> is obliged to notify the court of any change of the address for service provided in that register.</w:t>
      </w:r>
    </w:p>
    <w:p w14:paraId="0AF2A2C0" w14:textId="77777777" w:rsidR="00BF0D20" w:rsidRDefault="00BF0D20" w:rsidP="00BF0D20">
      <w:pPr>
        <w:pStyle w:val="Akapitzlist"/>
        <w:ind w:left="1080"/>
        <w:jc w:val="both"/>
        <w:rPr>
          <w:sz w:val="20"/>
          <w:szCs w:val="20"/>
          <w:lang w:val="en-US"/>
        </w:rPr>
      </w:pPr>
    </w:p>
    <w:p w14:paraId="3A349E5D" w14:textId="653FCD6B" w:rsidR="00BF0D20" w:rsidRPr="00BF0D20" w:rsidRDefault="00BF0D20" w:rsidP="00BF0D20">
      <w:pPr>
        <w:pStyle w:val="Akapitzlist"/>
        <w:ind w:left="1080"/>
        <w:jc w:val="both"/>
        <w:rPr>
          <w:sz w:val="20"/>
          <w:szCs w:val="20"/>
          <w:lang w:val="en-US"/>
        </w:rPr>
      </w:pPr>
      <w:r w:rsidRPr="00BF0D20">
        <w:rPr>
          <w:sz w:val="20"/>
          <w:szCs w:val="20"/>
          <w:lang w:val="en-US"/>
        </w:rPr>
        <w:t>If these obligations are neglected, the court document shall be placed in the case file with effect of service, unless the court is aware of the new address (Article 136 § 2 C.C.P. in conjunction with Article 13 § 2 C.C.P.).</w:t>
      </w:r>
    </w:p>
    <w:sectPr w:rsidR="00BF0D20" w:rsidRPr="00BF0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01BB" w14:textId="77777777" w:rsidR="00B27813" w:rsidRDefault="00B27813" w:rsidP="00B27813">
      <w:pPr>
        <w:spacing w:after="0" w:line="240" w:lineRule="auto"/>
      </w:pPr>
      <w:r>
        <w:separator/>
      </w:r>
    </w:p>
  </w:endnote>
  <w:endnote w:type="continuationSeparator" w:id="0">
    <w:p w14:paraId="1FF62B40" w14:textId="77777777" w:rsidR="00B27813" w:rsidRDefault="00B27813" w:rsidP="00B2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7C8F" w14:textId="77777777" w:rsidR="00B27813" w:rsidRDefault="00B27813" w:rsidP="00B27813">
      <w:pPr>
        <w:spacing w:after="0" w:line="240" w:lineRule="auto"/>
      </w:pPr>
      <w:r>
        <w:separator/>
      </w:r>
    </w:p>
  </w:footnote>
  <w:footnote w:type="continuationSeparator" w:id="0">
    <w:p w14:paraId="0D550FE1" w14:textId="77777777" w:rsidR="00B27813" w:rsidRDefault="00B27813" w:rsidP="00B27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265E4"/>
    <w:multiLevelType w:val="hybridMultilevel"/>
    <w:tmpl w:val="E80E025E"/>
    <w:lvl w:ilvl="0" w:tplc="AEB4DA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0E4799"/>
    <w:multiLevelType w:val="hybridMultilevel"/>
    <w:tmpl w:val="9E246F34"/>
    <w:lvl w:ilvl="0" w:tplc="9DB4837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6DBA3F3F"/>
    <w:multiLevelType w:val="hybridMultilevel"/>
    <w:tmpl w:val="9E246F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7E4502C5"/>
    <w:multiLevelType w:val="hybridMultilevel"/>
    <w:tmpl w:val="2F149572"/>
    <w:lvl w:ilvl="0" w:tplc="5B34393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num w:numId="1" w16cid:durableId="1404060411">
    <w:abstractNumId w:val="0"/>
  </w:num>
  <w:num w:numId="2" w16cid:durableId="844856159">
    <w:abstractNumId w:val="1"/>
  </w:num>
  <w:num w:numId="3" w16cid:durableId="1585608779">
    <w:abstractNumId w:val="3"/>
  </w:num>
  <w:num w:numId="4" w16cid:durableId="63113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16528"/>
    <w:rsid w:val="00056307"/>
    <w:rsid w:val="00097888"/>
    <w:rsid w:val="002267A0"/>
    <w:rsid w:val="002C4C8A"/>
    <w:rsid w:val="003C78C5"/>
    <w:rsid w:val="003F1C51"/>
    <w:rsid w:val="0040074A"/>
    <w:rsid w:val="004D1545"/>
    <w:rsid w:val="00505D20"/>
    <w:rsid w:val="005259E4"/>
    <w:rsid w:val="0059024D"/>
    <w:rsid w:val="00625B54"/>
    <w:rsid w:val="00686527"/>
    <w:rsid w:val="0075716D"/>
    <w:rsid w:val="00781BFA"/>
    <w:rsid w:val="007B02FC"/>
    <w:rsid w:val="007D2D43"/>
    <w:rsid w:val="007E1626"/>
    <w:rsid w:val="00897063"/>
    <w:rsid w:val="008C016A"/>
    <w:rsid w:val="009362B0"/>
    <w:rsid w:val="00936A4B"/>
    <w:rsid w:val="009373E6"/>
    <w:rsid w:val="00950EB6"/>
    <w:rsid w:val="00A62A29"/>
    <w:rsid w:val="00AF4914"/>
    <w:rsid w:val="00B27813"/>
    <w:rsid w:val="00B85666"/>
    <w:rsid w:val="00BE5E1B"/>
    <w:rsid w:val="00BF0D20"/>
    <w:rsid w:val="00C16528"/>
    <w:rsid w:val="00C75873"/>
    <w:rsid w:val="00E04F47"/>
    <w:rsid w:val="00E21133"/>
    <w:rsid w:val="00E408A0"/>
    <w:rsid w:val="00F25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BF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6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6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652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652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652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652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652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652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652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652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652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652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652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652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65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65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65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6528"/>
    <w:rPr>
      <w:rFonts w:eastAsiaTheme="majorEastAsia" w:cstheme="majorBidi"/>
      <w:color w:val="272727" w:themeColor="text1" w:themeTint="D8"/>
    </w:rPr>
  </w:style>
  <w:style w:type="paragraph" w:styleId="Tytu">
    <w:name w:val="Title"/>
    <w:basedOn w:val="Normalny"/>
    <w:next w:val="Normalny"/>
    <w:link w:val="TytuZnak"/>
    <w:uiPriority w:val="10"/>
    <w:qFormat/>
    <w:rsid w:val="00C1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65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65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65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6528"/>
    <w:pPr>
      <w:spacing w:before="160"/>
      <w:jc w:val="center"/>
    </w:pPr>
    <w:rPr>
      <w:i/>
      <w:iCs/>
      <w:color w:val="404040" w:themeColor="text1" w:themeTint="BF"/>
    </w:rPr>
  </w:style>
  <w:style w:type="character" w:customStyle="1" w:styleId="CytatZnak">
    <w:name w:val="Cytat Znak"/>
    <w:basedOn w:val="Domylnaczcionkaakapitu"/>
    <w:link w:val="Cytat"/>
    <w:uiPriority w:val="29"/>
    <w:rsid w:val="00C16528"/>
    <w:rPr>
      <w:i/>
      <w:iCs/>
      <w:color w:val="404040" w:themeColor="text1" w:themeTint="BF"/>
    </w:rPr>
  </w:style>
  <w:style w:type="paragraph" w:styleId="Akapitzlist">
    <w:name w:val="List Paragraph"/>
    <w:basedOn w:val="Normalny"/>
    <w:uiPriority w:val="34"/>
    <w:qFormat/>
    <w:rsid w:val="00C16528"/>
    <w:pPr>
      <w:ind w:left="720"/>
      <w:contextualSpacing/>
    </w:pPr>
  </w:style>
  <w:style w:type="character" w:styleId="Wyrnienieintensywne">
    <w:name w:val="Intense Emphasis"/>
    <w:basedOn w:val="Domylnaczcionkaakapitu"/>
    <w:uiPriority w:val="21"/>
    <w:qFormat/>
    <w:rsid w:val="00C16528"/>
    <w:rPr>
      <w:i/>
      <w:iCs/>
      <w:color w:val="2F5496" w:themeColor="accent1" w:themeShade="BF"/>
    </w:rPr>
  </w:style>
  <w:style w:type="paragraph" w:styleId="Cytatintensywny">
    <w:name w:val="Intense Quote"/>
    <w:basedOn w:val="Normalny"/>
    <w:next w:val="Normalny"/>
    <w:link w:val="CytatintensywnyZnak"/>
    <w:uiPriority w:val="30"/>
    <w:qFormat/>
    <w:rsid w:val="00C16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6528"/>
    <w:rPr>
      <w:i/>
      <w:iCs/>
      <w:color w:val="2F5496" w:themeColor="accent1" w:themeShade="BF"/>
    </w:rPr>
  </w:style>
  <w:style w:type="character" w:styleId="Odwoanieintensywne">
    <w:name w:val="Intense Reference"/>
    <w:basedOn w:val="Domylnaczcionkaakapitu"/>
    <w:uiPriority w:val="32"/>
    <w:qFormat/>
    <w:rsid w:val="00C16528"/>
    <w:rPr>
      <w:b/>
      <w:bCs/>
      <w:smallCaps/>
      <w:color w:val="2F5496" w:themeColor="accent1" w:themeShade="BF"/>
      <w:spacing w:val="5"/>
    </w:rPr>
  </w:style>
  <w:style w:type="paragraph" w:styleId="Nagwek">
    <w:name w:val="header"/>
    <w:basedOn w:val="Normalny"/>
    <w:link w:val="NagwekZnak"/>
    <w:uiPriority w:val="99"/>
    <w:unhideWhenUsed/>
    <w:rsid w:val="00B278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7813"/>
  </w:style>
  <w:style w:type="paragraph" w:styleId="Stopka">
    <w:name w:val="footer"/>
    <w:basedOn w:val="Normalny"/>
    <w:link w:val="StopkaZnak"/>
    <w:uiPriority w:val="99"/>
    <w:unhideWhenUsed/>
    <w:rsid w:val="00B27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2706</Words>
  <Characters>13806</Characters>
  <Application>Microsoft Office Word</Application>
  <DocSecurity>0</DocSecurity>
  <Lines>215</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2026-04-10T10:19:00Z</dcterms:created>
  <dcterms:modified xsi:type="dcterms:W3CDTF">2026-04-10T10:20:00Z</dcterms:modified>
</cp:coreProperties>
</file>