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40" w:rsidRDefault="00C8726D">
      <w:pPr>
        <w:widowControl/>
        <w:suppressAutoHyphens w:val="0"/>
        <w:spacing w:line="360" w:lineRule="auto"/>
        <w:jc w:val="center"/>
        <w:textAlignment w:val="auto"/>
      </w:pPr>
      <w:bookmarkStart w:id="0" w:name="_GoBack"/>
      <w:bookmarkEnd w:id="0"/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OPIS ISTOTNYCH ZAGADNIEŃ DLA KOMISJI EGZAMINACYJNEJ </w:t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br/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DO ZADANIA Z ZAKRESU ZASAD WYKONYWANIA </w:t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br/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>ZAWODU LUB ZASAD ETYKI</w:t>
      </w:r>
    </w:p>
    <w:p w:rsidR="00A76C40" w:rsidRDefault="00C8726D">
      <w:pPr>
        <w:widowControl/>
        <w:shd w:val="clear" w:color="auto" w:fill="FFFFFF"/>
        <w:suppressAutoHyphens w:val="0"/>
        <w:autoSpaceDE w:val="0"/>
        <w:spacing w:line="360" w:lineRule="auto"/>
        <w:jc w:val="center"/>
        <w:textAlignment w:val="auto"/>
        <w:rPr>
          <w:rFonts w:eastAsia="Calibri" w:cs="Times New Roman"/>
          <w:bCs/>
          <w:color w:val="000000"/>
          <w:kern w:val="0"/>
          <w:lang w:eastAsia="en-US" w:bidi="ar-SA"/>
        </w:rPr>
      </w:pPr>
      <w:r>
        <w:rPr>
          <w:rFonts w:eastAsia="Calibri" w:cs="Times New Roman"/>
          <w:bCs/>
          <w:color w:val="000000"/>
          <w:kern w:val="0"/>
          <w:lang w:eastAsia="en-US" w:bidi="ar-SA"/>
        </w:rPr>
        <w:t>(EGZAMIN ADWOKACKI - 18 MARCA 2016 r.)</w:t>
      </w:r>
    </w:p>
    <w:p w:rsidR="00A76C40" w:rsidRDefault="00A76C40">
      <w:pPr>
        <w:pStyle w:val="Standard"/>
        <w:spacing w:line="360" w:lineRule="auto"/>
        <w:jc w:val="both"/>
      </w:pPr>
    </w:p>
    <w:p w:rsidR="00A76C40" w:rsidRDefault="00C8726D">
      <w:pPr>
        <w:pStyle w:val="Standard"/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 rozwiązaniu zadania </w:t>
      </w:r>
      <w:r>
        <w:rPr>
          <w:sz w:val="22"/>
          <w:szCs w:val="22"/>
        </w:rPr>
        <w:t xml:space="preserve">egzaminacyjnego zastosowanie znajdują: </w:t>
      </w:r>
    </w:p>
    <w:p w:rsidR="00A76C40" w:rsidRDefault="00A76C40">
      <w:pPr>
        <w:pStyle w:val="Standard"/>
        <w:jc w:val="both"/>
        <w:rPr>
          <w:sz w:val="22"/>
          <w:szCs w:val="22"/>
        </w:rPr>
      </w:pPr>
    </w:p>
    <w:p w:rsidR="00A76C40" w:rsidRDefault="00C8726D">
      <w:pPr>
        <w:pStyle w:val="Standard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Ustawa z dnia 26 maja 1982 r. – Prawo o adwokaturze (Dz. U. z 2015 r. poz. 615,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A76C40" w:rsidRDefault="00C8726D">
      <w:pPr>
        <w:pStyle w:val="Standard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Zbiór Zasad Etyki Adwokackiej i Godności Zawodu (Kodeks Etyki Adwokackiej – dalej jako KEA) – Obwieszczenie Prezydium NRA</w:t>
      </w:r>
      <w:r>
        <w:rPr>
          <w:sz w:val="22"/>
          <w:szCs w:val="22"/>
        </w:rPr>
        <w:t xml:space="preserve"> z dnia 14 grudnia 2011 r. w sprawie ogłoszenia jednolitego tekstu Zbioru Zasad Etyki Adwokackiej i Godności Zawodu (KEA).</w:t>
      </w:r>
    </w:p>
    <w:p w:rsidR="00A76C40" w:rsidRDefault="00C8726D">
      <w:pPr>
        <w:pStyle w:val="Standard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wykonywania zawodu adwokata w kancelarii indywidualnej lub w spółkach – Obwieszczenie Prezydium NRA z dnia 7 lipca 2015 r. </w:t>
      </w:r>
      <w:r>
        <w:rPr>
          <w:sz w:val="22"/>
          <w:szCs w:val="22"/>
        </w:rPr>
        <w:t>w sprawie ogłoszenia jednolitego tekstu Regulaminu wykonywania zawodu adwokata w kancelarii indywidualnej lub spółkach.</w:t>
      </w:r>
    </w:p>
    <w:p w:rsidR="00A76C40" w:rsidRDefault="00A76C40">
      <w:pPr>
        <w:pStyle w:val="Standard"/>
        <w:jc w:val="both"/>
        <w:rPr>
          <w:sz w:val="22"/>
          <w:szCs w:val="22"/>
        </w:rPr>
      </w:pPr>
    </w:p>
    <w:p w:rsidR="00A76C40" w:rsidRDefault="00C8726D">
      <w:pPr>
        <w:pStyle w:val="Standard"/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Zdaniem zespołu do przygotowania zadań na egzamin adwokacki, w sporządzonej opinii zdający, mając na względzie interes publiczny (art. </w:t>
      </w:r>
      <w:r>
        <w:rPr>
          <w:sz w:val="22"/>
          <w:szCs w:val="22"/>
        </w:rPr>
        <w:t xml:space="preserve">17 ust. 1 Konstytucji RP), powinien wskazać, że adwokat Kazimierz Nowy dopuścił się naruszenia następujących zasad wykonywania zawodu i zasad etyki: </w:t>
      </w:r>
    </w:p>
    <w:p w:rsidR="00A76C40" w:rsidRDefault="00A76C40">
      <w:pPr>
        <w:pStyle w:val="Standard"/>
        <w:jc w:val="both"/>
        <w:rPr>
          <w:sz w:val="22"/>
          <w:szCs w:val="22"/>
        </w:rPr>
      </w:pP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 xml:space="preserve">zakazu pozyskiwania klientów w niedozwolony sposób poprzez korzystanie z odpłatnego pośrednictwa –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 xml:space="preserve">23 </w:t>
      </w:r>
      <w:r>
        <w:rPr>
          <w:sz w:val="22"/>
          <w:szCs w:val="22"/>
        </w:rPr>
        <w:t>KEA;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 xml:space="preserve">zakazu reklamy poprzez reklamowanie swoich usług w Internecie -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>23 KEA;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 xml:space="preserve">zakazu reklamy poprzez umieszczenie informacji o kancelarii na banerze znacznych rozmiarów -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>23 KEA;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>zakazu informowania o swojej działalności zawodowej w niedozwolony sposób,</w:t>
      </w:r>
      <w:r>
        <w:rPr>
          <w:sz w:val="22"/>
          <w:szCs w:val="22"/>
        </w:rPr>
        <w:t xml:space="preserve"> poprzez zamieszczenie na stronie internetowej informacji „Kancelaria prowadzi tanio i skutecznie każdą sprawę” -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 xml:space="preserve">23b ust. 2 lit. a) KEA; 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>zakazu ujawniania</w:t>
      </w:r>
      <w:r>
        <w:rPr>
          <w:rFonts w:cs="Times New Roman"/>
          <w:sz w:val="22"/>
          <w:szCs w:val="22"/>
        </w:rPr>
        <w:t xml:space="preserve"> treści </w:t>
      </w:r>
      <w:proofErr w:type="spellStart"/>
      <w:r>
        <w:rPr>
          <w:rFonts w:cs="Times New Roman"/>
          <w:sz w:val="22"/>
          <w:szCs w:val="22"/>
        </w:rPr>
        <w:t>pozaprocesowych</w:t>
      </w:r>
      <w:proofErr w:type="spellEnd"/>
      <w:r>
        <w:rPr>
          <w:rFonts w:cs="Times New Roman"/>
          <w:sz w:val="22"/>
          <w:szCs w:val="22"/>
        </w:rPr>
        <w:t xml:space="preserve"> pertraktacji pojednawczych prowadzonych 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z udziałem adwokata i radcy prawn</w:t>
      </w:r>
      <w:r>
        <w:rPr>
          <w:rFonts w:cs="Times New Roman"/>
          <w:sz w:val="22"/>
          <w:szCs w:val="22"/>
        </w:rPr>
        <w:t>ego - § 33</w:t>
      </w:r>
      <w:r>
        <w:rPr>
          <w:sz w:val="22"/>
          <w:szCs w:val="22"/>
        </w:rPr>
        <w:t xml:space="preserve"> KEA;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cs="Times New Roman"/>
          <w:sz w:val="22"/>
          <w:szCs w:val="22"/>
        </w:rPr>
        <w:t xml:space="preserve">zakazu oznaczania lokalu, w którym adwokat wykonuje zawód w niedozwolony sposób poprzez umieszczenie logo firmy odszkodowawczej na banerze kancelarii - § 4 pkt 6 Regulaminu wykonywania zawodu adwokata w kancelarii indywidualnej lub 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 spółk</w:t>
      </w:r>
      <w:r>
        <w:rPr>
          <w:rFonts w:cs="Times New Roman"/>
          <w:sz w:val="22"/>
          <w:szCs w:val="22"/>
        </w:rPr>
        <w:t>ach;</w:t>
      </w:r>
    </w:p>
    <w:p w:rsidR="00A76C40" w:rsidRDefault="00C8726D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 w:val="22"/>
          <w:szCs w:val="22"/>
        </w:rPr>
        <w:t>zasady rzeczowości i umiaru oraz odpowiedzialności za redagowane przez adwokata pisma poprzez użycie w piśmie procesowym stwierdzenia, że „pozwany w trakcie przedmiotowego zdarzenia nie dość, że zachował się jak zwykły bandyta, to jeszcze teraz okazał</w:t>
      </w:r>
      <w:r>
        <w:rPr>
          <w:sz w:val="22"/>
          <w:szCs w:val="22"/>
        </w:rPr>
        <w:t xml:space="preserve"> się być zwykłym kłamcą i człowiekiem bez honoru” - </w:t>
      </w:r>
      <w:r>
        <w:rPr>
          <w:rFonts w:cs="Times New Roman"/>
          <w:sz w:val="22"/>
          <w:szCs w:val="22"/>
        </w:rPr>
        <w:t>§</w:t>
      </w:r>
      <w:r>
        <w:rPr>
          <w:sz w:val="22"/>
          <w:szCs w:val="22"/>
        </w:rPr>
        <w:t xml:space="preserve"> 13 KEA,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 xml:space="preserve">14 KEA i </w:t>
      </w:r>
      <w:r>
        <w:rPr>
          <w:rFonts w:cs="Times New Roman"/>
          <w:sz w:val="22"/>
          <w:szCs w:val="22"/>
        </w:rPr>
        <w:t xml:space="preserve">§ </w:t>
      </w:r>
      <w:r>
        <w:rPr>
          <w:sz w:val="22"/>
          <w:szCs w:val="22"/>
        </w:rPr>
        <w:t xml:space="preserve">16 KEA. Zdający </w:t>
      </w:r>
      <w:r>
        <w:rPr>
          <w:sz w:val="22"/>
          <w:szCs w:val="22"/>
        </w:rPr>
        <w:lastRenderedPageBreak/>
        <w:t>powinien powołać treść art. 8 ust. 1 i 2 ustawy - Prawo o adwokaturze, zgodnie z którym adwokat przy wykonywaniu zawodu adwokackiego korzysta z wolności słowa i pism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br/>
      </w:r>
      <w:r>
        <w:rPr>
          <w:sz w:val="22"/>
          <w:szCs w:val="22"/>
        </w:rPr>
        <w:t>w granicach określonych przez zadania adwokatury i przepisy prawa, a nadużycie tej wolności, stanowiące ściganą z oskarżenia prywatnego zniewagę lub zniesławienie strony, jej pełnomocnika lub obrońcy, kuratora, świadka, biegłego lub tłumacza, podlega śc</w:t>
      </w:r>
      <w:r>
        <w:rPr>
          <w:sz w:val="22"/>
          <w:szCs w:val="22"/>
        </w:rPr>
        <w:t xml:space="preserve">iganiu tylko w drodze dyscyplinarnej. </w:t>
      </w:r>
    </w:p>
    <w:p w:rsidR="00A76C40" w:rsidRDefault="00A76C40">
      <w:pPr>
        <w:pStyle w:val="Standard"/>
        <w:spacing w:line="360" w:lineRule="auto"/>
        <w:jc w:val="both"/>
        <w:rPr>
          <w:sz w:val="22"/>
          <w:szCs w:val="22"/>
        </w:rPr>
      </w:pPr>
    </w:p>
    <w:sectPr w:rsidR="00A76C4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726D">
      <w:r>
        <w:separator/>
      </w:r>
    </w:p>
  </w:endnote>
  <w:endnote w:type="continuationSeparator" w:id="0">
    <w:p w:rsidR="00000000" w:rsidRDefault="00C8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F0" w:rsidRDefault="00C8726D">
    <w:pPr>
      <w:pStyle w:val="Stopka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EB59F0" w:rsidRDefault="00C87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726D">
      <w:r>
        <w:rPr>
          <w:color w:val="000000"/>
        </w:rPr>
        <w:separator/>
      </w:r>
    </w:p>
  </w:footnote>
  <w:footnote w:type="continuationSeparator" w:id="0">
    <w:p w:rsidR="00000000" w:rsidRDefault="00C8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EA9"/>
    <w:multiLevelType w:val="multilevel"/>
    <w:tmpl w:val="18F8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D7F37"/>
    <w:multiLevelType w:val="multilevel"/>
    <w:tmpl w:val="534A9F5A"/>
    <w:styleLink w:val="WWNum1"/>
    <w:lvl w:ilvl="0">
      <w:start w:val="1"/>
      <w:numFmt w:val="decimal"/>
      <w:lvlText w:val="%1."/>
      <w:lvlJc w:val="left"/>
      <w:rPr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AAC3E8D"/>
    <w:multiLevelType w:val="multilevel"/>
    <w:tmpl w:val="BB92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6C40"/>
    <w:rsid w:val="00A76C40"/>
    <w:rsid w:val="00C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">
    <w:name w:val="Table"/>
    <w:basedOn w:val="Legenda"/>
    <w:pPr>
      <w:widowControl/>
    </w:pPr>
    <w:rPr>
      <w:sz w:val="20"/>
    </w:rPr>
  </w:style>
  <w:style w:type="character" w:customStyle="1" w:styleId="ListLabel4">
    <w:name w:val="ListLabel 4"/>
    <w:rPr>
      <w:sz w:val="28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">
    <w:name w:val="Table"/>
    <w:basedOn w:val="Legenda"/>
    <w:pPr>
      <w:widowControl/>
    </w:pPr>
    <w:rPr>
      <w:sz w:val="20"/>
    </w:rPr>
  </w:style>
  <w:style w:type="character" w:customStyle="1" w:styleId="ListLabel4">
    <w:name w:val="ListLabel 4"/>
    <w:rPr>
      <w:sz w:val="28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 radcowski</dc:creator>
  <cp:lastModifiedBy>Łoboda Agata  (DZP)</cp:lastModifiedBy>
  <cp:revision>2</cp:revision>
  <cp:lastPrinted>2016-02-11T14:51:00Z</cp:lastPrinted>
  <dcterms:created xsi:type="dcterms:W3CDTF">2016-03-21T15:15:00Z</dcterms:created>
  <dcterms:modified xsi:type="dcterms:W3CDTF">2016-03-21T15:15:00Z</dcterms:modified>
</cp:coreProperties>
</file>