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5A" w:rsidRDefault="00BA3974">
      <w:pPr>
        <w:pStyle w:val="Heading110"/>
        <w:keepNext/>
        <w:keepLines/>
        <w:spacing w:before="220"/>
      </w:pPr>
      <w:bookmarkStart w:id="0" w:name="bookmark0"/>
      <w:bookmarkStart w:id="1" w:name="_GoBack"/>
      <w:bookmarkEnd w:id="1"/>
      <w:r>
        <w:rPr>
          <w:rStyle w:val="Heading11"/>
          <w:b/>
          <w:bCs/>
        </w:rPr>
        <w:t>WNOSZĄCY PETYCJĘ</w:t>
      </w:r>
      <w:bookmarkEnd w:id="0"/>
    </w:p>
    <w:p w:rsidR="00EC5D5A" w:rsidRDefault="00BA3974">
      <w:pPr>
        <w:pStyle w:val="Bodytext10"/>
        <w:spacing w:after="0"/>
      </w:pPr>
      <w:r>
        <w:rPr>
          <w:rStyle w:val="Bodytext1"/>
        </w:rPr>
        <w:t>Wojciech Niemczyk</w:t>
      </w:r>
    </w:p>
    <w:p w:rsidR="00EC5D5A" w:rsidRDefault="00EC5D5A">
      <w:pPr>
        <w:pStyle w:val="Bodytext10"/>
        <w:spacing w:after="0"/>
      </w:pPr>
    </w:p>
    <w:p w:rsidR="00EC5D5A" w:rsidRDefault="00EC5D5A">
      <w:pPr>
        <w:pStyle w:val="Bodytext10"/>
        <w:spacing w:after="0"/>
      </w:pPr>
    </w:p>
    <w:p w:rsidR="00EC5D5A" w:rsidRPr="00BC3943" w:rsidRDefault="00EC5D5A">
      <w:pPr>
        <w:pStyle w:val="Bodytext10"/>
        <w:rPr>
          <w:lang w:val="en-US"/>
        </w:rPr>
      </w:pPr>
    </w:p>
    <w:p w:rsidR="00EC5D5A" w:rsidRDefault="00BA3974">
      <w:pPr>
        <w:pStyle w:val="Heading110"/>
        <w:keepNext/>
        <w:keepLines/>
      </w:pPr>
      <w:bookmarkStart w:id="2" w:name="bookmark2"/>
      <w:r>
        <w:rPr>
          <w:rStyle w:val="Heading11"/>
          <w:b/>
          <w:bCs/>
        </w:rPr>
        <w:t>ADRESAT PETYCJI</w:t>
      </w:r>
      <w:bookmarkEnd w:id="2"/>
    </w:p>
    <w:p w:rsidR="00EC5D5A" w:rsidRDefault="00BA3974">
      <w:pPr>
        <w:pStyle w:val="Bodytext10"/>
        <w:spacing w:after="0"/>
      </w:pPr>
      <w:r>
        <w:rPr>
          <w:rStyle w:val="Bodytext1"/>
        </w:rPr>
        <w:t>Minister Cyfryzacji</w:t>
      </w:r>
    </w:p>
    <w:p w:rsidR="00EC5D5A" w:rsidRDefault="00BA3974">
      <w:pPr>
        <w:pStyle w:val="Bodytext10"/>
        <w:spacing w:after="340"/>
      </w:pPr>
      <w:r>
        <w:rPr>
          <w:rStyle w:val="Bodytext1"/>
        </w:rPr>
        <w:t>ul. Królewska 27, 00-060 Warszawa</w:t>
      </w:r>
    </w:p>
    <w:p w:rsidR="00EC5D5A" w:rsidRDefault="00BA3974">
      <w:pPr>
        <w:pStyle w:val="Bodytext10"/>
        <w:spacing w:after="340"/>
        <w:jc w:val="both"/>
      </w:pPr>
      <w:r>
        <w:rPr>
          <w:rStyle w:val="Bodytext1"/>
          <w:b/>
          <w:bCs/>
        </w:rPr>
        <w:t>PETYCJA w interesie publicznym w sprawie podjęcia inicjatywy ustawodawczej w</w:t>
      </w:r>
      <w:r w:rsidR="00BC3943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>przedmiocie centralizacji i ustrukturyzowania publikacji oświadczeń majątkowych samorządowców, uszczelnienia mechanizmów antykorupcyjnych oraz doprecyzowania zasad jawności i ochrony danych osobowych</w:t>
      </w:r>
    </w:p>
    <w:p w:rsidR="00EC5D5A" w:rsidRDefault="00BA3974">
      <w:pPr>
        <w:pStyle w:val="Heading110"/>
        <w:keepNext/>
        <w:keepLines/>
        <w:spacing w:after="220"/>
        <w:jc w:val="both"/>
      </w:pPr>
      <w:bookmarkStart w:id="3" w:name="bookmark4"/>
      <w:r>
        <w:rPr>
          <w:rStyle w:val="Heading11"/>
          <w:b/>
          <w:bCs/>
        </w:rPr>
        <w:t>PISMO PRZEWODNIE</w:t>
      </w:r>
      <w:bookmarkEnd w:id="3"/>
    </w:p>
    <w:p w:rsidR="00EC5D5A" w:rsidRDefault="00BA3974">
      <w:pPr>
        <w:pStyle w:val="Bodytext10"/>
        <w:jc w:val="both"/>
      </w:pPr>
      <w:r>
        <w:rPr>
          <w:rStyle w:val="Bodytext1"/>
        </w:rPr>
        <w:t>Szanowny Panie Ministrze,</w:t>
      </w:r>
    </w:p>
    <w:p w:rsidR="00EC5D5A" w:rsidRDefault="00BA3974">
      <w:pPr>
        <w:pStyle w:val="Bodytext10"/>
        <w:jc w:val="both"/>
      </w:pPr>
      <w:r>
        <w:rPr>
          <w:rStyle w:val="Bodytext1"/>
        </w:rPr>
        <w:t xml:space="preserve">działając na podstawie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63 Konstytucji Rzeczypospolitej Polskiej oraz ustawy z dnia 11 lipca 2014 r. o petycjach, wnoszę niniejszą petycję w interesie publicznym.</w:t>
      </w:r>
    </w:p>
    <w:p w:rsidR="00EC5D5A" w:rsidRDefault="00BA3974">
      <w:pPr>
        <w:pStyle w:val="Bodytext10"/>
        <w:jc w:val="both"/>
      </w:pPr>
      <w:r>
        <w:rPr>
          <w:rStyle w:val="Bodytext1"/>
        </w:rPr>
        <w:t>Zwracam się z wnioskiem o podjęcie inicjatywy ustawodawczej i wniesienie do Sejmu Rzeczypospolitej Polskiej projektu ustawy (pakietu ustaw) wprowadzającego spójny, jednolity, analityczny i antykorupcyjnie szczelny system składania oraz publikowania oświadczeń majątkowych osób pełniących funkcje publiczne w jednostkach samorządu terytorialnego, w</w:t>
      </w:r>
      <w:r w:rsidR="00BC3943">
        <w:rPr>
          <w:rStyle w:val="Bodytext1"/>
        </w:rPr>
        <w:t> </w:t>
      </w:r>
      <w:r>
        <w:rPr>
          <w:rStyle w:val="Bodytext1"/>
        </w:rPr>
        <w:t>szczególności poprzez wdrożenie obowiązkowej formy elektronicznej, centralnego rejestru i</w:t>
      </w:r>
      <w:r w:rsidR="00BC3943">
        <w:rPr>
          <w:rStyle w:val="Bodytext1"/>
        </w:rPr>
        <w:t> </w:t>
      </w:r>
      <w:r>
        <w:rPr>
          <w:rStyle w:val="Bodytext1"/>
        </w:rPr>
        <w:t>standardu danych, wraz z jasnymi regułami redakcji danych w publikacji.</w:t>
      </w:r>
    </w:p>
    <w:p w:rsidR="00EC5D5A" w:rsidRDefault="00BA3974">
      <w:pPr>
        <w:pStyle w:val="Bodytext10"/>
        <w:jc w:val="both"/>
      </w:pPr>
      <w:r>
        <w:rPr>
          <w:rStyle w:val="Bodytext1"/>
        </w:rPr>
        <w:t>Przesłanki interesu publicznego obejmują w szczególności: ochronę finansów publicznych poprzez ograniczenie ryzyk nadużyć i konfliktów interesów, zwiększenie efektywności instytucji publicznych przez odejście od rozproszenia i nieustrukturyzowanych dokumentów, zapewnienie proporcjonalności i spójności rozwiązań w zakresie jawności oraz ochrony danych osobowych, a</w:t>
      </w:r>
      <w:r w:rsidR="00BC3943">
        <w:rPr>
          <w:rStyle w:val="Bodytext1"/>
        </w:rPr>
        <w:t> </w:t>
      </w:r>
      <w:r>
        <w:rPr>
          <w:rStyle w:val="Bodytext1"/>
        </w:rPr>
        <w:t>także dostosowanie mechanizmów kontroli do realnych zasobów kadrowych administracji w</w:t>
      </w:r>
      <w:r w:rsidR="00BC3943">
        <w:rPr>
          <w:rStyle w:val="Bodytext1"/>
        </w:rPr>
        <w:t> </w:t>
      </w:r>
      <w:r>
        <w:rPr>
          <w:rStyle w:val="Bodytext1"/>
        </w:rPr>
        <w:t>warunkach zmian demograficznych i narastającej złożoności zadań publicznych.</w:t>
      </w:r>
    </w:p>
    <w:p w:rsidR="00EC5D5A" w:rsidRDefault="00BA3974">
      <w:pPr>
        <w:pStyle w:val="Bodytext10"/>
        <w:jc w:val="both"/>
      </w:pPr>
      <w:r>
        <w:rPr>
          <w:rStyle w:val="Bodytext1"/>
        </w:rPr>
        <w:t>Uprzejmie proszę o rozpatrzenie petycji i zawiadomienie mnie o sposobie jej załatwienia.</w:t>
      </w:r>
    </w:p>
    <w:p w:rsidR="00EC5D5A" w:rsidRDefault="00BA3974">
      <w:pPr>
        <w:pStyle w:val="Bodytext10"/>
        <w:spacing w:after="0"/>
        <w:jc w:val="both"/>
      </w:pPr>
      <w:r>
        <w:rPr>
          <w:rStyle w:val="Bodytext1"/>
        </w:rPr>
        <w:t>Z wyrazami szacunku,</w:t>
      </w:r>
    </w:p>
    <w:p w:rsidR="00EC5D5A" w:rsidRDefault="00BA3974">
      <w:pPr>
        <w:pStyle w:val="Bodytext10"/>
        <w:spacing w:after="340"/>
        <w:jc w:val="both"/>
      </w:pPr>
      <w:r>
        <w:rPr>
          <w:rStyle w:val="Bodytext1"/>
        </w:rPr>
        <w:t>Wojciech Niemczyk</w:t>
      </w:r>
    </w:p>
    <w:p w:rsidR="00EC5D5A" w:rsidRDefault="00BA3974">
      <w:pPr>
        <w:pStyle w:val="Bodytext10"/>
        <w:numPr>
          <w:ilvl w:val="0"/>
          <w:numId w:val="1"/>
        </w:numPr>
        <w:tabs>
          <w:tab w:val="left" w:pos="272"/>
        </w:tabs>
        <w:spacing w:line="240" w:lineRule="auto"/>
      </w:pPr>
      <w:r>
        <w:rPr>
          <w:rStyle w:val="Bodytext1"/>
          <w:b/>
          <w:bCs/>
        </w:rPr>
        <w:t>PODSTAWA PRAWNA</w:t>
      </w:r>
      <w:r>
        <w:br w:type="page"/>
      </w:r>
    </w:p>
    <w:p w:rsidR="00EC5D5A" w:rsidRDefault="00BA3974">
      <w:pPr>
        <w:pStyle w:val="Bodytext10"/>
        <w:numPr>
          <w:ilvl w:val="0"/>
          <w:numId w:val="2"/>
        </w:numPr>
        <w:tabs>
          <w:tab w:val="left" w:pos="694"/>
        </w:tabs>
        <w:spacing w:after="0" w:line="240" w:lineRule="auto"/>
        <w:ind w:firstLine="360"/>
        <w:jc w:val="both"/>
      </w:pPr>
      <w:r>
        <w:rPr>
          <w:rStyle w:val="Bodytext1"/>
          <w:lang w:val="en-US" w:eastAsia="en-US" w:bidi="en-US"/>
        </w:rPr>
        <w:lastRenderedPageBreak/>
        <w:t xml:space="preserve">Art. 63 </w:t>
      </w:r>
      <w:r>
        <w:rPr>
          <w:rStyle w:val="Bodytext1"/>
        </w:rPr>
        <w:t>Konstytucji Rzeczypospolitej Polskiej.</w:t>
      </w:r>
    </w:p>
    <w:p w:rsidR="00EC5D5A" w:rsidRDefault="00BA3974">
      <w:pPr>
        <w:pStyle w:val="Bodytext10"/>
        <w:numPr>
          <w:ilvl w:val="0"/>
          <w:numId w:val="2"/>
        </w:numPr>
        <w:tabs>
          <w:tab w:val="left" w:pos="694"/>
        </w:tabs>
        <w:spacing w:after="380" w:line="240" w:lineRule="auto"/>
        <w:ind w:firstLine="360"/>
        <w:jc w:val="both"/>
      </w:pPr>
      <w:r>
        <w:rPr>
          <w:rStyle w:val="Bodytext1"/>
        </w:rPr>
        <w:t xml:space="preserve">Art. 2 oraz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4 ustawy z dnia 11 lipca 2014 r. o petycjach (t.j. Dz.U. 2018 poz. 870).</w:t>
      </w:r>
    </w:p>
    <w:p w:rsidR="00EC5D5A" w:rsidRDefault="00BA3974">
      <w:pPr>
        <w:pStyle w:val="Heading110"/>
        <w:keepNext/>
        <w:keepLines/>
        <w:numPr>
          <w:ilvl w:val="0"/>
          <w:numId w:val="1"/>
        </w:numPr>
        <w:tabs>
          <w:tab w:val="left" w:pos="312"/>
        </w:tabs>
        <w:spacing w:after="220"/>
        <w:jc w:val="both"/>
      </w:pPr>
      <w:bookmarkStart w:id="4" w:name="bookmark6"/>
      <w:r>
        <w:rPr>
          <w:rStyle w:val="Heading11"/>
          <w:b/>
          <w:bCs/>
        </w:rPr>
        <w:t>PRZEDMIOT PETYCJI</w:t>
      </w:r>
      <w:bookmarkEnd w:id="4"/>
    </w:p>
    <w:p w:rsidR="00EC5D5A" w:rsidRDefault="00BA3974">
      <w:pPr>
        <w:pStyle w:val="Bodytext10"/>
        <w:spacing w:line="288" w:lineRule="auto"/>
        <w:jc w:val="both"/>
      </w:pPr>
      <w:r>
        <w:rPr>
          <w:rStyle w:val="Bodytext1"/>
        </w:rPr>
        <w:t>Wnoszę o wniesienie do Sejmu projektu ustawy (pakietu ustaw) obejmującego w szczególności nowelizację:</w:t>
      </w:r>
    </w:p>
    <w:p w:rsidR="00EC5D5A" w:rsidRDefault="00BA3974">
      <w:pPr>
        <w:pStyle w:val="Bodytext10"/>
        <w:numPr>
          <w:ilvl w:val="0"/>
          <w:numId w:val="3"/>
        </w:numPr>
        <w:tabs>
          <w:tab w:val="left" w:pos="694"/>
        </w:tabs>
        <w:spacing w:after="0"/>
        <w:ind w:firstLine="360"/>
        <w:jc w:val="both"/>
      </w:pPr>
      <w:r>
        <w:rPr>
          <w:rStyle w:val="Bodytext1"/>
        </w:rPr>
        <w:t xml:space="preserve">ustawy o samorządzie gminnym - w zakresie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24h oraz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24i,</w:t>
      </w:r>
    </w:p>
    <w:p w:rsidR="00EC5D5A" w:rsidRDefault="00BA3974">
      <w:pPr>
        <w:pStyle w:val="Bodytext10"/>
        <w:numPr>
          <w:ilvl w:val="0"/>
          <w:numId w:val="3"/>
        </w:numPr>
        <w:tabs>
          <w:tab w:val="left" w:pos="733"/>
        </w:tabs>
        <w:spacing w:after="0"/>
        <w:ind w:left="720" w:hanging="340"/>
        <w:jc w:val="both"/>
      </w:pPr>
      <w:r>
        <w:rPr>
          <w:rStyle w:val="Bodytext1"/>
        </w:rPr>
        <w:t xml:space="preserve">odpowiednich przepisów ustawy o samorządzie powiatowym - w zakresie </w:t>
      </w:r>
      <w:r w:rsidRPr="00BC3943">
        <w:rPr>
          <w:rStyle w:val="Bodytext1"/>
          <w:lang w:eastAsia="en-US" w:bidi="en-US"/>
        </w:rPr>
        <w:t xml:space="preserve">art. 25c </w:t>
      </w:r>
      <w:r>
        <w:rPr>
          <w:rStyle w:val="Bodytext1"/>
        </w:rPr>
        <w:t xml:space="preserve">oraz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25d,</w:t>
      </w:r>
    </w:p>
    <w:p w:rsidR="00EC5D5A" w:rsidRDefault="00BA3974">
      <w:pPr>
        <w:pStyle w:val="Bodytext10"/>
        <w:numPr>
          <w:ilvl w:val="0"/>
          <w:numId w:val="3"/>
        </w:numPr>
        <w:tabs>
          <w:tab w:val="left" w:pos="733"/>
        </w:tabs>
        <w:ind w:left="720" w:hanging="340"/>
        <w:jc w:val="both"/>
      </w:pPr>
      <w:r>
        <w:rPr>
          <w:rStyle w:val="Bodytext1"/>
        </w:rPr>
        <w:t xml:space="preserve">odpowiednich przepisów ustawy o samorządzie województwa - w zakresie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27c oraz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27d,</w:t>
      </w:r>
    </w:p>
    <w:p w:rsidR="00EC5D5A" w:rsidRDefault="00BA3974">
      <w:pPr>
        <w:pStyle w:val="Bodytext10"/>
        <w:spacing w:after="860"/>
        <w:jc w:val="both"/>
      </w:pPr>
      <w:r>
        <w:rPr>
          <w:rStyle w:val="Bodytext1"/>
        </w:rPr>
        <w:t>w celu ustanowienia jednolitego i analitycznego standardu składania oświadczeń majątkowych, ich publikowania w centralnym rejestrze oraz doprecyzowania zasad jawności i redakcji danych w</w:t>
      </w:r>
      <w:r w:rsidR="00BC3943">
        <w:rPr>
          <w:rStyle w:val="Bodytext1"/>
        </w:rPr>
        <w:t> </w:t>
      </w:r>
      <w:r>
        <w:rPr>
          <w:rStyle w:val="Bodytext1"/>
        </w:rPr>
        <w:t>publikacji w sposób zgodny z Konstytucją, ustawą o dostępie do informacji publicznej oraz przepisami o ochronie danych osobowych (RODO).</w:t>
      </w:r>
    </w:p>
    <w:p w:rsidR="00EC5D5A" w:rsidRDefault="00BA3974">
      <w:pPr>
        <w:pStyle w:val="Bodytext10"/>
        <w:numPr>
          <w:ilvl w:val="0"/>
          <w:numId w:val="1"/>
        </w:numPr>
        <w:tabs>
          <w:tab w:val="left" w:pos="370"/>
        </w:tabs>
        <w:spacing w:after="260"/>
        <w:jc w:val="both"/>
      </w:pPr>
      <w:r>
        <w:rPr>
          <w:rStyle w:val="Bodytext1"/>
          <w:b/>
          <w:bCs/>
        </w:rPr>
        <w:t>TREŚĆ ŻĄDANIA I UZASADNIENIE MERYTORYCZNE</w:t>
      </w:r>
    </w:p>
    <w:p w:rsidR="00EC5D5A" w:rsidRDefault="00BA3974">
      <w:pPr>
        <w:pStyle w:val="Heading110"/>
        <w:keepNext/>
        <w:keepLines/>
        <w:spacing w:after="220"/>
        <w:jc w:val="both"/>
      </w:pPr>
      <w:bookmarkStart w:id="5" w:name="bookmark8"/>
      <w:r>
        <w:rPr>
          <w:rStyle w:val="Heading11"/>
          <w:b/>
          <w:bCs/>
        </w:rPr>
        <w:t>Pakiet filarów reformy</w:t>
      </w:r>
      <w:bookmarkEnd w:id="5"/>
    </w:p>
    <w:p w:rsidR="00EC5D5A" w:rsidRDefault="00BA3974">
      <w:pPr>
        <w:pStyle w:val="Heading110"/>
        <w:keepNext/>
        <w:keepLines/>
        <w:numPr>
          <w:ilvl w:val="0"/>
          <w:numId w:val="4"/>
        </w:numPr>
        <w:tabs>
          <w:tab w:val="left" w:pos="327"/>
        </w:tabs>
        <w:jc w:val="both"/>
      </w:pPr>
      <w:r>
        <w:rPr>
          <w:rStyle w:val="Heading11"/>
          <w:b/>
          <w:bCs/>
        </w:rPr>
        <w:t>Obowiązkowa postać elektroniczna oświadczeń i walidacje formalne</w:t>
      </w:r>
    </w:p>
    <w:p w:rsidR="00EC5D5A" w:rsidRDefault="00BA3974">
      <w:pPr>
        <w:pStyle w:val="Bodytext10"/>
        <w:numPr>
          <w:ilvl w:val="0"/>
          <w:numId w:val="5"/>
        </w:numPr>
        <w:tabs>
          <w:tab w:val="left" w:pos="334"/>
        </w:tabs>
        <w:spacing w:after="0"/>
        <w:jc w:val="both"/>
      </w:pPr>
      <w:r>
        <w:rPr>
          <w:rStyle w:val="Bodytext1"/>
        </w:rPr>
        <w:t>Tytuł: Obowiązek e-składania i kontrola poprawności danych</w:t>
      </w:r>
    </w:p>
    <w:p w:rsidR="00EC5D5A" w:rsidRDefault="00BA3974">
      <w:pPr>
        <w:pStyle w:val="Bodytext10"/>
        <w:numPr>
          <w:ilvl w:val="0"/>
          <w:numId w:val="5"/>
        </w:numPr>
        <w:tabs>
          <w:tab w:val="left" w:pos="334"/>
        </w:tabs>
        <w:spacing w:after="0"/>
        <w:jc w:val="both"/>
      </w:pPr>
      <w:r>
        <w:rPr>
          <w:rStyle w:val="Bodytext1"/>
        </w:rPr>
        <w:t xml:space="preserve">Rdzeń postulatu: postuluje się wprowadzenie w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24h ustawy o samorządzie gminnym oraz odpowiednio w </w:t>
      </w:r>
      <w:r w:rsidRPr="00BC3943">
        <w:rPr>
          <w:rStyle w:val="Bodytext1"/>
          <w:lang w:eastAsia="en-US" w:bidi="en-US"/>
        </w:rPr>
        <w:t xml:space="preserve">art. 25c </w:t>
      </w:r>
      <w:r>
        <w:rPr>
          <w:rStyle w:val="Bodytext1"/>
        </w:rPr>
        <w:t xml:space="preserve">ustawy o samorządzie powiatowym i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27c ustawy o samorządzie województwa obowiązku składania oświadczeń majątkowych w postaci elektronicznej (formularz elektroniczny), z wbudowanymi regułami walidacji (pola liczbowe, obowiązkowe, zakresy, spójność sum), przy jednoczesnym dopuszczeniu złożenia w postaci papierowej wyłącznie jako wyjątku (awaryjnie) i z obowiązkiem niezwłocznej digitalizacji do postaci ustrukturyzowanej.</w:t>
      </w:r>
    </w:p>
    <w:p w:rsidR="00EC5D5A" w:rsidRDefault="00BA3974">
      <w:pPr>
        <w:pStyle w:val="Bodytext10"/>
        <w:numPr>
          <w:ilvl w:val="0"/>
          <w:numId w:val="5"/>
        </w:numPr>
        <w:tabs>
          <w:tab w:val="left" w:pos="319"/>
        </w:tabs>
        <w:jc w:val="both"/>
      </w:pPr>
      <w:r>
        <w:rPr>
          <w:rStyle w:val="Bodytext1"/>
        </w:rPr>
        <w:t>Uzasadnienie: rozproszone publikowanie skanów i dokumentów nieustrukturyzowanych uniemożliwia realną kontrolę obywatelską i instytucjonalną oraz sprzyja niejednolitości wpisów (wolny tekst, „nie dotyczy", „ok.”), co stanowi dysfunkcję systemową i obniża szczelność antykorupcyjną; walidacje ograniczają błędy i „celową nieczytelność” danych.</w:t>
      </w:r>
    </w:p>
    <w:p w:rsidR="00EC5D5A" w:rsidRDefault="00BA3974">
      <w:pPr>
        <w:pStyle w:val="Heading110"/>
        <w:keepNext/>
        <w:keepLines/>
        <w:numPr>
          <w:ilvl w:val="0"/>
          <w:numId w:val="4"/>
        </w:numPr>
        <w:tabs>
          <w:tab w:val="left" w:pos="341"/>
        </w:tabs>
        <w:jc w:val="both"/>
      </w:pPr>
      <w:bookmarkStart w:id="6" w:name="bookmark11"/>
      <w:r>
        <w:rPr>
          <w:rStyle w:val="Heading11"/>
          <w:b/>
          <w:bCs/>
        </w:rPr>
        <w:t>Centralny rejestr oświadczeń majątkowych samorządowców zamiast rozproszenia w</w:t>
      </w:r>
      <w:r w:rsidR="00BC3943">
        <w:rPr>
          <w:rStyle w:val="Heading11"/>
          <w:b/>
          <w:bCs/>
        </w:rPr>
        <w:t> </w:t>
      </w:r>
      <w:r>
        <w:rPr>
          <w:rStyle w:val="Heading11"/>
          <w:b/>
          <w:bCs/>
        </w:rPr>
        <w:t>BIP JST</w:t>
      </w:r>
      <w:bookmarkEnd w:id="6"/>
    </w:p>
    <w:p w:rsidR="00EC5D5A" w:rsidRDefault="00BA3974">
      <w:pPr>
        <w:pStyle w:val="Bodytext10"/>
        <w:numPr>
          <w:ilvl w:val="0"/>
          <w:numId w:val="6"/>
        </w:numPr>
        <w:tabs>
          <w:tab w:val="left" w:pos="334"/>
        </w:tabs>
        <w:spacing w:after="0"/>
        <w:jc w:val="both"/>
      </w:pPr>
      <w:r>
        <w:rPr>
          <w:rStyle w:val="Bodytext1"/>
        </w:rPr>
        <w:t>Tytuł: Centralizacja publikacji i jednolity dostęp publiczny</w:t>
      </w:r>
    </w:p>
    <w:p w:rsidR="00EC5D5A" w:rsidRDefault="00BA3974">
      <w:pPr>
        <w:pStyle w:val="Bodytext10"/>
        <w:numPr>
          <w:ilvl w:val="0"/>
          <w:numId w:val="6"/>
        </w:numPr>
        <w:tabs>
          <w:tab w:val="left" w:pos="341"/>
        </w:tabs>
        <w:jc w:val="both"/>
      </w:pPr>
      <w:r>
        <w:rPr>
          <w:rStyle w:val="Bodytext1"/>
        </w:rPr>
        <w:t xml:space="preserve">Rdzeń postulatu: postuluje się rozszerzenie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24i ustawy o samorządzie gminnym oraz odpowiednio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25d ustawy o samorządzie powiatowym i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27d ustawy o samorządzie województwa poprzez ustanowienie centralnego rejestru oświadczeń majątkowych, jako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podstawowego kanału publikacji, wraz z obowiązkiem przekazywania oświadczeń do rejestru przez właściwe organy, przy zachowaniu BIP JST jako kanału wtórnego (odnośnik do rejestru), c)</w:t>
      </w:r>
      <w:r w:rsidR="00BC3943">
        <w:rPr>
          <w:rStyle w:val="Bodytext1"/>
        </w:rPr>
        <w:t> </w:t>
      </w:r>
      <w:r>
        <w:rPr>
          <w:rStyle w:val="Bodytext1"/>
        </w:rPr>
        <w:t>Uzasadnienie: rozproszenie w BIP JST powoduje realną niedostępność informacji, brak porównywalności i brak możliwości wykrywania anomalii (przyrost majątku, struktura dochodów, zadłużenie, potencjalne konflikty interesów), co osłabia społeczny i instytucjonalny nadzór nad wykonywaniem funkcji publicznych.</w:t>
      </w:r>
    </w:p>
    <w:p w:rsidR="00EC5D5A" w:rsidRDefault="00BA3974">
      <w:pPr>
        <w:pStyle w:val="Heading110"/>
        <w:keepNext/>
        <w:keepLines/>
        <w:numPr>
          <w:ilvl w:val="0"/>
          <w:numId w:val="4"/>
        </w:numPr>
        <w:tabs>
          <w:tab w:val="left" w:pos="313"/>
        </w:tabs>
        <w:jc w:val="both"/>
      </w:pPr>
      <w:bookmarkStart w:id="7" w:name="bookmark13"/>
      <w:r>
        <w:rPr>
          <w:rStyle w:val="Heading11"/>
          <w:b/>
          <w:bCs/>
        </w:rPr>
        <w:t>Udostępnienie danych w postaci ustrukturyzowanej i porównywalnej między latami oraz JST</w:t>
      </w:r>
      <w:bookmarkEnd w:id="7"/>
    </w:p>
    <w:p w:rsidR="00EC5D5A" w:rsidRDefault="00BA3974">
      <w:pPr>
        <w:pStyle w:val="Bodytext10"/>
        <w:numPr>
          <w:ilvl w:val="0"/>
          <w:numId w:val="7"/>
        </w:numPr>
        <w:tabs>
          <w:tab w:val="left" w:pos="313"/>
        </w:tabs>
        <w:spacing w:after="0"/>
        <w:jc w:val="both"/>
      </w:pPr>
      <w:r>
        <w:rPr>
          <w:rStyle w:val="Bodytext1"/>
        </w:rPr>
        <w:t>Tytuł: Dane ujednolicone i nadające się do automatycznej analizy</w:t>
      </w:r>
    </w:p>
    <w:p w:rsidR="00EC5D5A" w:rsidRDefault="00BA3974">
      <w:pPr>
        <w:pStyle w:val="Bodytext10"/>
        <w:numPr>
          <w:ilvl w:val="0"/>
          <w:numId w:val="7"/>
        </w:numPr>
        <w:tabs>
          <w:tab w:val="left" w:pos="320"/>
        </w:tabs>
        <w:spacing w:after="0"/>
        <w:jc w:val="both"/>
      </w:pPr>
      <w:r>
        <w:rPr>
          <w:rStyle w:val="Bodytext1"/>
        </w:rPr>
        <w:t>Rdzeń postulatu: wprowadza się obowiązek, aby rejestr udostępniał oświadczenia co najmniej w formie ustrukturyzowanej (w tym pliki danych) oraz zapewniał wyszukiwanie i filtrowanie po</w:t>
      </w:r>
      <w:r w:rsidR="00BC3943">
        <w:rPr>
          <w:rStyle w:val="Bodytext1"/>
        </w:rPr>
        <w:t> </w:t>
      </w:r>
      <w:r>
        <w:rPr>
          <w:rStyle w:val="Bodytext1"/>
        </w:rPr>
        <w:t>kluczowych atrybutach (osoba, funkcja, JST, rok, kategorie składników).</w:t>
      </w:r>
    </w:p>
    <w:p w:rsidR="00EC5D5A" w:rsidRDefault="00BA3974">
      <w:pPr>
        <w:pStyle w:val="Bodytext10"/>
        <w:numPr>
          <w:ilvl w:val="0"/>
          <w:numId w:val="7"/>
        </w:numPr>
        <w:tabs>
          <w:tab w:val="left" w:pos="320"/>
        </w:tabs>
        <w:jc w:val="both"/>
      </w:pPr>
      <w:r>
        <w:rPr>
          <w:rStyle w:val="Bodytext1"/>
        </w:rPr>
        <w:t>Uzasadnienie: system oparty na dokumentach skanowanych jest pozornie jawny, lecz praktycznie nieprzejrzysty; ustrukturyzowanie umożliwia tworzenie rankingów i wykrywanie odchyleń oraz zapewnia rzeczywistą transparentność przy mniejszym koszcie kontroli jednostkowej.</w:t>
      </w:r>
    </w:p>
    <w:p w:rsidR="00EC5D5A" w:rsidRDefault="00BA3974">
      <w:pPr>
        <w:pStyle w:val="Heading110"/>
        <w:keepNext/>
        <w:keepLines/>
        <w:numPr>
          <w:ilvl w:val="0"/>
          <w:numId w:val="4"/>
        </w:numPr>
        <w:tabs>
          <w:tab w:val="left" w:pos="320"/>
        </w:tabs>
        <w:jc w:val="both"/>
      </w:pPr>
      <w:bookmarkStart w:id="8" w:name="bookmark15"/>
      <w:r>
        <w:rPr>
          <w:rStyle w:val="Heading11"/>
          <w:b/>
          <w:bCs/>
        </w:rPr>
        <w:t>Ograniczenie wolnego tekstu poprzez słowniki i pola liczbowe; eliminacja wpisów niejednoznacznych</w:t>
      </w:r>
      <w:bookmarkEnd w:id="8"/>
    </w:p>
    <w:p w:rsidR="00EC5D5A" w:rsidRDefault="00BA3974">
      <w:pPr>
        <w:pStyle w:val="Bodytext10"/>
        <w:numPr>
          <w:ilvl w:val="0"/>
          <w:numId w:val="8"/>
        </w:numPr>
        <w:tabs>
          <w:tab w:val="left" w:pos="313"/>
        </w:tabs>
        <w:spacing w:after="0"/>
        <w:jc w:val="both"/>
      </w:pPr>
      <w:r>
        <w:rPr>
          <w:rStyle w:val="Bodytext1"/>
        </w:rPr>
        <w:t>Tytuł: Standaryzacja treści oświadczenia</w:t>
      </w:r>
    </w:p>
    <w:p w:rsidR="00EC5D5A" w:rsidRDefault="00BA3974">
      <w:pPr>
        <w:pStyle w:val="Bodytext10"/>
        <w:numPr>
          <w:ilvl w:val="0"/>
          <w:numId w:val="8"/>
        </w:numPr>
        <w:tabs>
          <w:tab w:val="left" w:pos="334"/>
        </w:tabs>
        <w:spacing w:after="0"/>
        <w:jc w:val="both"/>
      </w:pPr>
      <w:r>
        <w:rPr>
          <w:rStyle w:val="Bodytext1"/>
        </w:rPr>
        <w:t>Rdzeń postulatu: postuluje się zobowiązanie do stosowania słowników (kategorie dochodów, typy nieruchomości, typy zobowiązań, tytuły prawne) oraz wymuszenie wartości liczbowych w</w:t>
      </w:r>
      <w:r w:rsidR="00BC3943">
        <w:rPr>
          <w:rStyle w:val="Bodytext1"/>
        </w:rPr>
        <w:t> </w:t>
      </w:r>
      <w:r>
        <w:rPr>
          <w:rStyle w:val="Bodytext1"/>
        </w:rPr>
        <w:t>polach kwotowych, a wpisy typu „nie dotyczy” ogranicza się do pól enumeratywnie wskazanych jako „brak” (wartość logiczna), a nie pole tekstowe.</w:t>
      </w:r>
    </w:p>
    <w:p w:rsidR="00EC5D5A" w:rsidRDefault="00BA3974">
      <w:pPr>
        <w:pStyle w:val="Bodytext10"/>
        <w:numPr>
          <w:ilvl w:val="0"/>
          <w:numId w:val="8"/>
        </w:numPr>
        <w:tabs>
          <w:tab w:val="left" w:pos="298"/>
        </w:tabs>
        <w:jc w:val="both"/>
      </w:pPr>
      <w:r>
        <w:rPr>
          <w:rStyle w:val="Bodytext1"/>
        </w:rPr>
        <w:t>Uzasadnienie: wolny tekst uniemożliwia walidacje i analitykę oraz tworzy pole do nadużyć (niejednoznaczne skróty, zaniżanie czy „rozmywanie” informacji); standaryzacja jest instrumentem uszczelniającym, a jednocześnie poprawia spójność systemu.</w:t>
      </w:r>
    </w:p>
    <w:p w:rsidR="00EC5D5A" w:rsidRDefault="00BA3974">
      <w:pPr>
        <w:pStyle w:val="Heading110"/>
        <w:keepNext/>
        <w:keepLines/>
        <w:numPr>
          <w:ilvl w:val="0"/>
          <w:numId w:val="4"/>
        </w:numPr>
        <w:tabs>
          <w:tab w:val="left" w:pos="313"/>
        </w:tabs>
        <w:jc w:val="both"/>
      </w:pPr>
      <w:bookmarkStart w:id="9" w:name="bookmark17"/>
      <w:r>
        <w:rPr>
          <w:rStyle w:val="Heading11"/>
          <w:b/>
          <w:bCs/>
        </w:rPr>
        <w:t>Jednoznaczna reguła wyceny nieruchomości i ujawnianie parametrów porównawczych</w:t>
      </w:r>
      <w:bookmarkEnd w:id="9"/>
    </w:p>
    <w:p w:rsidR="00EC5D5A" w:rsidRDefault="00BA3974">
      <w:pPr>
        <w:pStyle w:val="Bodytext10"/>
        <w:numPr>
          <w:ilvl w:val="0"/>
          <w:numId w:val="9"/>
        </w:numPr>
        <w:tabs>
          <w:tab w:val="left" w:pos="313"/>
        </w:tabs>
        <w:spacing w:after="0"/>
        <w:jc w:val="both"/>
      </w:pPr>
      <w:r>
        <w:rPr>
          <w:rStyle w:val="Bodytext1"/>
        </w:rPr>
        <w:t>Tytuł: Reguła wyceny nieruchomości i parametry techniczne</w:t>
      </w:r>
    </w:p>
    <w:p w:rsidR="00EC5D5A" w:rsidRDefault="00BA3974">
      <w:pPr>
        <w:pStyle w:val="Bodytext10"/>
        <w:numPr>
          <w:ilvl w:val="0"/>
          <w:numId w:val="9"/>
        </w:numPr>
        <w:tabs>
          <w:tab w:val="left" w:pos="320"/>
        </w:tabs>
        <w:spacing w:after="0"/>
        <w:jc w:val="both"/>
      </w:pPr>
      <w:r>
        <w:rPr>
          <w:rStyle w:val="Bodytext1"/>
        </w:rPr>
        <w:t>Rdzeń postulatu: wprowadza się obowiązek ujawniania dla nieruchomości co najmniej: rodzaju, tytułu prawnego, udziału, powierzchni (m</w:t>
      </w:r>
      <w:r>
        <w:rPr>
          <w:rStyle w:val="Bodytext1"/>
          <w:vertAlign w:val="superscript"/>
        </w:rPr>
        <w:t>2</w:t>
      </w:r>
      <w:r>
        <w:rPr>
          <w:rStyle w:val="Bodytext1"/>
        </w:rPr>
        <w:t>), roku nabycia/uzyskania tytułu oraz wartości według jednolitej reguły ustawowej (np. wartość z dnia nabycia oraz wartość na koniec roku objętego oświadczeniem - według wskazanego źródła), przy zakazie wpisów nieporównywalnych i nieweryfikowalnych.</w:t>
      </w:r>
    </w:p>
    <w:p w:rsidR="00EC5D5A" w:rsidRDefault="00BA3974">
      <w:pPr>
        <w:pStyle w:val="Bodytext10"/>
        <w:numPr>
          <w:ilvl w:val="0"/>
          <w:numId w:val="9"/>
        </w:numPr>
        <w:tabs>
          <w:tab w:val="left" w:pos="298"/>
        </w:tabs>
        <w:jc w:val="both"/>
      </w:pPr>
      <w:r>
        <w:rPr>
          <w:rStyle w:val="Bodytext1"/>
        </w:rPr>
        <w:t>Uzasadnienie: brak definicji wyceny nieruchomości tworzy nieporównywalność danych i</w:t>
      </w:r>
      <w:r w:rsidR="00BC3943">
        <w:rPr>
          <w:rStyle w:val="Bodytext1"/>
        </w:rPr>
        <w:t> </w:t>
      </w:r>
      <w:r>
        <w:rPr>
          <w:rStyle w:val="Bodytext1"/>
        </w:rPr>
        <w:t>ogranicza możliwość wykrywania nieuzasadnionych przyrostów; jednolita reguła zapewnia porównywalność między latami i JST, co służy kontroli interesu publicznego.</w:t>
      </w:r>
    </w:p>
    <w:p w:rsidR="00EC5D5A" w:rsidRDefault="00BA3974">
      <w:pPr>
        <w:pStyle w:val="Heading110"/>
        <w:keepNext/>
        <w:keepLines/>
        <w:numPr>
          <w:ilvl w:val="0"/>
          <w:numId w:val="4"/>
        </w:numPr>
        <w:tabs>
          <w:tab w:val="left" w:pos="313"/>
        </w:tabs>
        <w:spacing w:line="271" w:lineRule="auto"/>
        <w:jc w:val="both"/>
      </w:pPr>
      <w:bookmarkStart w:id="10" w:name="bookmark19"/>
      <w:r>
        <w:rPr>
          <w:rStyle w:val="Heading11"/>
          <w:b/>
          <w:bCs/>
        </w:rPr>
        <w:t>Uszczelnienie wykazywania ruchomości o znacznej wartości; ograniczenie obejść progu</w:t>
      </w:r>
      <w:bookmarkEnd w:id="10"/>
    </w:p>
    <w:p w:rsidR="00EC5D5A" w:rsidRDefault="00BA3974">
      <w:pPr>
        <w:pStyle w:val="Bodytext10"/>
        <w:numPr>
          <w:ilvl w:val="0"/>
          <w:numId w:val="10"/>
        </w:numPr>
        <w:tabs>
          <w:tab w:val="left" w:pos="313"/>
        </w:tabs>
        <w:spacing w:after="0" w:line="271" w:lineRule="auto"/>
        <w:jc w:val="both"/>
      </w:pPr>
      <w:r>
        <w:rPr>
          <w:rStyle w:val="Bodytext1"/>
        </w:rPr>
        <w:t>Tytuł: Ruchomości - doprecyzowanie progu i danych o nabyciu</w:t>
      </w:r>
    </w:p>
    <w:p w:rsidR="00EC5D5A" w:rsidRDefault="00BA3974">
      <w:pPr>
        <w:pStyle w:val="Bodytext10"/>
        <w:numPr>
          <w:ilvl w:val="0"/>
          <w:numId w:val="10"/>
        </w:numPr>
        <w:tabs>
          <w:tab w:val="left" w:pos="306"/>
        </w:tabs>
        <w:spacing w:after="0" w:line="271" w:lineRule="auto"/>
        <w:jc w:val="both"/>
      </w:pPr>
      <w:r>
        <w:rPr>
          <w:rStyle w:val="Bodytext1"/>
        </w:rPr>
        <w:t>Rdzeń postulatu: postuluje się doprecyzowanie wykazywania ruchomości o wartości przekraczającej próg ustawowy (w tym obowiązek wykazania kategorii, roku nabycia oraz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wartości), a także wprowadzenie mechanizmów ograniczających obejścia polegające na</w:t>
      </w:r>
      <w:r w:rsidR="00BC3943">
        <w:rPr>
          <w:rStyle w:val="Bodytext1"/>
        </w:rPr>
        <w:t> </w:t>
      </w:r>
      <w:r>
        <w:rPr>
          <w:rStyle w:val="Bodytext1"/>
        </w:rPr>
        <w:t>rozbijaniu majątku na liczne składniki lub na niepodawaniu wartości w praktyce.</w:t>
      </w:r>
    </w:p>
    <w:p w:rsidR="00EC5D5A" w:rsidRDefault="00BA3974">
      <w:pPr>
        <w:pStyle w:val="Bodytext10"/>
        <w:numPr>
          <w:ilvl w:val="0"/>
          <w:numId w:val="10"/>
        </w:numPr>
        <w:tabs>
          <w:tab w:val="left" w:pos="298"/>
        </w:tabs>
        <w:spacing w:line="271" w:lineRule="auto"/>
        <w:jc w:val="both"/>
      </w:pPr>
      <w:r>
        <w:rPr>
          <w:rStyle w:val="Bodytext1"/>
        </w:rPr>
        <w:t>Uzasadnienie: obecne ujęcie ruchomości w praktyce pozwala na niepełne ujawnienia (kolekcje, sprzęt, dobra luksusowe) oraz utrudnia porównywanie danych; doprecyzowanie służy uszczelnieniu antykorupcyjnemu bez zmiany istoty jawności oświadczeń.</w:t>
      </w:r>
    </w:p>
    <w:p w:rsidR="00EC5D5A" w:rsidRDefault="00BA3974">
      <w:pPr>
        <w:pStyle w:val="Heading110"/>
        <w:keepNext/>
        <w:keepLines/>
        <w:numPr>
          <w:ilvl w:val="0"/>
          <w:numId w:val="4"/>
        </w:numPr>
        <w:tabs>
          <w:tab w:val="left" w:pos="313"/>
        </w:tabs>
        <w:jc w:val="both"/>
      </w:pPr>
      <w:bookmarkStart w:id="11" w:name="bookmark21"/>
      <w:r>
        <w:rPr>
          <w:rStyle w:val="Heading11"/>
          <w:b/>
          <w:bCs/>
        </w:rPr>
        <w:t>Uporządkowanie wpływu ustroju majątkowego małżeńskiego na obowiązek ujawnienia</w:t>
      </w:r>
      <w:bookmarkEnd w:id="11"/>
    </w:p>
    <w:p w:rsidR="00EC5D5A" w:rsidRDefault="00BA3974">
      <w:pPr>
        <w:pStyle w:val="Bodytext10"/>
        <w:numPr>
          <w:ilvl w:val="0"/>
          <w:numId w:val="11"/>
        </w:numPr>
        <w:tabs>
          <w:tab w:val="left" w:pos="313"/>
        </w:tabs>
        <w:spacing w:after="0"/>
        <w:jc w:val="both"/>
      </w:pPr>
      <w:r>
        <w:rPr>
          <w:rStyle w:val="Bodytext1"/>
        </w:rPr>
        <w:t>Tytuł: Rozdzielność majątkowa a ryzyko „wyprowadzenia" majątku</w:t>
      </w:r>
    </w:p>
    <w:p w:rsidR="00EC5D5A" w:rsidRDefault="00BA3974">
      <w:pPr>
        <w:pStyle w:val="Bodytext10"/>
        <w:numPr>
          <w:ilvl w:val="0"/>
          <w:numId w:val="11"/>
        </w:numPr>
        <w:tabs>
          <w:tab w:val="left" w:pos="320"/>
        </w:tabs>
        <w:spacing w:after="0"/>
        <w:jc w:val="both"/>
      </w:pPr>
      <w:r>
        <w:rPr>
          <w:rStyle w:val="Bodytext1"/>
        </w:rPr>
        <w:t>Rdzeń postulatu: wprowadza się rozwiązania ograniczające wykorzystanie rozdzielności majątkowej jako mechanizmu obchodzenia jawności oświadczeń majątkowych; w szczególności postuluje się ustawowe doprecyzowanie, w jakim zakresie ujawnia się składniki pozostające we wspólności, a w jakim zakresie wymagane jest wykazanie składników pozostających poza wspólnością, jeżeli pozostają one w faktycznym związku z korzyściami osiąganymi w związku z</w:t>
      </w:r>
      <w:r w:rsidR="00BC3943">
        <w:rPr>
          <w:rStyle w:val="Bodytext1"/>
        </w:rPr>
        <w:t> </w:t>
      </w:r>
      <w:r>
        <w:rPr>
          <w:rStyle w:val="Bodytext1"/>
        </w:rPr>
        <w:t>pełnieniem funkcji publicznej.</w:t>
      </w:r>
    </w:p>
    <w:p w:rsidR="00EC5D5A" w:rsidRDefault="00BA3974">
      <w:pPr>
        <w:pStyle w:val="Bodytext10"/>
        <w:numPr>
          <w:ilvl w:val="0"/>
          <w:numId w:val="11"/>
        </w:numPr>
        <w:tabs>
          <w:tab w:val="left" w:pos="298"/>
        </w:tabs>
        <w:jc w:val="both"/>
      </w:pPr>
      <w:r>
        <w:rPr>
          <w:rStyle w:val="Bodytext1"/>
        </w:rPr>
        <w:t>Uzasadnienie: obecne ryzyko systemowe polega na możliwości przenoszenia składników do</w:t>
      </w:r>
      <w:r w:rsidR="00BC3943">
        <w:rPr>
          <w:rStyle w:val="Bodytext1"/>
        </w:rPr>
        <w:t> </w:t>
      </w:r>
      <w:r>
        <w:rPr>
          <w:rStyle w:val="Bodytext1"/>
        </w:rPr>
        <w:t>sfery nieobjętej oświadczeniem; rozwiązanie powinno zapewniać proporcjonalność (ochrona prywatności osoby trzeciej) przy jednoczesnym zachowaniu skuteczności antykorupcyjnej.</w:t>
      </w:r>
    </w:p>
    <w:p w:rsidR="00EC5D5A" w:rsidRDefault="00BA3974">
      <w:pPr>
        <w:pStyle w:val="Heading110"/>
        <w:keepNext/>
        <w:keepLines/>
        <w:numPr>
          <w:ilvl w:val="0"/>
          <w:numId w:val="4"/>
        </w:numPr>
        <w:tabs>
          <w:tab w:val="left" w:pos="313"/>
        </w:tabs>
        <w:jc w:val="both"/>
      </w:pPr>
      <w:bookmarkStart w:id="12" w:name="bookmark23"/>
      <w:r>
        <w:rPr>
          <w:rStyle w:val="Heading11"/>
          <w:b/>
          <w:bCs/>
        </w:rPr>
        <w:t>Jednoznaczny katalog danych podlegających redakcji w publikacji oraz standaryzacja anonimizacji</w:t>
      </w:r>
      <w:bookmarkEnd w:id="12"/>
    </w:p>
    <w:p w:rsidR="00EC5D5A" w:rsidRDefault="00BA3974">
      <w:pPr>
        <w:pStyle w:val="Bodytext10"/>
        <w:numPr>
          <w:ilvl w:val="0"/>
          <w:numId w:val="12"/>
        </w:numPr>
        <w:tabs>
          <w:tab w:val="left" w:pos="313"/>
        </w:tabs>
        <w:spacing w:after="0"/>
        <w:jc w:val="both"/>
      </w:pPr>
      <w:r>
        <w:rPr>
          <w:rStyle w:val="Bodytext1"/>
        </w:rPr>
        <w:t>Tytuł: Pewność prawa w zakresie jawności i ochrony danych osobowych</w:t>
      </w:r>
    </w:p>
    <w:p w:rsidR="00EC5D5A" w:rsidRDefault="00BA3974">
      <w:pPr>
        <w:pStyle w:val="Bodytext10"/>
        <w:numPr>
          <w:ilvl w:val="0"/>
          <w:numId w:val="12"/>
        </w:numPr>
        <w:tabs>
          <w:tab w:val="left" w:pos="320"/>
        </w:tabs>
        <w:spacing w:after="0"/>
        <w:jc w:val="both"/>
      </w:pPr>
      <w:r>
        <w:rPr>
          <w:rStyle w:val="Bodytext1"/>
        </w:rPr>
        <w:t>Rdzeń postulatu: postuluje się wprowadzenie wprost w ustawach samorządowych katalogu danych, które nie podlegają publikacji (w tym co najmniej dane adresowe, identyfikatory, dane umożliwiające dostęp do rachunków, podpisy oraz inne dane nieadekwatne do celu jawności), wraz z delegacją do rozporządzenia wykonawczego określającego jednolite reguły redakcji i</w:t>
      </w:r>
      <w:r w:rsidR="00BC3943">
        <w:rPr>
          <w:rStyle w:val="Bodytext1"/>
        </w:rPr>
        <w:t> </w:t>
      </w:r>
      <w:r>
        <w:rPr>
          <w:rStyle w:val="Bodytext1"/>
        </w:rPr>
        <w:t>techniki anonimizacji.</w:t>
      </w:r>
    </w:p>
    <w:p w:rsidR="00EC5D5A" w:rsidRDefault="00BA3974">
      <w:pPr>
        <w:pStyle w:val="Bodytext10"/>
        <w:numPr>
          <w:ilvl w:val="0"/>
          <w:numId w:val="12"/>
        </w:numPr>
        <w:tabs>
          <w:tab w:val="left" w:pos="298"/>
        </w:tabs>
        <w:jc w:val="both"/>
      </w:pPr>
      <w:r>
        <w:rPr>
          <w:rStyle w:val="Bodytext1"/>
        </w:rPr>
        <w:t>Uzasadnienie: brak jednoznaczności redakcji powoduje chaos, ryzyko naruszeń ochrony danych i nierówność standardów między JST; katalog ustawowy i jednolite reguły zapewniają proporcjonalność oraz bezpieczeństwo prawne organów i obywateli.</w:t>
      </w:r>
    </w:p>
    <w:p w:rsidR="00EC5D5A" w:rsidRDefault="00BA3974">
      <w:pPr>
        <w:pStyle w:val="Heading110"/>
        <w:keepNext/>
        <w:keepLines/>
        <w:numPr>
          <w:ilvl w:val="0"/>
          <w:numId w:val="4"/>
        </w:numPr>
        <w:tabs>
          <w:tab w:val="left" w:pos="313"/>
        </w:tabs>
        <w:jc w:val="both"/>
      </w:pPr>
      <w:bookmarkStart w:id="13" w:name="bookmark25"/>
      <w:r>
        <w:rPr>
          <w:rStyle w:val="Heading11"/>
          <w:b/>
          <w:bCs/>
        </w:rPr>
        <w:t>Minimalne standardy weryfikacji, audytowalność i ślad czynności organu przyjmującego</w:t>
      </w:r>
      <w:bookmarkEnd w:id="13"/>
    </w:p>
    <w:p w:rsidR="00EC5D5A" w:rsidRDefault="00BA3974">
      <w:pPr>
        <w:pStyle w:val="Bodytext10"/>
        <w:numPr>
          <w:ilvl w:val="0"/>
          <w:numId w:val="13"/>
        </w:numPr>
        <w:tabs>
          <w:tab w:val="left" w:pos="313"/>
        </w:tabs>
        <w:spacing w:after="0"/>
        <w:jc w:val="both"/>
      </w:pPr>
      <w:r>
        <w:rPr>
          <w:rStyle w:val="Bodytext1"/>
        </w:rPr>
        <w:t>Tytuł: Weryfikacja oświadczeń jako obowiązek proceduralny</w:t>
      </w:r>
    </w:p>
    <w:p w:rsidR="00EC5D5A" w:rsidRDefault="00BA3974">
      <w:pPr>
        <w:pStyle w:val="Bodytext10"/>
        <w:numPr>
          <w:ilvl w:val="0"/>
          <w:numId w:val="13"/>
        </w:numPr>
        <w:tabs>
          <w:tab w:val="left" w:pos="320"/>
        </w:tabs>
        <w:spacing w:after="0"/>
        <w:jc w:val="both"/>
      </w:pPr>
      <w:r>
        <w:rPr>
          <w:rStyle w:val="Bodytext1"/>
        </w:rPr>
        <w:t>Rdzeń postulatu: wprowadza się minimalny, ustawowy standard analizy oświadczeń przez organ przyjmujący (kontrola kompletności, spójności i sygnałów ryzyka), wraz z obowiązkiem dokumentowania czynności w sposób audytowalny (rejestr czynności, daty, statusy, wynik weryfikacji).</w:t>
      </w:r>
    </w:p>
    <w:p w:rsidR="00EC5D5A" w:rsidRDefault="00BA3974">
      <w:pPr>
        <w:pStyle w:val="Bodytext10"/>
        <w:numPr>
          <w:ilvl w:val="0"/>
          <w:numId w:val="13"/>
        </w:numPr>
        <w:tabs>
          <w:tab w:val="left" w:pos="306"/>
        </w:tabs>
        <w:jc w:val="both"/>
      </w:pPr>
      <w:r>
        <w:rPr>
          <w:rStyle w:val="Bodytext1"/>
        </w:rPr>
        <w:t>Uzasadnienie: bez minimalnych standardów analizy system staje się formalny i nieefektywny, co zwiększa ryzyko nadużyć i przerzuca ciężar kontroli na obywateli; audytowalność jest warunkiem realnej odpowiedzialności instytucjonalnej.</w:t>
      </w:r>
    </w:p>
    <w:p w:rsidR="00EC5D5A" w:rsidRDefault="00BA3974">
      <w:pPr>
        <w:pStyle w:val="Heading110"/>
        <w:keepNext/>
        <w:keepLines/>
        <w:numPr>
          <w:ilvl w:val="0"/>
          <w:numId w:val="4"/>
        </w:numPr>
        <w:tabs>
          <w:tab w:val="left" w:pos="428"/>
        </w:tabs>
        <w:jc w:val="both"/>
      </w:pPr>
      <w:bookmarkStart w:id="14" w:name="bookmark27"/>
      <w:r>
        <w:rPr>
          <w:rStyle w:val="Heading11"/>
          <w:b/>
          <w:bCs/>
        </w:rPr>
        <w:t>Wersjonowanie oświadczeń, publikacja metadanych i ślad korekt</w:t>
      </w:r>
      <w:bookmarkEnd w:id="14"/>
    </w:p>
    <w:p w:rsidR="00EC5D5A" w:rsidRDefault="00BA3974">
      <w:pPr>
        <w:pStyle w:val="Bodytext10"/>
        <w:numPr>
          <w:ilvl w:val="0"/>
          <w:numId w:val="14"/>
        </w:numPr>
        <w:tabs>
          <w:tab w:val="left" w:pos="313"/>
        </w:tabs>
        <w:spacing w:after="0"/>
        <w:jc w:val="both"/>
      </w:pPr>
      <w:r>
        <w:rPr>
          <w:rStyle w:val="Bodytext1"/>
        </w:rPr>
        <w:t>Tytuł: Nieusuwalny ślad zmian i przejrzystość korekt</w:t>
      </w:r>
    </w:p>
    <w:p w:rsidR="00EC5D5A" w:rsidRDefault="00BA3974">
      <w:pPr>
        <w:pStyle w:val="Bodytext10"/>
        <w:numPr>
          <w:ilvl w:val="0"/>
          <w:numId w:val="14"/>
        </w:numPr>
        <w:tabs>
          <w:tab w:val="left" w:pos="306"/>
        </w:tabs>
        <w:spacing w:after="0"/>
        <w:jc w:val="both"/>
      </w:pPr>
      <w:r>
        <w:rPr>
          <w:rStyle w:val="Bodytext1"/>
        </w:rPr>
        <w:t>Rdzeń postulatu: postuluje się wprowadzenie obowiązku wersjonowania oświadczeń i</w:t>
      </w:r>
      <w:r w:rsidR="00BC3943">
        <w:rPr>
          <w:rStyle w:val="Bodytext1"/>
        </w:rPr>
        <w:t> </w:t>
      </w:r>
      <w:r>
        <w:rPr>
          <w:rStyle w:val="Bodytext1"/>
        </w:rPr>
        <w:t>publikacji metadanych (co najmniej: data złożenia, data publikacji, data korekty, podstawa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korekty, identyfikator wersji), przy zapewnieniu, że korekta nie usuwa publicznego śladu pierwotnej treści (z wyjątkiem prawidłowo dokonanej redakcji danych niepublikowanych).</w:t>
      </w:r>
    </w:p>
    <w:p w:rsidR="00EC5D5A" w:rsidRDefault="00BA3974">
      <w:pPr>
        <w:pStyle w:val="Bodytext10"/>
        <w:numPr>
          <w:ilvl w:val="0"/>
          <w:numId w:val="14"/>
        </w:numPr>
        <w:tabs>
          <w:tab w:val="left" w:pos="310"/>
        </w:tabs>
        <w:spacing w:after="340"/>
        <w:jc w:val="both"/>
      </w:pPr>
      <w:r>
        <w:rPr>
          <w:rStyle w:val="Bodytext1"/>
        </w:rPr>
        <w:t>Uzasadnienie: brak śladu zmian osłabia funkcję kontrolną oświadczeń, utrudnia analizę przyrostów i korekt oraz sprzyja praktykom „naprawiania” treści bez transparentności; wersjonowanie jest warunkiem analityczności i spójności systemu.</w:t>
      </w:r>
    </w:p>
    <w:p w:rsidR="00EC5D5A" w:rsidRDefault="00BA3974">
      <w:pPr>
        <w:pStyle w:val="Heading110"/>
        <w:keepNext/>
        <w:keepLines/>
        <w:numPr>
          <w:ilvl w:val="0"/>
          <w:numId w:val="15"/>
        </w:numPr>
        <w:tabs>
          <w:tab w:val="left" w:pos="361"/>
        </w:tabs>
        <w:spacing w:after="220"/>
        <w:jc w:val="both"/>
      </w:pPr>
      <w:bookmarkStart w:id="15" w:name="bookmark29"/>
      <w:r>
        <w:rPr>
          <w:rStyle w:val="Heading11"/>
          <w:b/>
          <w:bCs/>
        </w:rPr>
        <w:t>UZASADNIENIE OGÓLNE</w:t>
      </w:r>
      <w:bookmarkEnd w:id="15"/>
    </w:p>
    <w:p w:rsidR="00EC5D5A" w:rsidRDefault="00BA3974">
      <w:pPr>
        <w:pStyle w:val="Bodytext10"/>
        <w:jc w:val="both"/>
      </w:pPr>
      <w:r>
        <w:rPr>
          <w:rStyle w:val="Bodytext1"/>
        </w:rPr>
        <w:t>Obecny model funkcjonowania oświadczeń majątkowych samorządowców charakteryzuje się rozproszeniem publikacji, częstą postacią dokumentów nieprzystosowanych do przetwarzania (pliki nieustrukturyzowane, skany), brakiem porównywalności danych między latami i jednostkami samorządu terytorialnego oraz brakiem jednolitych reguł redakcji informacji w publikacji. Skutkiem jest dysfunkcja systemowa polegająca na pozorowaniu jawności, przy jednoczesnym ograniczeniu realnej kontroli społecznej i instytucjonalnej.</w:t>
      </w:r>
    </w:p>
    <w:p w:rsidR="00EC5D5A" w:rsidRDefault="00BA3974">
      <w:pPr>
        <w:pStyle w:val="Bodytext10"/>
        <w:jc w:val="both"/>
      </w:pPr>
      <w:r>
        <w:rPr>
          <w:rStyle w:val="Bodytext1"/>
        </w:rPr>
        <w:t>Stan ten generuje ryzyka nadużyć (w tym w zakresie konfliktów interesów oraz nieuzasadnionych przyrostów majątku), a także koszty organizacyjne i proceduralne po stronie organów publicznych oraz obywateli. Jednocześnie brak standardu danych utrudnia wykorzystywanie oświadczeń w</w:t>
      </w:r>
      <w:r w:rsidR="00BC3943">
        <w:rPr>
          <w:rStyle w:val="Bodytext1"/>
        </w:rPr>
        <w:t> </w:t>
      </w:r>
      <w:r>
        <w:rPr>
          <w:rStyle w:val="Bodytext1"/>
        </w:rPr>
        <w:t>sposób analityczny, porównawczy i prewencyjny, co osłabia funkcję antykorupcyjną tego instrumentu.</w:t>
      </w:r>
    </w:p>
    <w:p w:rsidR="00EC5D5A" w:rsidRDefault="00BA3974">
      <w:pPr>
        <w:pStyle w:val="Bodytext10"/>
        <w:spacing w:after="340"/>
        <w:jc w:val="both"/>
      </w:pPr>
      <w:r>
        <w:rPr>
          <w:rStyle w:val="Bodytext1"/>
        </w:rPr>
        <w:t>Celem postulowanych zmian jest modernizacja i racjonalizacja systemu: wzmocnienie realnej przejrzystości, zapewnienie zgodności z wymogami ochrony danych osobowych, podniesienie efektywności instytucji publicznych przez ujednolicenie standardów oraz przesunięcie ciężaru z</w:t>
      </w:r>
      <w:r w:rsidR="00BC3943">
        <w:rPr>
          <w:rStyle w:val="Bodytext1"/>
        </w:rPr>
        <w:t> </w:t>
      </w:r>
      <w:r>
        <w:rPr>
          <w:rStyle w:val="Bodytext1"/>
        </w:rPr>
        <w:t>rozproszonej, ręcznej i incydentalnej kontroli na uporządkowaną, powtarzalną analizę danych i</w:t>
      </w:r>
      <w:r w:rsidR="00BC3943">
        <w:rPr>
          <w:rStyle w:val="Bodytext1"/>
        </w:rPr>
        <w:t> </w:t>
      </w:r>
      <w:r>
        <w:rPr>
          <w:rStyle w:val="Bodytext1"/>
        </w:rPr>
        <w:t>kontrolę prewencyjną.</w:t>
      </w:r>
    </w:p>
    <w:p w:rsidR="00EC5D5A" w:rsidRDefault="00BA3974">
      <w:pPr>
        <w:pStyle w:val="Heading110"/>
        <w:keepNext/>
        <w:keepLines/>
        <w:numPr>
          <w:ilvl w:val="0"/>
          <w:numId w:val="15"/>
        </w:numPr>
        <w:tabs>
          <w:tab w:val="left" w:pos="317"/>
        </w:tabs>
        <w:spacing w:after="220"/>
        <w:jc w:val="both"/>
      </w:pPr>
      <w:bookmarkStart w:id="16" w:name="bookmark31"/>
      <w:r>
        <w:rPr>
          <w:rStyle w:val="Heading11"/>
          <w:b/>
          <w:bCs/>
        </w:rPr>
        <w:t>WNIOSEK O SPOSÓB ZAWIADOMIENIA</w:t>
      </w:r>
      <w:bookmarkEnd w:id="16"/>
    </w:p>
    <w:p w:rsidR="00EC5D5A" w:rsidRDefault="00BA3974">
      <w:pPr>
        <w:pStyle w:val="Bodytext10"/>
        <w:spacing w:after="340" w:line="288" w:lineRule="auto"/>
        <w:jc w:val="both"/>
      </w:pPr>
      <w:r>
        <w:rPr>
          <w:rStyle w:val="Bodytext1"/>
        </w:rPr>
        <w:t xml:space="preserve">Wnoszę o zawiadomienie mnie o sposobie załatwienia petycji w formie elektronicznej na adres </w:t>
      </w:r>
      <w:r w:rsidR="006C4E72">
        <w:rPr>
          <w:rStyle w:val="Bodytext1"/>
        </w:rPr>
        <w:br/>
      </w:r>
      <w:r>
        <w:rPr>
          <w:rStyle w:val="Bodytext1"/>
        </w:rPr>
        <w:t>e-mail:</w:t>
      </w:r>
      <w:r w:rsidR="00BC3943">
        <w:rPr>
          <w:rStyle w:val="Bodytext1"/>
        </w:rPr>
        <w:tab/>
      </w:r>
      <w:r w:rsidR="00BC3943">
        <w:rPr>
          <w:rStyle w:val="Bodytext1"/>
        </w:rPr>
        <w:tab/>
      </w:r>
      <w:r w:rsidR="00BC3943">
        <w:rPr>
          <w:rStyle w:val="Bodytext1"/>
        </w:rPr>
        <w:tab/>
      </w:r>
      <w:r w:rsidR="00BC3943">
        <w:rPr>
          <w:rStyle w:val="Bodytext1"/>
        </w:rPr>
        <w:tab/>
      </w:r>
      <w:r w:rsidR="00BC3943">
        <w:rPr>
          <w:rStyle w:val="Bodytext1"/>
        </w:rPr>
        <w:tab/>
      </w:r>
      <w:r w:rsidRPr="00BC3943">
        <w:rPr>
          <w:rStyle w:val="Bodytext1"/>
          <w:lang w:eastAsia="en-US" w:bidi="en-US"/>
        </w:rPr>
        <w:t>.</w:t>
      </w:r>
    </w:p>
    <w:p w:rsidR="00EC5D5A" w:rsidRDefault="00BA3974">
      <w:pPr>
        <w:pStyle w:val="Heading110"/>
        <w:keepNext/>
        <w:keepLines/>
        <w:numPr>
          <w:ilvl w:val="0"/>
          <w:numId w:val="15"/>
        </w:numPr>
        <w:tabs>
          <w:tab w:val="left" w:pos="397"/>
        </w:tabs>
        <w:spacing w:after="220"/>
        <w:jc w:val="both"/>
      </w:pPr>
      <w:bookmarkStart w:id="17" w:name="bookmark33"/>
      <w:r>
        <w:rPr>
          <w:rStyle w:val="Heading11"/>
          <w:b/>
          <w:bCs/>
        </w:rPr>
        <w:t>OŚWIADCZENIA</w:t>
      </w:r>
      <w:bookmarkEnd w:id="17"/>
    </w:p>
    <w:p w:rsidR="00EC5D5A" w:rsidRDefault="00BA3974">
      <w:pPr>
        <w:pStyle w:val="Bodytext10"/>
        <w:numPr>
          <w:ilvl w:val="0"/>
          <w:numId w:val="16"/>
        </w:numPr>
        <w:tabs>
          <w:tab w:val="left" w:pos="706"/>
        </w:tabs>
        <w:spacing w:after="0"/>
        <w:ind w:firstLine="360"/>
      </w:pPr>
      <w:r>
        <w:rPr>
          <w:rStyle w:val="Bodytext1"/>
        </w:rPr>
        <w:t>Oświadczam, że petycja składana jest w interesie publicznym.</w:t>
      </w:r>
    </w:p>
    <w:p w:rsidR="00EC5D5A" w:rsidRDefault="00BA3974">
      <w:pPr>
        <w:pStyle w:val="Bodytext10"/>
        <w:numPr>
          <w:ilvl w:val="0"/>
          <w:numId w:val="16"/>
        </w:numPr>
        <w:tabs>
          <w:tab w:val="left" w:pos="726"/>
        </w:tabs>
        <w:spacing w:after="0"/>
        <w:ind w:left="740" w:hanging="360"/>
        <w:jc w:val="both"/>
      </w:pPr>
      <w:r>
        <w:rPr>
          <w:rStyle w:val="Bodytext1"/>
        </w:rPr>
        <w:t xml:space="preserve">Na podstawie </w:t>
      </w:r>
      <w:r w:rsidRPr="00BC394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4 ust. 3 ustawy z dnia 11 lipca 2014 r. o petycjach wyrażam zgodę na</w:t>
      </w:r>
      <w:r w:rsidR="00BC3943">
        <w:rPr>
          <w:rStyle w:val="Bodytext1"/>
        </w:rPr>
        <w:t> </w:t>
      </w:r>
      <w:r>
        <w:rPr>
          <w:rStyle w:val="Bodytext1"/>
        </w:rPr>
        <w:t>ujawnienie mojego imienia i nazwiska.</w:t>
      </w:r>
    </w:p>
    <w:p w:rsidR="00EC5D5A" w:rsidRDefault="00BA3974">
      <w:pPr>
        <w:pStyle w:val="Bodytext10"/>
        <w:numPr>
          <w:ilvl w:val="0"/>
          <w:numId w:val="16"/>
        </w:numPr>
        <w:tabs>
          <w:tab w:val="left" w:pos="726"/>
        </w:tabs>
        <w:ind w:left="740" w:hanging="360"/>
        <w:jc w:val="both"/>
      </w:pPr>
      <w:r>
        <w:rPr>
          <w:rStyle w:val="Bodytext1"/>
        </w:rPr>
        <w:t>Jednocześnie nie wyrażam zgody na ujawnienie mojego adresu zamieszkania, adresu do</w:t>
      </w:r>
      <w:r w:rsidR="00BC3943">
        <w:rPr>
          <w:rStyle w:val="Bodytext1"/>
        </w:rPr>
        <w:t> </w:t>
      </w:r>
      <w:r>
        <w:rPr>
          <w:rStyle w:val="Bodytext1"/>
        </w:rPr>
        <w:t>korespondencji oraz adresu e-mail.</w:t>
      </w:r>
    </w:p>
    <w:p w:rsidR="00EC5D5A" w:rsidRDefault="00BA3974">
      <w:pPr>
        <w:pStyle w:val="Bodytext10"/>
        <w:spacing w:after="40" w:line="240" w:lineRule="auto"/>
        <w:jc w:val="both"/>
      </w:pPr>
      <w:r>
        <w:rPr>
          <w:rStyle w:val="Bodytext1"/>
        </w:rPr>
        <w:t>Podpis:</w:t>
      </w:r>
    </w:p>
    <w:p w:rsidR="00EC5D5A" w:rsidRDefault="00BA3974">
      <w:pPr>
        <w:pStyle w:val="Bodytext10"/>
        <w:spacing w:line="240" w:lineRule="auto"/>
      </w:pPr>
      <w:r>
        <w:rPr>
          <w:rStyle w:val="Bodytext1"/>
        </w:rPr>
        <w:t>Wojciech Niemczyk</w:t>
      </w:r>
    </w:p>
    <w:sectPr w:rsidR="00EC5D5A">
      <w:pgSz w:w="12240" w:h="15840"/>
      <w:pgMar w:top="1437" w:right="1410" w:bottom="1271" w:left="1406" w:header="1009" w:footer="8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912" w:rsidRDefault="00B32912">
      <w:r>
        <w:separator/>
      </w:r>
    </w:p>
  </w:endnote>
  <w:endnote w:type="continuationSeparator" w:id="0">
    <w:p w:rsidR="00B32912" w:rsidRDefault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912" w:rsidRDefault="00B32912"/>
  </w:footnote>
  <w:footnote w:type="continuationSeparator" w:id="0">
    <w:p w:rsidR="00B32912" w:rsidRDefault="00B329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01F"/>
    <w:multiLevelType w:val="multilevel"/>
    <w:tmpl w:val="3CDAC8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C00E9"/>
    <w:multiLevelType w:val="multilevel"/>
    <w:tmpl w:val="12E0864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2F7F71"/>
    <w:multiLevelType w:val="multilevel"/>
    <w:tmpl w:val="E494A9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F426F0"/>
    <w:multiLevelType w:val="multilevel"/>
    <w:tmpl w:val="0B7CD2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C50595"/>
    <w:multiLevelType w:val="multilevel"/>
    <w:tmpl w:val="86223B7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6429DE"/>
    <w:multiLevelType w:val="multilevel"/>
    <w:tmpl w:val="D2A474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E7C58"/>
    <w:multiLevelType w:val="multilevel"/>
    <w:tmpl w:val="11D430C4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056228"/>
    <w:multiLevelType w:val="multilevel"/>
    <w:tmpl w:val="E55460A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B9432B"/>
    <w:multiLevelType w:val="multilevel"/>
    <w:tmpl w:val="20D612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DC5E83"/>
    <w:multiLevelType w:val="multilevel"/>
    <w:tmpl w:val="368026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C61B7A"/>
    <w:multiLevelType w:val="multilevel"/>
    <w:tmpl w:val="A1A274F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E05F1A"/>
    <w:multiLevelType w:val="multilevel"/>
    <w:tmpl w:val="5E262A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0B4EE4"/>
    <w:multiLevelType w:val="multilevel"/>
    <w:tmpl w:val="76169D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4B6BB1"/>
    <w:multiLevelType w:val="multilevel"/>
    <w:tmpl w:val="5BF4F5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6E7843"/>
    <w:multiLevelType w:val="multilevel"/>
    <w:tmpl w:val="D55CCFA2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7E5015"/>
    <w:multiLevelType w:val="multilevel"/>
    <w:tmpl w:val="1E08A45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15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5A"/>
    <w:rsid w:val="006C4E72"/>
    <w:rsid w:val="00AA03F2"/>
    <w:rsid w:val="00B32912"/>
    <w:rsid w:val="00BA3974"/>
    <w:rsid w:val="00BC3943"/>
    <w:rsid w:val="00E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106DD-6AD4-4B5E-90BF-04C8F23F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10">
    <w:name w:val="Heading #1|1"/>
    <w:basedOn w:val="Normalny"/>
    <w:link w:val="Heading11"/>
    <w:pPr>
      <w:spacing w:line="276" w:lineRule="auto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0">
    <w:name w:val="Body text|1"/>
    <w:basedOn w:val="Normalny"/>
    <w:link w:val="Bodytext1"/>
    <w:pPr>
      <w:spacing w:after="22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1747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Kuziów Marcin</cp:lastModifiedBy>
  <cp:revision>2</cp:revision>
  <dcterms:created xsi:type="dcterms:W3CDTF">2026-03-30T11:59:00Z</dcterms:created>
  <dcterms:modified xsi:type="dcterms:W3CDTF">2026-03-30T11:59:00Z</dcterms:modified>
</cp:coreProperties>
</file>