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A5AC" w14:textId="77777777" w:rsidR="00ED18A6" w:rsidRDefault="00ED18A6" w:rsidP="00336647">
      <w:pPr>
        <w:pStyle w:val="Style3"/>
        <w:widowControl/>
        <w:spacing w:line="240" w:lineRule="exact"/>
        <w:jc w:val="both"/>
        <w:rPr>
          <w:sz w:val="20"/>
          <w:szCs w:val="20"/>
        </w:rPr>
      </w:pPr>
    </w:p>
    <w:p w14:paraId="1FC69DFD" w14:textId="5F89059D" w:rsidR="00ED18A6" w:rsidRDefault="00ED18A6" w:rsidP="001F10C0">
      <w:pPr>
        <w:pStyle w:val="Style3"/>
        <w:widowControl/>
        <w:spacing w:before="115"/>
        <w:ind w:left="1709"/>
        <w:jc w:val="center"/>
        <w:rPr>
          <w:rStyle w:val="FontStyle15"/>
          <w:bCs/>
          <w:szCs w:val="22"/>
        </w:rPr>
      </w:pPr>
      <w:r>
        <w:rPr>
          <w:rStyle w:val="FontStyle15"/>
          <w:bCs/>
          <w:szCs w:val="22"/>
        </w:rPr>
        <w:t>OPIS PRZEDMIOTU ZAMÓWIENIA</w:t>
      </w:r>
    </w:p>
    <w:p w14:paraId="0310E097" w14:textId="0EBAA881" w:rsidR="008D70B7" w:rsidRDefault="008D70B7" w:rsidP="001F10C0">
      <w:pPr>
        <w:pStyle w:val="Style3"/>
        <w:widowControl/>
        <w:spacing w:before="115"/>
        <w:ind w:left="1709"/>
        <w:jc w:val="center"/>
        <w:rPr>
          <w:rStyle w:val="FontStyle15"/>
          <w:bCs/>
          <w:szCs w:val="22"/>
        </w:rPr>
      </w:pPr>
      <w:r>
        <w:rPr>
          <w:rStyle w:val="FontStyle15"/>
          <w:bCs/>
          <w:szCs w:val="22"/>
        </w:rPr>
        <w:t>CZĘŚĆ I PRZEDMIOTU ZAMÓWIENIA</w:t>
      </w:r>
    </w:p>
    <w:p w14:paraId="21A7C46F" w14:textId="77777777" w:rsidR="00ED18A6" w:rsidRDefault="00ED18A6" w:rsidP="002D1FCE">
      <w:pPr>
        <w:pStyle w:val="Style4"/>
        <w:widowControl/>
        <w:numPr>
          <w:ilvl w:val="0"/>
          <w:numId w:val="1"/>
        </w:numPr>
        <w:tabs>
          <w:tab w:val="left" w:pos="355"/>
        </w:tabs>
        <w:spacing w:before="293" w:line="226" w:lineRule="exact"/>
        <w:ind w:left="355" w:right="29"/>
        <w:rPr>
          <w:rStyle w:val="FontStyle18"/>
          <w:szCs w:val="18"/>
        </w:rPr>
      </w:pPr>
      <w:r>
        <w:rPr>
          <w:rStyle w:val="FontStyle18"/>
          <w:szCs w:val="18"/>
        </w:rPr>
        <w:t>Sukcesywna dostawa materiałów eksploatacyjnych do drukarek i urządzeń wielofunkcyjnych do Ministerstwa Sprawiedliwości oraz odbiór odpadów po wszystkich zużytych materiałach eksploatacyjnych.</w:t>
      </w:r>
    </w:p>
    <w:p w14:paraId="3C27A1C7" w14:textId="1BB1DE74" w:rsidR="00ED18A6" w:rsidRDefault="00ED18A6" w:rsidP="002D1FCE">
      <w:pPr>
        <w:pStyle w:val="Style4"/>
        <w:widowControl/>
        <w:numPr>
          <w:ilvl w:val="0"/>
          <w:numId w:val="1"/>
        </w:numPr>
        <w:tabs>
          <w:tab w:val="left" w:pos="355"/>
        </w:tabs>
        <w:spacing w:line="226" w:lineRule="exact"/>
        <w:ind w:left="355" w:right="14"/>
        <w:rPr>
          <w:rStyle w:val="FontStyle18"/>
          <w:szCs w:val="18"/>
        </w:rPr>
      </w:pPr>
      <w:r>
        <w:rPr>
          <w:rStyle w:val="FontStyle18"/>
          <w:szCs w:val="18"/>
        </w:rPr>
        <w:t>Zamawiający wymaga, aby dostarczone materiały eksploatacyjne (tonery, bębny, wkłady z tuszem, taśmy barwiące, itp.) do urządzeń wskazanych w</w:t>
      </w:r>
      <w:r w:rsidR="000D215D">
        <w:rPr>
          <w:rStyle w:val="FontStyle18"/>
          <w:szCs w:val="18"/>
        </w:rPr>
        <w:t xml:space="preserve"> Formularzu cenowym</w:t>
      </w:r>
      <w:r>
        <w:rPr>
          <w:rStyle w:val="FontStyle18"/>
          <w:szCs w:val="18"/>
        </w:rPr>
        <w:t xml:space="preserve">, były fabrycznie nowe. Pod pojęciem „fabrycznie nowe" należy rozumieć materiały eksploatacyjne, które w całym swoim procesie produkcyjnym (za wyjątkiem kartonowego opakowania) są wytwarzane z elementów </w:t>
      </w:r>
      <w:proofErr w:type="spellStart"/>
      <w:r>
        <w:rPr>
          <w:rStyle w:val="FontStyle18"/>
          <w:szCs w:val="18"/>
        </w:rPr>
        <w:t>nierefabrykowanych</w:t>
      </w:r>
      <w:proofErr w:type="spellEnd"/>
      <w:r>
        <w:rPr>
          <w:rStyle w:val="FontStyle18"/>
          <w:szCs w:val="18"/>
        </w:rPr>
        <w:t>, nieregenerowanych, nieuszkodzonych, bez śladów wcześniejszego używania, wytworzonych od podstaw, bez użycia w jakikolwiek sposób komponentów uzyskanych z innych produktów wcześniej użytkowanych; wyprodukowane bez naruszenia praw patentowych i własności intelektualnych ich właścicieli lub za ich zgodą. Ich stosowanie nie może naruszać warunków gwarancji urządzeń, do których są dedykowane. Za fabrycznie nowy nie uznaje się wyrobu, gdzie pojemnik został jedynie wyczyszczony i ponownie napełniony tonerem lub tuszem. Wszystkie materiały</w:t>
      </w:r>
      <w:r w:rsidR="004751B7">
        <w:rPr>
          <w:rStyle w:val="FontStyle18"/>
          <w:szCs w:val="18"/>
        </w:rPr>
        <w:t xml:space="preserve"> </w:t>
      </w:r>
      <w:r w:rsidR="00342264">
        <w:rPr>
          <w:rStyle w:val="FontStyle18"/>
          <w:szCs w:val="18"/>
        </w:rPr>
        <w:t xml:space="preserve">wyszczególnione w </w:t>
      </w:r>
      <w:r>
        <w:rPr>
          <w:rStyle w:val="FontStyle18"/>
          <w:szCs w:val="18"/>
        </w:rPr>
        <w:t xml:space="preserve"> </w:t>
      </w:r>
      <w:r w:rsidR="00342264">
        <w:rPr>
          <w:rStyle w:val="FontStyle18"/>
          <w:szCs w:val="18"/>
        </w:rPr>
        <w:t xml:space="preserve">Formularzu cenowym </w:t>
      </w:r>
      <w:r>
        <w:rPr>
          <w:rStyle w:val="FontStyle18"/>
          <w:szCs w:val="18"/>
        </w:rPr>
        <w:t xml:space="preserve"> </w:t>
      </w:r>
      <w:r w:rsidR="003C37A7">
        <w:rPr>
          <w:rStyle w:val="FontStyle18"/>
          <w:szCs w:val="18"/>
        </w:rPr>
        <w:t xml:space="preserve">muszą </w:t>
      </w:r>
      <w:r>
        <w:rPr>
          <w:rStyle w:val="FontStyle18"/>
          <w:szCs w:val="18"/>
        </w:rPr>
        <w:t xml:space="preserve"> pochodzić z bieżącej produkcji.</w:t>
      </w:r>
    </w:p>
    <w:p w14:paraId="577625C2" w14:textId="11AFD578" w:rsidR="00ED18A6" w:rsidRDefault="00ED18A6" w:rsidP="002D1FCE">
      <w:pPr>
        <w:pStyle w:val="Style4"/>
        <w:widowControl/>
        <w:numPr>
          <w:ilvl w:val="0"/>
          <w:numId w:val="1"/>
        </w:numPr>
        <w:tabs>
          <w:tab w:val="left" w:pos="355"/>
        </w:tabs>
        <w:spacing w:line="226" w:lineRule="exact"/>
        <w:ind w:left="355" w:right="10"/>
        <w:rPr>
          <w:rStyle w:val="FontStyle18"/>
          <w:szCs w:val="18"/>
        </w:rPr>
      </w:pPr>
      <w:r>
        <w:rPr>
          <w:rStyle w:val="FontStyle18"/>
          <w:szCs w:val="18"/>
        </w:rPr>
        <w:t>Zamawiający dopuszcza możliwość oferowania produktów równoważnych. Za produkt równoważny Zamawiający uzna taki, który ma te same cechy funkcjonalne co wskazany w  opisie przedmiotu zamówienia z nazwy lub pochodzenia produktu lub poprzez wskazanie kodu producenta produktu. Jakość produktu równoważnego nie może być gorsza od jakości wskazanego produktu. Produkt równoważny winien mieć parametry nie gorsze niż wskazany produkt, jednocześnie umożliwiając uzyskanie efektu założonego przez Zamawiającego. Pod pojęciem cech jakościowych produktu równoważnego należy rozumieć cechy, które opisują fizyczne właściwości przedmiotu zamówienia (wydajność, żywotność, odporność na uszkodzenia, bezpieczeństwo eksploatacji, komfort użytkowania). Przez materiał eksploatacyjny równoważny Zamawiający rozumie produkt o parametrach nie gorszych niż wskazane oraz:</w:t>
      </w:r>
    </w:p>
    <w:p w14:paraId="6A9374D7" w14:textId="77777777" w:rsidR="00ED18A6" w:rsidRDefault="00ED18A6">
      <w:pPr>
        <w:widowControl/>
        <w:rPr>
          <w:sz w:val="2"/>
          <w:szCs w:val="2"/>
        </w:rPr>
      </w:pPr>
    </w:p>
    <w:p w14:paraId="35F6557E" w14:textId="361911C4" w:rsidR="00ED18A6" w:rsidRDefault="00ED18A6" w:rsidP="002D1FCE">
      <w:pPr>
        <w:pStyle w:val="Style5"/>
        <w:widowControl/>
        <w:numPr>
          <w:ilvl w:val="0"/>
          <w:numId w:val="2"/>
        </w:numPr>
        <w:tabs>
          <w:tab w:val="left" w:pos="638"/>
        </w:tabs>
        <w:spacing w:line="226" w:lineRule="exact"/>
        <w:ind w:left="360" w:firstLine="0"/>
        <w:jc w:val="left"/>
        <w:rPr>
          <w:rStyle w:val="FontStyle18"/>
          <w:szCs w:val="18"/>
        </w:rPr>
      </w:pPr>
      <w:r>
        <w:rPr>
          <w:rStyle w:val="FontStyle18"/>
          <w:szCs w:val="18"/>
        </w:rPr>
        <w:t>fabrycznie nowy, nieregenerowany, pochodzący z bieżącej produkcji;</w:t>
      </w:r>
    </w:p>
    <w:p w14:paraId="463A8024" w14:textId="7ACB5867" w:rsidR="00ED18A6" w:rsidRDefault="00ED18A6" w:rsidP="002D1FCE">
      <w:pPr>
        <w:pStyle w:val="Style5"/>
        <w:widowControl/>
        <w:numPr>
          <w:ilvl w:val="0"/>
          <w:numId w:val="2"/>
        </w:numPr>
        <w:tabs>
          <w:tab w:val="left" w:pos="638"/>
        </w:tabs>
        <w:spacing w:line="226" w:lineRule="exact"/>
        <w:ind w:left="360" w:firstLine="0"/>
        <w:jc w:val="left"/>
        <w:rPr>
          <w:rStyle w:val="FontStyle18"/>
          <w:szCs w:val="18"/>
        </w:rPr>
      </w:pPr>
      <w:r>
        <w:rPr>
          <w:rStyle w:val="FontStyle18"/>
          <w:szCs w:val="18"/>
        </w:rPr>
        <w:t>opakowany hermetycznie, nienoszący śladów uszkodzeń zewnętrznych oraz używania;</w:t>
      </w:r>
    </w:p>
    <w:p w14:paraId="4D52B5DA" w14:textId="66AE1D87"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którego wydajność (</w:t>
      </w:r>
      <w:r w:rsidR="007D4E84">
        <w:rPr>
          <w:rStyle w:val="FontStyle18"/>
          <w:szCs w:val="18"/>
        </w:rPr>
        <w:t>liczba</w:t>
      </w:r>
      <w:r>
        <w:rPr>
          <w:rStyle w:val="FontStyle18"/>
          <w:szCs w:val="18"/>
        </w:rPr>
        <w:t xml:space="preserve"> uzyskanych kopii), zgodnie z normą ISO/IEC 19752 dla kaset z tonerem do drukarek monochromatycznych, ISO/IEC 19798 dla kaset z tonerem do kolorowych drukarek laserowych, oraz ISO/IEC 24711, ISO/IEC 24712 dla wkładów atramentowych, jest co najmniej taka jak materiału oryginalnego zalecanego przez producentów sprzętu;</w:t>
      </w:r>
    </w:p>
    <w:p w14:paraId="79173EB0" w14:textId="77777777"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który zapewnia jakość wydruku co najmniej taką, jak materiał oryginalny, zalecany przez producenta sprzętu;</w:t>
      </w:r>
    </w:p>
    <w:p w14:paraId="0BCCE59E" w14:textId="28CB1656"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 xml:space="preserve">który </w:t>
      </w:r>
      <w:r w:rsidR="008D70B7">
        <w:rPr>
          <w:rStyle w:val="FontStyle18"/>
          <w:szCs w:val="18"/>
        </w:rPr>
        <w:t xml:space="preserve">musi </w:t>
      </w:r>
      <w:r>
        <w:rPr>
          <w:rStyle w:val="FontStyle18"/>
          <w:szCs w:val="18"/>
        </w:rPr>
        <w:t>w pełni współpracować z programem nadzorującym pracę urządzenia m.in. monitorującym zasób wkładu, o ile funkcję tą posiada oryginał;</w:t>
      </w:r>
    </w:p>
    <w:p w14:paraId="4E91A5A8" w14:textId="77777777" w:rsidR="00ED18A6" w:rsidRDefault="00ED18A6" w:rsidP="002D1FCE">
      <w:pPr>
        <w:pStyle w:val="Style5"/>
        <w:widowControl/>
        <w:numPr>
          <w:ilvl w:val="0"/>
          <w:numId w:val="2"/>
        </w:numPr>
        <w:tabs>
          <w:tab w:val="left" w:pos="638"/>
        </w:tabs>
        <w:spacing w:line="226" w:lineRule="exact"/>
        <w:ind w:left="360" w:firstLine="0"/>
        <w:jc w:val="left"/>
        <w:rPr>
          <w:rStyle w:val="FontStyle18"/>
          <w:szCs w:val="18"/>
        </w:rPr>
      </w:pPr>
      <w:r>
        <w:rPr>
          <w:rStyle w:val="FontStyle18"/>
          <w:szCs w:val="18"/>
        </w:rPr>
        <w:t>który w żadnym stopniu nie narusza praw patentowych, ani innej własności intelektualnej;</w:t>
      </w:r>
    </w:p>
    <w:p w14:paraId="448CEDE8" w14:textId="71C0526D" w:rsidR="00ED18A6" w:rsidRDefault="00ED18A6" w:rsidP="002D1FCE">
      <w:pPr>
        <w:pStyle w:val="Style5"/>
        <w:widowControl/>
        <w:numPr>
          <w:ilvl w:val="0"/>
          <w:numId w:val="2"/>
        </w:numPr>
        <w:tabs>
          <w:tab w:val="left" w:pos="638"/>
        </w:tabs>
        <w:spacing w:line="226" w:lineRule="exact"/>
        <w:ind w:left="638"/>
        <w:rPr>
          <w:rStyle w:val="FontStyle18"/>
          <w:szCs w:val="18"/>
        </w:rPr>
      </w:pPr>
      <w:r>
        <w:rPr>
          <w:rStyle w:val="FontStyle18"/>
          <w:szCs w:val="18"/>
        </w:rPr>
        <w:t>posiada oznaczenia dotyczące producenta oraz etykiety identyfikujące dany produkt, które muszą być umieszczone trwale na opakowaniach zewnętrznych oraz bezpośrednio na kasecie z tonerem;</w:t>
      </w:r>
    </w:p>
    <w:p w14:paraId="3B4ECA82" w14:textId="0580AD57" w:rsidR="00ED18A6" w:rsidRDefault="00ED18A6" w:rsidP="00713C23">
      <w:pPr>
        <w:pStyle w:val="Style4"/>
        <w:widowControl/>
        <w:numPr>
          <w:ilvl w:val="0"/>
          <w:numId w:val="1"/>
        </w:numPr>
        <w:tabs>
          <w:tab w:val="left" w:pos="355"/>
        </w:tabs>
        <w:spacing w:line="226" w:lineRule="exact"/>
        <w:ind w:left="355"/>
        <w:rPr>
          <w:rStyle w:val="FontStyle18"/>
          <w:szCs w:val="18"/>
        </w:rPr>
      </w:pPr>
      <w:r>
        <w:rPr>
          <w:rStyle w:val="FontStyle18"/>
          <w:szCs w:val="18"/>
        </w:rPr>
        <w:t>Produkty równoważne muszą być kompatybilne z urządzeniami, do których mają być</w:t>
      </w:r>
      <w:r>
        <w:rPr>
          <w:rStyle w:val="FontStyle18"/>
          <w:szCs w:val="18"/>
        </w:rPr>
        <w:br/>
        <w:t>stosowane, zapewniać ich właściwą eksploatację, bezawaryjność i żywotność na poziomie nie</w:t>
      </w:r>
      <w:r>
        <w:rPr>
          <w:rStyle w:val="FontStyle18"/>
          <w:szCs w:val="18"/>
        </w:rPr>
        <w:br/>
        <w:t>gorszym od tego, jaki zapewniają materiały oryginalne (pochodzące od producenta urządzeń),</w:t>
      </w:r>
      <w:r>
        <w:rPr>
          <w:rStyle w:val="FontStyle18"/>
          <w:szCs w:val="18"/>
        </w:rPr>
        <w:br/>
        <w:t>a także nie mogą pogorszyć jakości parametrów pracy urządzeń (jakość wydruku, wydajność,</w:t>
      </w:r>
      <w:r>
        <w:rPr>
          <w:rStyle w:val="FontStyle18"/>
          <w:szCs w:val="18"/>
        </w:rPr>
        <w:br/>
        <w:t>szybkość schnięcia, itp.) oraz nie powodują ograniczeń funkcji i możliwości sprzętu.</w:t>
      </w:r>
      <w:r>
        <w:rPr>
          <w:rStyle w:val="FontStyle18"/>
          <w:szCs w:val="18"/>
        </w:rPr>
        <w:br/>
        <w:t>Stosowanie materiałów eksploatacyjnych nie może powodować uszkodzeń eksploatowanego</w:t>
      </w:r>
      <w:r>
        <w:rPr>
          <w:rStyle w:val="FontStyle18"/>
          <w:szCs w:val="18"/>
        </w:rPr>
        <w:br/>
        <w:t xml:space="preserve">sprzętu oraz wysypywania się tonera z kasety do wnętrza drukarki. </w:t>
      </w:r>
    </w:p>
    <w:p w14:paraId="34869123" w14:textId="474DF182" w:rsidR="00713C23" w:rsidRDefault="00713C23" w:rsidP="00713C23">
      <w:pPr>
        <w:ind w:left="355"/>
        <w:rPr>
          <w:rStyle w:val="FontStyle18"/>
          <w:szCs w:val="18"/>
        </w:rPr>
      </w:pPr>
      <w:r w:rsidRPr="00713C23">
        <w:rPr>
          <w:rStyle w:val="FontStyle18"/>
          <w:szCs w:val="18"/>
        </w:rPr>
        <w:t>Materiały eksploatacyjne muszą  być wytwarzane seryjnie w procesie produkcyjnym zgodnie z normą ISO 9001 lub równoważną oraz normą środowiskową ISO 14001 lub równoważną.</w:t>
      </w:r>
    </w:p>
    <w:p w14:paraId="30F580AE" w14:textId="03BE2E97" w:rsidR="00ED18A6" w:rsidRPr="00825A5A" w:rsidRDefault="00713C23" w:rsidP="00825A5A">
      <w:pPr>
        <w:pStyle w:val="Style4"/>
        <w:widowControl/>
        <w:numPr>
          <w:ilvl w:val="0"/>
          <w:numId w:val="1"/>
        </w:numPr>
        <w:tabs>
          <w:tab w:val="left" w:pos="426"/>
        </w:tabs>
        <w:spacing w:line="226" w:lineRule="exact"/>
        <w:ind w:left="357" w:hanging="357"/>
        <w:rPr>
          <w:rStyle w:val="FontStyle18"/>
          <w:szCs w:val="18"/>
        </w:rPr>
      </w:pPr>
      <w:r w:rsidRPr="00713C23">
        <w:rPr>
          <w:rStyle w:val="FontStyle18"/>
          <w:szCs w:val="18"/>
        </w:rPr>
        <w:t xml:space="preserve">Dostarczone materiały eksploatacyjne muszą powinny być oryginalne lub równoważne z oryginalnymi. </w:t>
      </w:r>
      <w:r>
        <w:rPr>
          <w:rStyle w:val="FontStyle18"/>
          <w:szCs w:val="18"/>
        </w:rPr>
        <w:t xml:space="preserve">   </w:t>
      </w:r>
      <w:r w:rsidRPr="00713C23">
        <w:rPr>
          <w:rStyle w:val="FontStyle18"/>
          <w:szCs w:val="18"/>
        </w:rPr>
        <w:t>Zamawiający dopuszcza zaoferowanie materiałów równoważnych pod warunkiem, że zapewnią one uzyskanie parametrów technicznych równych lub lepszych niż materiały oryginalne tj. spełniające wymagania techniczne, funkcjonalne i jakościowe.</w:t>
      </w:r>
    </w:p>
    <w:p w14:paraId="700F987A" w14:textId="5B67C185" w:rsidR="00ED18A6" w:rsidRDefault="00ED18A6" w:rsidP="00825A5A">
      <w:pPr>
        <w:pStyle w:val="Style5"/>
        <w:widowControl/>
        <w:numPr>
          <w:ilvl w:val="0"/>
          <w:numId w:val="7"/>
        </w:numPr>
        <w:tabs>
          <w:tab w:val="left" w:pos="221"/>
        </w:tabs>
        <w:spacing w:line="226" w:lineRule="exact"/>
        <w:ind w:left="357" w:right="11" w:hanging="357"/>
        <w:rPr>
          <w:rStyle w:val="FontStyle18"/>
          <w:szCs w:val="18"/>
        </w:rPr>
      </w:pPr>
      <w:r>
        <w:rPr>
          <w:rStyle w:val="FontStyle18"/>
          <w:szCs w:val="18"/>
        </w:rPr>
        <w:t>Materiały muszą być dostarczane w nowych, nieuszkodzonych, nie noszących śladów otwierania jednostkowych opakowaniach zewnętrznych producenta, z zabezpieczeniami stosowanymi przez producenta (np. hologramy</w:t>
      </w:r>
      <w:r w:rsidRPr="008A4FFD">
        <w:rPr>
          <w:rStyle w:val="FontStyle18"/>
          <w:szCs w:val="18"/>
        </w:rPr>
        <w:t>). Bezpośrednio na opakowaniu zewnętrznym i bezpośrednio na obudowie produktu (kaseta, kartridż, wkład, itp.) muszą być umieszczone trwałe oznaczenia wskazujące nazwę producenta i symbol produktu.</w:t>
      </w:r>
      <w:r>
        <w:rPr>
          <w:rStyle w:val="FontStyle18"/>
          <w:szCs w:val="18"/>
        </w:rPr>
        <w:t xml:space="preserve"> Na opakowaniu zewnętrznym produktu musi być w sposób trwały naniesiona lista kompatybilności dla wskazanych w  opisie przedmiotu zamówienia typów urządzeń, do </w:t>
      </w:r>
      <w:r>
        <w:rPr>
          <w:rStyle w:val="FontStyle18"/>
          <w:szCs w:val="18"/>
        </w:rPr>
        <w:lastRenderedPageBreak/>
        <w:t xml:space="preserve">których dany materiał eksploatacyjny jest przystosowany. Zamawiający dopuszcza oznaczenie materiałów eksploatacyjnych poprzez przyklejenie etykiety/naklejki wskazującej nazwę producenta, symbol produktu i kompatybilność z urządzeniem. Nazwa producenta i symbol produktu </w:t>
      </w:r>
      <w:r w:rsidR="003C37A7">
        <w:rPr>
          <w:rStyle w:val="FontStyle18"/>
          <w:szCs w:val="18"/>
        </w:rPr>
        <w:t xml:space="preserve">musi </w:t>
      </w:r>
      <w:r>
        <w:rPr>
          <w:rStyle w:val="FontStyle18"/>
          <w:szCs w:val="18"/>
        </w:rPr>
        <w:t xml:space="preserve"> jednoznacznie identyfikować produkt.</w:t>
      </w:r>
    </w:p>
    <w:p w14:paraId="21597CEE" w14:textId="37B142B8" w:rsidR="00ED18A6" w:rsidRDefault="00ED18A6" w:rsidP="00825A5A">
      <w:pPr>
        <w:pStyle w:val="Style5"/>
        <w:widowControl/>
        <w:numPr>
          <w:ilvl w:val="0"/>
          <w:numId w:val="7"/>
        </w:numPr>
        <w:tabs>
          <w:tab w:val="left" w:pos="221"/>
        </w:tabs>
        <w:spacing w:line="226" w:lineRule="exact"/>
        <w:ind w:left="357" w:hanging="357"/>
        <w:rPr>
          <w:rStyle w:val="FontStyle18"/>
          <w:szCs w:val="18"/>
        </w:rPr>
      </w:pPr>
      <w:r>
        <w:rPr>
          <w:rStyle w:val="FontStyle18"/>
          <w:szCs w:val="18"/>
        </w:rPr>
        <w:t xml:space="preserve">Obudowa produktu (kaseta, kartridż, wkład, itp.) </w:t>
      </w:r>
      <w:r w:rsidR="003C37A7">
        <w:rPr>
          <w:rStyle w:val="FontStyle18"/>
          <w:szCs w:val="18"/>
        </w:rPr>
        <w:t xml:space="preserve">musi </w:t>
      </w:r>
      <w:r>
        <w:rPr>
          <w:rStyle w:val="FontStyle18"/>
          <w:szCs w:val="18"/>
        </w:rPr>
        <w:t xml:space="preserve"> być zamknięta hermetycznie w szczelną folię, o ile taki sposób zamknięcia posiada produkt oryginalny. Ponadto każdy moduł drukujący (kaseta z tonerem) musi być wyposażony w plombę; </w:t>
      </w:r>
      <w:r w:rsidR="003C37A7">
        <w:rPr>
          <w:rStyle w:val="FontStyle18"/>
          <w:szCs w:val="18"/>
        </w:rPr>
        <w:t xml:space="preserve">musi </w:t>
      </w:r>
      <w:r>
        <w:rPr>
          <w:rStyle w:val="FontStyle18"/>
          <w:szCs w:val="18"/>
        </w:rPr>
        <w:t xml:space="preserve"> ona mieć postać zrywanego przed rozpoczęciem użytkowania paska zabezpieczającego przed wysypaniem się lub zmianą właściwości tonera podczas transportu lub magazynowania; plomba może mieć również inną formę, jeśli gwarantuje zabezpieczenie przed wysypaniem się lub zmianą właściwości tonera podczas transportu lub magazynowania.</w:t>
      </w:r>
    </w:p>
    <w:p w14:paraId="011A6CA3" w14:textId="2B1820FA" w:rsidR="00ED18A6" w:rsidRDefault="00ED18A6" w:rsidP="00825A5A">
      <w:pPr>
        <w:pStyle w:val="Style5"/>
        <w:widowControl/>
        <w:numPr>
          <w:ilvl w:val="0"/>
          <w:numId w:val="7"/>
        </w:numPr>
        <w:tabs>
          <w:tab w:val="left" w:pos="221"/>
        </w:tabs>
        <w:spacing w:line="226" w:lineRule="exact"/>
        <w:ind w:left="357" w:right="10" w:hanging="357"/>
        <w:rPr>
          <w:rStyle w:val="FontStyle18"/>
          <w:szCs w:val="18"/>
        </w:rPr>
      </w:pPr>
      <w:r>
        <w:rPr>
          <w:rStyle w:val="FontStyle18"/>
          <w:szCs w:val="18"/>
        </w:rPr>
        <w:t>Oferowane przez Wykonawcę materiały eksploatacyjne muszą posiadać wymagane prawem atesty bezpieczeństwa i certyfikaty, oznakowanie CE i deklarację zgodności na potwierdzenie kompatybilności elektromagnetycznej zgodnie z dyrektywą 2014/30/UE.</w:t>
      </w:r>
    </w:p>
    <w:p w14:paraId="6DC66933" w14:textId="4F862A71" w:rsidR="00ED18A6" w:rsidRDefault="00ED18A6" w:rsidP="00825A5A">
      <w:pPr>
        <w:pStyle w:val="Style5"/>
        <w:widowControl/>
        <w:numPr>
          <w:ilvl w:val="0"/>
          <w:numId w:val="7"/>
        </w:numPr>
        <w:tabs>
          <w:tab w:val="left" w:pos="221"/>
        </w:tabs>
        <w:spacing w:line="226" w:lineRule="exact"/>
        <w:ind w:left="357" w:right="10" w:hanging="357"/>
        <w:rPr>
          <w:rStyle w:val="FontStyle18"/>
          <w:szCs w:val="18"/>
        </w:rPr>
      </w:pPr>
      <w:r w:rsidRPr="00825A5A">
        <w:rPr>
          <w:rStyle w:val="FontStyle18"/>
          <w:szCs w:val="18"/>
        </w:rPr>
        <w:t>Termin przydatności do użycia oraz gwarancja jakości na dostarczone materiały</w:t>
      </w:r>
      <w:r w:rsidRPr="00825A5A">
        <w:rPr>
          <w:rStyle w:val="FontStyle18"/>
          <w:szCs w:val="18"/>
        </w:rPr>
        <w:br/>
        <w:t xml:space="preserve">eksploatacyjne musi wynosić </w:t>
      </w:r>
      <w:r w:rsidR="00740425" w:rsidRPr="00825A5A">
        <w:rPr>
          <w:rStyle w:val="FontStyle18"/>
          <w:szCs w:val="18"/>
        </w:rPr>
        <w:t xml:space="preserve">co najmniej </w:t>
      </w:r>
      <w:r w:rsidRPr="00825A5A">
        <w:rPr>
          <w:rStyle w:val="FontStyle18"/>
          <w:szCs w:val="18"/>
        </w:rPr>
        <w:t xml:space="preserve"> 12 miesięcy od daty protokolarnego odbioru</w:t>
      </w:r>
      <w:r w:rsidRPr="00825A5A">
        <w:rPr>
          <w:rStyle w:val="FontStyle18"/>
          <w:szCs w:val="18"/>
        </w:rPr>
        <w:br/>
        <w:t>materiałów eksploatacyjnych, z zastrzeżeniem, iż okres udzielonej przez Wykonawcę</w:t>
      </w:r>
      <w:r w:rsidRPr="00825A5A">
        <w:rPr>
          <w:rStyle w:val="FontStyle18"/>
          <w:szCs w:val="18"/>
        </w:rPr>
        <w:br/>
        <w:t>gwarancji nie może być krótszy niż okres gwarancji udzielonej przez producenta.</w:t>
      </w:r>
    </w:p>
    <w:p w14:paraId="6FBECE60" w14:textId="01E5A455" w:rsidR="00ED18A6" w:rsidRPr="00825A5A" w:rsidRDefault="007D4E84" w:rsidP="00825A5A">
      <w:pPr>
        <w:pStyle w:val="Style5"/>
        <w:widowControl/>
        <w:numPr>
          <w:ilvl w:val="0"/>
          <w:numId w:val="7"/>
        </w:numPr>
        <w:tabs>
          <w:tab w:val="left" w:pos="221"/>
        </w:tabs>
        <w:spacing w:line="226" w:lineRule="exact"/>
        <w:ind w:left="357" w:right="10" w:hanging="357"/>
        <w:rPr>
          <w:rStyle w:val="FontStyle18"/>
          <w:szCs w:val="18"/>
        </w:rPr>
      </w:pPr>
      <w:r w:rsidRPr="00825A5A">
        <w:rPr>
          <w:rStyle w:val="FontStyle18"/>
          <w:szCs w:val="18"/>
        </w:rPr>
        <w:t>Liczb</w:t>
      </w:r>
      <w:r w:rsidR="000D215D" w:rsidRPr="00825A5A">
        <w:rPr>
          <w:rStyle w:val="FontStyle18"/>
          <w:szCs w:val="18"/>
        </w:rPr>
        <w:t>y</w:t>
      </w:r>
      <w:r w:rsidRPr="00825A5A">
        <w:rPr>
          <w:rStyle w:val="FontStyle18"/>
          <w:szCs w:val="18"/>
        </w:rPr>
        <w:t xml:space="preserve"> </w:t>
      </w:r>
      <w:r w:rsidR="00ED18A6" w:rsidRPr="00825A5A">
        <w:rPr>
          <w:rStyle w:val="FontStyle18"/>
          <w:szCs w:val="18"/>
        </w:rPr>
        <w:t xml:space="preserve"> wskazane w  opisie przedmiotu zamówienia są wielkościami</w:t>
      </w:r>
      <w:r w:rsidR="00825A5A">
        <w:rPr>
          <w:rStyle w:val="FontStyle18"/>
          <w:szCs w:val="18"/>
        </w:rPr>
        <w:t xml:space="preserve"> </w:t>
      </w:r>
      <w:r w:rsidR="00ED18A6" w:rsidRPr="00825A5A">
        <w:rPr>
          <w:rStyle w:val="FontStyle18"/>
          <w:szCs w:val="18"/>
        </w:rPr>
        <w:t>orientacyjnymi, ustalonymi na</w:t>
      </w:r>
      <w:r w:rsidR="00825A5A">
        <w:rPr>
          <w:rStyle w:val="FontStyle18"/>
          <w:szCs w:val="18"/>
        </w:rPr>
        <w:t xml:space="preserve"> </w:t>
      </w:r>
      <w:r w:rsidR="00ED18A6" w:rsidRPr="00825A5A">
        <w:rPr>
          <w:rStyle w:val="FontStyle18"/>
          <w:szCs w:val="18"/>
        </w:rPr>
        <w:t>podstawie zużycia w okresie ostatnich 12 miesięcy oraz jako</w:t>
      </w:r>
      <w:r w:rsidR="00825A5A">
        <w:rPr>
          <w:rStyle w:val="FontStyle18"/>
          <w:szCs w:val="18"/>
        </w:rPr>
        <w:t xml:space="preserve"> </w:t>
      </w:r>
      <w:r w:rsidR="00ED18A6" w:rsidRPr="00825A5A">
        <w:rPr>
          <w:rStyle w:val="FontStyle18"/>
          <w:szCs w:val="18"/>
        </w:rPr>
        <w:t xml:space="preserve">przewidywane zapotrzebowanie. </w:t>
      </w:r>
      <w:r w:rsidRPr="00825A5A">
        <w:rPr>
          <w:rStyle w:val="FontStyle18"/>
          <w:szCs w:val="18"/>
        </w:rPr>
        <w:t>Liczb</w:t>
      </w:r>
      <w:r w:rsidR="000D215D" w:rsidRPr="00825A5A">
        <w:rPr>
          <w:rStyle w:val="FontStyle18"/>
          <w:szCs w:val="18"/>
        </w:rPr>
        <w:t>y</w:t>
      </w:r>
      <w:r w:rsidR="00825A5A">
        <w:rPr>
          <w:rStyle w:val="FontStyle18"/>
          <w:szCs w:val="18"/>
        </w:rPr>
        <w:t xml:space="preserve"> </w:t>
      </w:r>
      <w:r w:rsidR="00ED18A6" w:rsidRPr="00825A5A">
        <w:rPr>
          <w:rStyle w:val="FontStyle18"/>
          <w:szCs w:val="18"/>
        </w:rPr>
        <w:t>te przyjęte będą do wyceny i porównania ofert oraz</w:t>
      </w:r>
      <w:r w:rsidR="00825A5A">
        <w:rPr>
          <w:rStyle w:val="FontStyle18"/>
          <w:szCs w:val="18"/>
        </w:rPr>
        <w:t xml:space="preserve"> </w:t>
      </w:r>
      <w:r w:rsidR="00ED18A6" w:rsidRPr="00825A5A">
        <w:rPr>
          <w:rStyle w:val="FontStyle18"/>
          <w:szCs w:val="18"/>
        </w:rPr>
        <w:t>wyboru oferty najkorzystniejszej, jednakże</w:t>
      </w:r>
      <w:r w:rsidR="00825A5A">
        <w:rPr>
          <w:rStyle w:val="FontStyle18"/>
          <w:szCs w:val="18"/>
        </w:rPr>
        <w:t xml:space="preserve"> </w:t>
      </w:r>
      <w:r w:rsidR="00ED18A6" w:rsidRPr="00825A5A">
        <w:rPr>
          <w:rStyle w:val="FontStyle18"/>
          <w:szCs w:val="18"/>
        </w:rPr>
        <w:t>Zamawiający może realizować umowę zgodnie</w:t>
      </w:r>
      <w:r w:rsidR="00825A5A">
        <w:rPr>
          <w:rStyle w:val="FontStyle18"/>
          <w:szCs w:val="18"/>
        </w:rPr>
        <w:t xml:space="preserve"> </w:t>
      </w:r>
      <w:r w:rsidR="00ED18A6" w:rsidRPr="00825A5A">
        <w:rPr>
          <w:rStyle w:val="FontStyle18"/>
          <w:szCs w:val="18"/>
        </w:rPr>
        <w:t>z aktualnym zapotrzebowaniem, do wysokości zabezpieczonych w umowie środków, a Wykonawcy nie służy roszczenie o realizację umowy w wielkościach podanych w umowie.</w:t>
      </w:r>
    </w:p>
    <w:p w14:paraId="06002034" w14:textId="36239916" w:rsidR="00ED18A6" w:rsidRDefault="00ED18A6" w:rsidP="00825A5A">
      <w:pPr>
        <w:pStyle w:val="Style5"/>
        <w:widowControl/>
        <w:tabs>
          <w:tab w:val="left" w:pos="346"/>
        </w:tabs>
        <w:spacing w:line="230" w:lineRule="exact"/>
        <w:ind w:left="357" w:hanging="357"/>
        <w:rPr>
          <w:rStyle w:val="FontStyle18"/>
          <w:szCs w:val="18"/>
        </w:rPr>
      </w:pPr>
      <w:r>
        <w:rPr>
          <w:rStyle w:val="FontStyle18"/>
          <w:szCs w:val="18"/>
        </w:rPr>
        <w:t>1</w:t>
      </w:r>
      <w:r w:rsidR="003C37A7">
        <w:rPr>
          <w:rStyle w:val="FontStyle18"/>
          <w:szCs w:val="18"/>
        </w:rPr>
        <w:t>1</w:t>
      </w:r>
      <w:r>
        <w:rPr>
          <w:rStyle w:val="FontStyle18"/>
          <w:szCs w:val="18"/>
        </w:rPr>
        <w:t>.</w:t>
      </w:r>
      <w:r>
        <w:rPr>
          <w:rStyle w:val="FontStyle18"/>
          <w:szCs w:val="18"/>
        </w:rPr>
        <w:tab/>
        <w:t>W przypadku wycofania danego materiału eksploatacyjnego z produkcji przez producenta</w:t>
      </w:r>
      <w:r>
        <w:rPr>
          <w:rStyle w:val="FontStyle18"/>
          <w:szCs w:val="18"/>
        </w:rPr>
        <w:br/>
        <w:t>Wykonawca zobowiązany będzie do zaoferowania Zamawiającemu materiału</w:t>
      </w:r>
      <w:r>
        <w:rPr>
          <w:rStyle w:val="FontStyle18"/>
          <w:szCs w:val="18"/>
        </w:rPr>
        <w:br/>
        <w:t>eksploatacyjnego o parametrach nie gorszych niż wskazane w  opisie</w:t>
      </w:r>
      <w:r>
        <w:rPr>
          <w:rStyle w:val="FontStyle18"/>
          <w:szCs w:val="18"/>
        </w:rPr>
        <w:br/>
        <w:t>przedmiotu zamówienia w cenie wskazanej w ofercie Wykonawcy po uprzednim</w:t>
      </w:r>
      <w:r>
        <w:rPr>
          <w:rStyle w:val="FontStyle18"/>
          <w:szCs w:val="18"/>
        </w:rPr>
        <w:br/>
        <w:t>przedstawieniu Zamawiającemu proponowanego materiału do akceptacji i uzyskaniu</w:t>
      </w:r>
      <w:r>
        <w:rPr>
          <w:rStyle w:val="FontStyle18"/>
          <w:szCs w:val="18"/>
        </w:rPr>
        <w:br/>
        <w:t>pisemnej aprobaty Zamawiającego a nowy materiał eksploatacyjny będzie spełniał wszystkie</w:t>
      </w:r>
      <w:r>
        <w:rPr>
          <w:rStyle w:val="FontStyle18"/>
          <w:szCs w:val="18"/>
        </w:rPr>
        <w:br/>
        <w:t>wymagania Zamawiającego, określone na etapie postępowania przetargowego.</w:t>
      </w:r>
    </w:p>
    <w:p w14:paraId="0E2840EF" w14:textId="2B9C6EC7" w:rsidR="00ED18A6" w:rsidRPr="00875846" w:rsidRDefault="00ED18A6" w:rsidP="00875846">
      <w:pPr>
        <w:suppressAutoHyphens/>
        <w:overflowPunct w:val="0"/>
        <w:rPr>
          <w:kern w:val="2"/>
          <w:sz w:val="18"/>
          <w:szCs w:val="18"/>
          <w:lang w:eastAsia="ar-SA"/>
        </w:rPr>
      </w:pPr>
    </w:p>
    <w:sectPr w:rsidR="00ED18A6" w:rsidRPr="00875846" w:rsidSect="00F27E89">
      <w:footerReference w:type="default" r:id="rId8"/>
      <w:headerReference w:type="first" r:id="rId9"/>
      <w:footerReference w:type="first" r:id="rId10"/>
      <w:type w:val="continuous"/>
      <w:pgSz w:w="11905" w:h="16837"/>
      <w:pgMar w:top="1084" w:right="1814" w:bottom="1234" w:left="1566"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8000" w14:textId="77777777" w:rsidR="00C328F7" w:rsidRDefault="00C328F7">
      <w:r>
        <w:separator/>
      </w:r>
    </w:p>
  </w:endnote>
  <w:endnote w:type="continuationSeparator" w:id="0">
    <w:p w14:paraId="698FEFE7" w14:textId="77777777" w:rsidR="00C328F7" w:rsidRDefault="00C3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061444"/>
      <w:docPartObj>
        <w:docPartGallery w:val="Page Numbers (Bottom of Page)"/>
        <w:docPartUnique/>
      </w:docPartObj>
    </w:sdtPr>
    <w:sdtEndPr>
      <w:rPr>
        <w:sz w:val="18"/>
        <w:szCs w:val="18"/>
      </w:rPr>
    </w:sdtEndPr>
    <w:sdtContent>
      <w:p w14:paraId="4CB34448" w14:textId="72D6ED50" w:rsidR="007512B2" w:rsidRPr="007512B2" w:rsidRDefault="007512B2">
        <w:pPr>
          <w:pStyle w:val="Stopka"/>
          <w:jc w:val="right"/>
          <w:rPr>
            <w:sz w:val="18"/>
            <w:szCs w:val="18"/>
          </w:rPr>
        </w:pPr>
        <w:r w:rsidRPr="007512B2">
          <w:rPr>
            <w:sz w:val="18"/>
            <w:szCs w:val="18"/>
          </w:rPr>
          <w:fldChar w:fldCharType="begin"/>
        </w:r>
        <w:r w:rsidRPr="007512B2">
          <w:rPr>
            <w:sz w:val="18"/>
            <w:szCs w:val="18"/>
          </w:rPr>
          <w:instrText>PAGE   \* MERGEFORMAT</w:instrText>
        </w:r>
        <w:r w:rsidRPr="007512B2">
          <w:rPr>
            <w:sz w:val="18"/>
            <w:szCs w:val="18"/>
          </w:rPr>
          <w:fldChar w:fldCharType="separate"/>
        </w:r>
        <w:r w:rsidRPr="007512B2">
          <w:rPr>
            <w:sz w:val="18"/>
            <w:szCs w:val="18"/>
          </w:rPr>
          <w:t>2</w:t>
        </w:r>
        <w:r w:rsidRPr="007512B2">
          <w:rPr>
            <w:sz w:val="18"/>
            <w:szCs w:val="18"/>
          </w:rPr>
          <w:fldChar w:fldCharType="end"/>
        </w:r>
      </w:p>
    </w:sdtContent>
  </w:sdt>
  <w:p w14:paraId="0C70C571" w14:textId="77777777" w:rsidR="007512B2" w:rsidRDefault="007512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2523"/>
      <w:docPartObj>
        <w:docPartGallery w:val="Page Numbers (Bottom of Page)"/>
        <w:docPartUnique/>
      </w:docPartObj>
    </w:sdtPr>
    <w:sdtEndPr>
      <w:rPr>
        <w:sz w:val="18"/>
        <w:szCs w:val="18"/>
      </w:rPr>
    </w:sdtEndPr>
    <w:sdtContent>
      <w:p w14:paraId="30BF1CDF" w14:textId="6EFD4675" w:rsidR="007512B2" w:rsidRPr="007512B2" w:rsidRDefault="007512B2">
        <w:pPr>
          <w:pStyle w:val="Stopka"/>
          <w:jc w:val="right"/>
          <w:rPr>
            <w:sz w:val="18"/>
            <w:szCs w:val="18"/>
          </w:rPr>
        </w:pPr>
        <w:r w:rsidRPr="007512B2">
          <w:rPr>
            <w:sz w:val="18"/>
            <w:szCs w:val="18"/>
          </w:rPr>
          <w:fldChar w:fldCharType="begin"/>
        </w:r>
        <w:r w:rsidRPr="007512B2">
          <w:rPr>
            <w:sz w:val="18"/>
            <w:szCs w:val="18"/>
          </w:rPr>
          <w:instrText>PAGE   \* MERGEFORMAT</w:instrText>
        </w:r>
        <w:r w:rsidRPr="007512B2">
          <w:rPr>
            <w:sz w:val="18"/>
            <w:szCs w:val="18"/>
          </w:rPr>
          <w:fldChar w:fldCharType="separate"/>
        </w:r>
        <w:r w:rsidRPr="007512B2">
          <w:rPr>
            <w:sz w:val="18"/>
            <w:szCs w:val="18"/>
          </w:rPr>
          <w:t>2</w:t>
        </w:r>
        <w:r w:rsidRPr="007512B2">
          <w:rPr>
            <w:sz w:val="18"/>
            <w:szCs w:val="18"/>
          </w:rPr>
          <w:fldChar w:fldCharType="end"/>
        </w:r>
      </w:p>
    </w:sdtContent>
  </w:sdt>
  <w:p w14:paraId="608B2F29" w14:textId="77777777" w:rsidR="007512B2" w:rsidRDefault="007512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BE4F" w14:textId="77777777" w:rsidR="00C328F7" w:rsidRDefault="00C328F7">
      <w:r>
        <w:separator/>
      </w:r>
    </w:p>
  </w:footnote>
  <w:footnote w:type="continuationSeparator" w:id="0">
    <w:p w14:paraId="22099CD4" w14:textId="77777777" w:rsidR="00C328F7" w:rsidRDefault="00C3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902" w14:textId="77777777" w:rsidR="00575C72" w:rsidRPr="00575C72" w:rsidRDefault="00575C72" w:rsidP="00575C72">
    <w:pPr>
      <w:pStyle w:val="Style2"/>
      <w:widowControl/>
      <w:ind w:right="101"/>
      <w:jc w:val="right"/>
      <w:rPr>
        <w:rStyle w:val="FontStyle18"/>
        <w:szCs w:val="18"/>
        <w:u w:val="single"/>
      </w:rPr>
    </w:pPr>
    <w:r w:rsidRPr="00575C72">
      <w:rPr>
        <w:rStyle w:val="FontStyle18"/>
        <w:szCs w:val="18"/>
        <w:u w:val="single"/>
      </w:rPr>
      <w:t>DIRS-XX.2420.103.2025</w:t>
    </w:r>
  </w:p>
  <w:p w14:paraId="29A4C3AA" w14:textId="7AD00B99" w:rsidR="00575C72" w:rsidRPr="00575C72" w:rsidRDefault="00575C72" w:rsidP="00575C72">
    <w:pPr>
      <w:pStyle w:val="Style2"/>
      <w:widowControl/>
      <w:ind w:right="101"/>
      <w:jc w:val="right"/>
      <w:rPr>
        <w:rStyle w:val="FontStyle18"/>
        <w:szCs w:val="18"/>
        <w:u w:val="single"/>
      </w:rPr>
    </w:pPr>
    <w:r w:rsidRPr="00575C72">
      <w:rPr>
        <w:rStyle w:val="FontStyle18"/>
        <w:szCs w:val="18"/>
        <w:u w:val="single"/>
      </w:rPr>
      <w:t xml:space="preserve">Załącznik nr </w:t>
    </w:r>
    <w:r>
      <w:rPr>
        <w:rStyle w:val="FontStyle18"/>
        <w:szCs w:val="18"/>
        <w:u w:val="single"/>
      </w:rPr>
      <w:t>2</w:t>
    </w:r>
    <w:r w:rsidRPr="00575C72">
      <w:rPr>
        <w:rStyle w:val="FontStyle18"/>
        <w:szCs w:val="18"/>
        <w:u w:val="single"/>
      </w:rPr>
      <w:t xml:space="preserve"> do Zaproszenia do udziału w rozeznaniu rynku</w:t>
    </w:r>
  </w:p>
  <w:p w14:paraId="3C9CD03D" w14:textId="4B9A8F1D" w:rsidR="002A3058" w:rsidRDefault="002A3058" w:rsidP="002A3058">
    <w:pPr>
      <w:pStyle w:val="Style2"/>
      <w:widowControl/>
      <w:ind w:right="101"/>
      <w:jc w:val="right"/>
      <w:rPr>
        <w:rStyle w:val="FontStyle18"/>
        <w:szCs w:val="18"/>
        <w:u w:val="single"/>
      </w:rPr>
    </w:pPr>
  </w:p>
  <w:p w14:paraId="4F39CA1C" w14:textId="77777777" w:rsidR="002A3058" w:rsidRDefault="002A3058" w:rsidP="002A305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DE65128"/>
    <w:multiLevelType w:val="multilevel"/>
    <w:tmpl w:val="FFFFFFFF"/>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rPr>
        <w:rFonts w:cs="Times New Roman"/>
      </w:rPr>
    </w:lvl>
    <w:lvl w:ilvl="2">
      <w:start w:val="1"/>
      <w:numFmt w:val="decimal"/>
      <w:lvlText w:val="%3."/>
      <w:lvlJc w:val="left"/>
      <w:pPr>
        <w:tabs>
          <w:tab w:val="num" w:pos="1146"/>
        </w:tabs>
        <w:ind w:left="1146" w:hanging="720"/>
      </w:pPr>
      <w:rPr>
        <w:rFonts w:ascii="Arial" w:eastAsia="Times New Roman" w:hAnsi="Arial" w:cs="Arial" w:hint="default"/>
        <w:b w:val="0"/>
      </w:rPr>
    </w:lvl>
    <w:lvl w:ilvl="3">
      <w:start w:val="1"/>
      <w:numFmt w:val="decimal"/>
      <w:lvlText w:val="%4)"/>
      <w:lvlJc w:val="left"/>
      <w:pPr>
        <w:ind w:left="2238" w:hanging="360"/>
      </w:pPr>
      <w:rPr>
        <w:rFonts w:cs="Times New Roman"/>
      </w:r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2" w15:restartNumberingAfterBreak="0">
    <w:nsid w:val="2300626C"/>
    <w:multiLevelType w:val="singleLevel"/>
    <w:tmpl w:val="FFFFFFFF"/>
    <w:lvl w:ilvl="0">
      <w:start w:val="2"/>
      <w:numFmt w:val="decimal"/>
      <w:lvlText w:val="%1."/>
      <w:legacy w:legacy="1" w:legacySpace="0" w:legacyIndent="302"/>
      <w:lvlJc w:val="left"/>
      <w:rPr>
        <w:rFonts w:ascii="Arial" w:hAnsi="Arial" w:cs="Arial" w:hint="default"/>
      </w:rPr>
    </w:lvl>
  </w:abstractNum>
  <w:abstractNum w:abstractNumId="3" w15:restartNumberingAfterBreak="0">
    <w:nsid w:val="3DC8554D"/>
    <w:multiLevelType w:val="singleLevel"/>
    <w:tmpl w:val="FFFFFFFF"/>
    <w:lvl w:ilvl="0">
      <w:start w:val="1"/>
      <w:numFmt w:val="decimal"/>
      <w:lvlText w:val="%1."/>
      <w:legacy w:legacy="1" w:legacySpace="0" w:legacyIndent="355"/>
      <w:lvlJc w:val="left"/>
      <w:rPr>
        <w:rFonts w:ascii="Arial" w:hAnsi="Arial" w:cs="Arial" w:hint="default"/>
      </w:rPr>
    </w:lvl>
  </w:abstractNum>
  <w:abstractNum w:abstractNumId="4" w15:restartNumberingAfterBreak="0">
    <w:nsid w:val="4AF73CC6"/>
    <w:multiLevelType w:val="singleLevel"/>
    <w:tmpl w:val="FFFFFFFF"/>
    <w:lvl w:ilvl="0">
      <w:start w:val="4"/>
      <w:numFmt w:val="decimal"/>
      <w:lvlText w:val="%1."/>
      <w:legacy w:legacy="1" w:legacySpace="0" w:legacyIndent="221"/>
      <w:lvlJc w:val="left"/>
      <w:rPr>
        <w:rFonts w:ascii="Arial" w:hAnsi="Arial" w:cs="Arial" w:hint="default"/>
      </w:rPr>
    </w:lvl>
  </w:abstractNum>
  <w:abstractNum w:abstractNumId="5" w15:restartNumberingAfterBreak="0">
    <w:nsid w:val="4EB95EE6"/>
    <w:multiLevelType w:val="singleLevel"/>
    <w:tmpl w:val="FFFFFFFF"/>
    <w:lvl w:ilvl="0">
      <w:start w:val="1"/>
      <w:numFmt w:val="decimal"/>
      <w:lvlText w:val="%1)"/>
      <w:legacy w:legacy="1" w:legacySpace="0" w:legacyIndent="278"/>
      <w:lvlJc w:val="left"/>
      <w:rPr>
        <w:rFonts w:ascii="Arial" w:hAnsi="Arial" w:cs="Arial" w:hint="default"/>
      </w:rPr>
    </w:lvl>
  </w:abstractNum>
  <w:abstractNum w:abstractNumId="6" w15:restartNumberingAfterBreak="0">
    <w:nsid w:val="63AA46E8"/>
    <w:multiLevelType w:val="singleLevel"/>
    <w:tmpl w:val="FFFFFFFF"/>
    <w:lvl w:ilvl="0">
      <w:start w:val="2"/>
      <w:numFmt w:val="decimal"/>
      <w:lvlText w:val="%1."/>
      <w:legacy w:legacy="1" w:legacySpace="0" w:legacyIndent="298"/>
      <w:lvlJc w:val="left"/>
      <w:rPr>
        <w:rFonts w:ascii="Arial" w:hAnsi="Arial" w:cs="Arial" w:hint="default"/>
      </w:rPr>
    </w:lvl>
  </w:abstractNum>
  <w:abstractNum w:abstractNumId="7" w15:restartNumberingAfterBreak="0">
    <w:nsid w:val="797D7A13"/>
    <w:multiLevelType w:val="singleLevel"/>
    <w:tmpl w:val="FFFFFFFF"/>
    <w:lvl w:ilvl="0">
      <w:start w:val="6"/>
      <w:numFmt w:val="decimal"/>
      <w:lvlText w:val="%1."/>
      <w:legacy w:legacy="1" w:legacySpace="0" w:legacyIndent="221"/>
      <w:lvlJc w:val="left"/>
      <w:rPr>
        <w:rFonts w:ascii="Arial" w:hAnsi="Arial" w:cs="Arial" w:hint="default"/>
      </w:rPr>
    </w:lvl>
  </w:abstractNum>
  <w:abstractNum w:abstractNumId="8" w15:restartNumberingAfterBreak="0">
    <w:nsid w:val="798B0DA6"/>
    <w:multiLevelType w:val="hybridMultilevel"/>
    <w:tmpl w:val="F7A07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7735375">
    <w:abstractNumId w:val="3"/>
  </w:num>
  <w:num w:numId="2" w16cid:durableId="594243453">
    <w:abstractNumId w:val="5"/>
  </w:num>
  <w:num w:numId="3" w16cid:durableId="1466002588">
    <w:abstractNumId w:val="4"/>
  </w:num>
  <w:num w:numId="4" w16cid:durableId="1658457422">
    <w:abstractNumId w:val="0"/>
    <w:lvlOverride w:ilvl="0">
      <w:lvl w:ilvl="0">
        <w:numFmt w:val="bullet"/>
        <w:lvlText w:val="-"/>
        <w:legacy w:legacy="1" w:legacySpace="0" w:legacyIndent="288"/>
        <w:lvlJc w:val="left"/>
        <w:rPr>
          <w:rFonts w:ascii="Arial" w:hAnsi="Arial" w:hint="default"/>
        </w:rPr>
      </w:lvl>
    </w:lvlOverride>
  </w:num>
  <w:num w:numId="5" w16cid:durableId="715156416">
    <w:abstractNumId w:val="0"/>
    <w:lvlOverride w:ilvl="0">
      <w:lvl w:ilvl="0">
        <w:numFmt w:val="bullet"/>
        <w:lvlText w:val="-"/>
        <w:legacy w:legacy="1" w:legacySpace="0" w:legacyIndent="139"/>
        <w:lvlJc w:val="left"/>
        <w:rPr>
          <w:rFonts w:ascii="Arial" w:hAnsi="Arial" w:hint="default"/>
        </w:rPr>
      </w:lvl>
    </w:lvlOverride>
  </w:num>
  <w:num w:numId="6" w16cid:durableId="2063946246">
    <w:abstractNumId w:val="0"/>
    <w:lvlOverride w:ilvl="0">
      <w:lvl w:ilvl="0">
        <w:numFmt w:val="bullet"/>
        <w:lvlText w:val="-"/>
        <w:legacy w:legacy="1" w:legacySpace="0" w:legacyIndent="293"/>
        <w:lvlJc w:val="left"/>
        <w:rPr>
          <w:rFonts w:ascii="Arial" w:hAnsi="Arial" w:hint="default"/>
        </w:rPr>
      </w:lvl>
    </w:lvlOverride>
  </w:num>
  <w:num w:numId="7" w16cid:durableId="1682006638">
    <w:abstractNumId w:val="7"/>
  </w:num>
  <w:num w:numId="8" w16cid:durableId="1766877057">
    <w:abstractNumId w:val="6"/>
  </w:num>
  <w:num w:numId="9" w16cid:durableId="462233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503034">
    <w:abstractNumId w:val="2"/>
    <w:lvlOverride w:ilvl="0">
      <w:startOverride w:val="2"/>
    </w:lvlOverride>
  </w:num>
  <w:num w:numId="11" w16cid:durableId="1797022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E"/>
    <w:rsid w:val="0004088F"/>
    <w:rsid w:val="000525F8"/>
    <w:rsid w:val="00052C1B"/>
    <w:rsid w:val="00074ACB"/>
    <w:rsid w:val="000A7034"/>
    <w:rsid w:val="000D215D"/>
    <w:rsid w:val="00127015"/>
    <w:rsid w:val="001C5B66"/>
    <w:rsid w:val="001D75BE"/>
    <w:rsid w:val="001F10C0"/>
    <w:rsid w:val="00200347"/>
    <w:rsid w:val="002766EB"/>
    <w:rsid w:val="0028093B"/>
    <w:rsid w:val="002A3058"/>
    <w:rsid w:val="002D1FCE"/>
    <w:rsid w:val="002D3F1C"/>
    <w:rsid w:val="002D440C"/>
    <w:rsid w:val="00336647"/>
    <w:rsid w:val="00342264"/>
    <w:rsid w:val="00383D32"/>
    <w:rsid w:val="003876DF"/>
    <w:rsid w:val="003B0A7F"/>
    <w:rsid w:val="003C37A7"/>
    <w:rsid w:val="003C5A9A"/>
    <w:rsid w:val="003C5ECA"/>
    <w:rsid w:val="00427FC4"/>
    <w:rsid w:val="0045146D"/>
    <w:rsid w:val="00462BED"/>
    <w:rsid w:val="004751B7"/>
    <w:rsid w:val="004B4813"/>
    <w:rsid w:val="004D5084"/>
    <w:rsid w:val="004D5309"/>
    <w:rsid w:val="00575C72"/>
    <w:rsid w:val="00583518"/>
    <w:rsid w:val="005A7EF4"/>
    <w:rsid w:val="005B6776"/>
    <w:rsid w:val="00614A87"/>
    <w:rsid w:val="00620446"/>
    <w:rsid w:val="0063465C"/>
    <w:rsid w:val="006E5464"/>
    <w:rsid w:val="00713C23"/>
    <w:rsid w:val="007178C7"/>
    <w:rsid w:val="00724151"/>
    <w:rsid w:val="00740425"/>
    <w:rsid w:val="007512B2"/>
    <w:rsid w:val="00751836"/>
    <w:rsid w:val="007660E8"/>
    <w:rsid w:val="00767CFA"/>
    <w:rsid w:val="00767F86"/>
    <w:rsid w:val="007763FE"/>
    <w:rsid w:val="007B7CAD"/>
    <w:rsid w:val="007D413A"/>
    <w:rsid w:val="007D4E84"/>
    <w:rsid w:val="00807802"/>
    <w:rsid w:val="00825A5A"/>
    <w:rsid w:val="008655EF"/>
    <w:rsid w:val="00875846"/>
    <w:rsid w:val="008A27E4"/>
    <w:rsid w:val="008A4FFD"/>
    <w:rsid w:val="008D70B7"/>
    <w:rsid w:val="008E38F9"/>
    <w:rsid w:val="009647C6"/>
    <w:rsid w:val="00970ADB"/>
    <w:rsid w:val="009A4265"/>
    <w:rsid w:val="00A85490"/>
    <w:rsid w:val="00AA3CC9"/>
    <w:rsid w:val="00AD2C17"/>
    <w:rsid w:val="00BD430B"/>
    <w:rsid w:val="00C04F0F"/>
    <w:rsid w:val="00C328F7"/>
    <w:rsid w:val="00C62C04"/>
    <w:rsid w:val="00CF4B44"/>
    <w:rsid w:val="00D32E3E"/>
    <w:rsid w:val="00D41816"/>
    <w:rsid w:val="00D97516"/>
    <w:rsid w:val="00DA4EB3"/>
    <w:rsid w:val="00DC6ECF"/>
    <w:rsid w:val="00E23225"/>
    <w:rsid w:val="00E41C51"/>
    <w:rsid w:val="00E571AC"/>
    <w:rsid w:val="00ED18A6"/>
    <w:rsid w:val="00EE03D9"/>
    <w:rsid w:val="00F27E89"/>
    <w:rsid w:val="00F4620D"/>
    <w:rsid w:val="00F7203D"/>
    <w:rsid w:val="00F80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2AE49"/>
  <w14:defaultImageDpi w14:val="0"/>
  <w15:docId w15:val="{E68CEB0C-F515-4DB5-BE04-B960EA0E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pPr>
      <w:spacing w:line="230" w:lineRule="exact"/>
      <w:ind w:hanging="355"/>
      <w:jc w:val="both"/>
    </w:pPr>
  </w:style>
  <w:style w:type="paragraph" w:customStyle="1" w:styleId="Style5">
    <w:name w:val="Style5"/>
    <w:basedOn w:val="Normalny"/>
    <w:uiPriority w:val="99"/>
    <w:pPr>
      <w:spacing w:line="229" w:lineRule="exact"/>
      <w:ind w:hanging="278"/>
      <w:jc w:val="both"/>
    </w:pPr>
  </w:style>
  <w:style w:type="paragraph" w:customStyle="1" w:styleId="Style6">
    <w:name w:val="Style6"/>
    <w:basedOn w:val="Normalny"/>
    <w:uiPriority w:val="99"/>
    <w:pPr>
      <w:spacing w:line="230"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230" w:lineRule="exact"/>
      <w:jc w:val="both"/>
    </w:pPr>
  </w:style>
  <w:style w:type="paragraph" w:customStyle="1" w:styleId="Style9">
    <w:name w:val="Style9"/>
    <w:basedOn w:val="Normalny"/>
    <w:uiPriority w:val="99"/>
    <w:pPr>
      <w:spacing w:line="230" w:lineRule="exact"/>
      <w:jc w:val="center"/>
    </w:pPr>
  </w:style>
  <w:style w:type="paragraph" w:customStyle="1" w:styleId="Style10">
    <w:name w:val="Style10"/>
    <w:basedOn w:val="Normalny"/>
    <w:uiPriority w:val="99"/>
  </w:style>
  <w:style w:type="paragraph" w:customStyle="1" w:styleId="Style11">
    <w:name w:val="Style11"/>
    <w:basedOn w:val="Normalny"/>
    <w:uiPriority w:val="99"/>
    <w:pPr>
      <w:spacing w:line="230" w:lineRule="exact"/>
      <w:ind w:hanging="850"/>
    </w:pPr>
  </w:style>
  <w:style w:type="paragraph" w:customStyle="1" w:styleId="Style12">
    <w:name w:val="Style12"/>
    <w:basedOn w:val="Normalny"/>
    <w:uiPriority w:val="99"/>
    <w:pPr>
      <w:spacing w:line="230" w:lineRule="exact"/>
    </w:pPr>
  </w:style>
  <w:style w:type="paragraph" w:customStyle="1" w:styleId="Style13">
    <w:name w:val="Style13"/>
    <w:basedOn w:val="Normalny"/>
    <w:uiPriority w:val="99"/>
    <w:pPr>
      <w:spacing w:line="230" w:lineRule="exact"/>
      <w:jc w:val="center"/>
    </w:pPr>
  </w:style>
  <w:style w:type="character" w:customStyle="1" w:styleId="FontStyle15">
    <w:name w:val="Font Style15"/>
    <w:uiPriority w:val="99"/>
    <w:rPr>
      <w:rFonts w:ascii="Arial" w:hAnsi="Arial"/>
      <w:b/>
      <w:sz w:val="22"/>
    </w:rPr>
  </w:style>
  <w:style w:type="character" w:customStyle="1" w:styleId="FontStyle16">
    <w:name w:val="Font Style16"/>
    <w:uiPriority w:val="99"/>
    <w:rPr>
      <w:rFonts w:ascii="Arial" w:hAnsi="Arial"/>
      <w:i/>
      <w:sz w:val="18"/>
    </w:rPr>
  </w:style>
  <w:style w:type="character" w:customStyle="1" w:styleId="FontStyle17">
    <w:name w:val="Font Style17"/>
    <w:uiPriority w:val="99"/>
    <w:rPr>
      <w:rFonts w:ascii="Arial" w:hAnsi="Arial"/>
      <w:b/>
      <w:sz w:val="18"/>
    </w:rPr>
  </w:style>
  <w:style w:type="character" w:customStyle="1" w:styleId="FontStyle18">
    <w:name w:val="Font Style18"/>
    <w:uiPriority w:val="99"/>
    <w:rPr>
      <w:rFonts w:ascii="Arial" w:hAnsi="Arial"/>
      <w:sz w:val="18"/>
    </w:rPr>
  </w:style>
  <w:style w:type="character" w:styleId="Hipercze">
    <w:name w:val="Hyperlink"/>
    <w:basedOn w:val="Domylnaczcionkaakapitu"/>
    <w:uiPriority w:val="99"/>
    <w:rPr>
      <w:rFonts w:cs="Times New Roman"/>
      <w:color w:val="0066CC"/>
      <w:u w:val="single"/>
    </w:rPr>
  </w:style>
  <w:style w:type="paragraph" w:styleId="Nagwek">
    <w:name w:val="header"/>
    <w:basedOn w:val="Normalny"/>
    <w:link w:val="NagwekZnak"/>
    <w:uiPriority w:val="99"/>
    <w:unhideWhenUsed/>
    <w:rsid w:val="005A7EF4"/>
    <w:pPr>
      <w:tabs>
        <w:tab w:val="center" w:pos="4536"/>
        <w:tab w:val="right" w:pos="9072"/>
      </w:tabs>
    </w:pPr>
  </w:style>
  <w:style w:type="character" w:customStyle="1" w:styleId="NagwekZnak">
    <w:name w:val="Nagłówek Znak"/>
    <w:basedOn w:val="Domylnaczcionkaakapitu"/>
    <w:link w:val="Nagwek"/>
    <w:uiPriority w:val="99"/>
    <w:locked/>
    <w:rsid w:val="005A7EF4"/>
    <w:rPr>
      <w:rFonts w:hAnsi="Arial" w:cs="Times New Roman"/>
      <w:sz w:val="24"/>
    </w:rPr>
  </w:style>
  <w:style w:type="paragraph" w:styleId="Stopka">
    <w:name w:val="footer"/>
    <w:basedOn w:val="Normalny"/>
    <w:link w:val="StopkaZnak"/>
    <w:uiPriority w:val="99"/>
    <w:unhideWhenUsed/>
    <w:rsid w:val="005A7EF4"/>
    <w:pPr>
      <w:tabs>
        <w:tab w:val="center" w:pos="4536"/>
        <w:tab w:val="right" w:pos="9072"/>
      </w:tabs>
    </w:pPr>
  </w:style>
  <w:style w:type="character" w:customStyle="1" w:styleId="StopkaZnak">
    <w:name w:val="Stopka Znak"/>
    <w:basedOn w:val="Domylnaczcionkaakapitu"/>
    <w:link w:val="Stopka"/>
    <w:uiPriority w:val="99"/>
    <w:locked/>
    <w:rsid w:val="005A7EF4"/>
    <w:rPr>
      <w:rFonts w:hAnsi="Arial" w:cs="Times New Roman"/>
      <w:sz w:val="24"/>
    </w:rPr>
  </w:style>
  <w:style w:type="paragraph" w:styleId="Poprawka">
    <w:name w:val="Revision"/>
    <w:hidden/>
    <w:uiPriority w:val="99"/>
    <w:semiHidden/>
    <w:rsid w:val="00E41C51"/>
    <w:rPr>
      <w:rFonts w:hAnsi="Arial" w:cs="Arial"/>
      <w:sz w:val="24"/>
      <w:szCs w:val="24"/>
    </w:rPr>
  </w:style>
  <w:style w:type="character" w:styleId="UyteHipercze">
    <w:name w:val="FollowedHyperlink"/>
    <w:basedOn w:val="Domylnaczcionkaakapitu"/>
    <w:uiPriority w:val="99"/>
    <w:semiHidden/>
    <w:unhideWhenUsed/>
    <w:rsid w:val="00AD2C17"/>
    <w:rPr>
      <w:rFonts w:cs="Times New Roman"/>
      <w:color w:val="954F72"/>
      <w:u w:val="single"/>
    </w:rPr>
  </w:style>
  <w:style w:type="paragraph" w:customStyle="1" w:styleId="msonormal0">
    <w:name w:val="msonormal"/>
    <w:basedOn w:val="Normalny"/>
    <w:rsid w:val="00AD2C17"/>
    <w:pPr>
      <w:widowControl/>
      <w:autoSpaceDE/>
      <w:autoSpaceDN/>
      <w:adjustRightInd/>
      <w:spacing w:before="100" w:beforeAutospacing="1" w:after="100" w:afterAutospacing="1"/>
    </w:pPr>
    <w:rPr>
      <w:rFonts w:ascii="Times New Roman" w:hAnsi="Times New Roman" w:cs="Times New Roman"/>
    </w:rPr>
  </w:style>
  <w:style w:type="paragraph" w:customStyle="1" w:styleId="font5">
    <w:name w:val="font5"/>
    <w:basedOn w:val="Normalny"/>
    <w:rsid w:val="00AD2C17"/>
    <w:pPr>
      <w:widowControl/>
      <w:autoSpaceDE/>
      <w:autoSpaceDN/>
      <w:adjustRightInd/>
      <w:spacing w:before="100" w:beforeAutospacing="1" w:after="100" w:afterAutospacing="1"/>
    </w:pPr>
    <w:rPr>
      <w:b/>
      <w:bCs/>
      <w:color w:val="000000"/>
      <w:sz w:val="20"/>
      <w:szCs w:val="20"/>
    </w:rPr>
  </w:style>
  <w:style w:type="paragraph" w:customStyle="1" w:styleId="font6">
    <w:name w:val="font6"/>
    <w:basedOn w:val="Normalny"/>
    <w:rsid w:val="00AD2C17"/>
    <w:pPr>
      <w:widowControl/>
      <w:autoSpaceDE/>
      <w:autoSpaceDN/>
      <w:adjustRightInd/>
      <w:spacing w:before="100" w:beforeAutospacing="1" w:after="100" w:afterAutospacing="1"/>
    </w:pPr>
    <w:rPr>
      <w:b/>
      <w:bCs/>
      <w:color w:val="000000"/>
      <w:sz w:val="20"/>
      <w:szCs w:val="20"/>
    </w:rPr>
  </w:style>
  <w:style w:type="paragraph" w:customStyle="1" w:styleId="font7">
    <w:name w:val="font7"/>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font8">
    <w:name w:val="font8"/>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font9">
    <w:name w:val="font9"/>
    <w:basedOn w:val="Normalny"/>
    <w:rsid w:val="00AD2C17"/>
    <w:pPr>
      <w:widowControl/>
      <w:autoSpaceDE/>
      <w:autoSpaceDN/>
      <w:adjustRightInd/>
      <w:spacing w:before="100" w:beforeAutospacing="1" w:after="100" w:afterAutospacing="1"/>
    </w:pPr>
    <w:rPr>
      <w:color w:val="FF0000"/>
      <w:sz w:val="20"/>
      <w:szCs w:val="20"/>
    </w:rPr>
  </w:style>
  <w:style w:type="paragraph" w:customStyle="1" w:styleId="font10">
    <w:name w:val="font10"/>
    <w:basedOn w:val="Normalny"/>
    <w:rsid w:val="00AD2C17"/>
    <w:pPr>
      <w:widowControl/>
      <w:autoSpaceDE/>
      <w:autoSpaceDN/>
      <w:adjustRightInd/>
      <w:spacing w:before="100" w:beforeAutospacing="1" w:after="100" w:afterAutospacing="1"/>
    </w:pPr>
    <w:rPr>
      <w:sz w:val="20"/>
      <w:szCs w:val="20"/>
    </w:rPr>
  </w:style>
  <w:style w:type="paragraph" w:customStyle="1" w:styleId="font11">
    <w:name w:val="font11"/>
    <w:basedOn w:val="Normalny"/>
    <w:rsid w:val="00AD2C17"/>
    <w:pPr>
      <w:widowControl/>
      <w:autoSpaceDE/>
      <w:autoSpaceDN/>
      <w:adjustRightInd/>
      <w:spacing w:before="100" w:beforeAutospacing="1" w:after="100" w:afterAutospacing="1"/>
    </w:pPr>
    <w:rPr>
      <w:b/>
      <w:bCs/>
      <w:sz w:val="20"/>
      <w:szCs w:val="20"/>
    </w:rPr>
  </w:style>
  <w:style w:type="paragraph" w:customStyle="1" w:styleId="xl65">
    <w:name w:val="xl65"/>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66">
    <w:name w:val="xl66"/>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67">
    <w:name w:val="xl67"/>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68">
    <w:name w:val="xl68"/>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9">
    <w:name w:val="xl69"/>
    <w:basedOn w:val="Normalny"/>
    <w:rsid w:val="00AD2C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70">
    <w:name w:val="xl70"/>
    <w:basedOn w:val="Normalny"/>
    <w:rsid w:val="00AD2C17"/>
    <w:pPr>
      <w:widowControl/>
      <w:autoSpaceDE/>
      <w:autoSpaceDN/>
      <w:adjustRightInd/>
      <w:spacing w:before="100" w:beforeAutospacing="1" w:after="100" w:afterAutospacing="1"/>
      <w:jc w:val="center"/>
    </w:pPr>
    <w:rPr>
      <w:sz w:val="20"/>
      <w:szCs w:val="20"/>
    </w:rPr>
  </w:style>
  <w:style w:type="paragraph" w:customStyle="1" w:styleId="xl71">
    <w:name w:val="xl71"/>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2">
    <w:name w:val="xl72"/>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73">
    <w:name w:val="xl73"/>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4">
    <w:name w:val="xl74"/>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xl75">
    <w:name w:val="xl75"/>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styleId="Akapitzlist">
    <w:name w:val="List Paragraph"/>
    <w:basedOn w:val="Normalny"/>
    <w:uiPriority w:val="34"/>
    <w:qFormat/>
    <w:rsid w:val="00D32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7883">
      <w:marLeft w:val="0"/>
      <w:marRight w:val="0"/>
      <w:marTop w:val="0"/>
      <w:marBottom w:val="0"/>
      <w:divBdr>
        <w:top w:val="none" w:sz="0" w:space="0" w:color="auto"/>
        <w:left w:val="none" w:sz="0" w:space="0" w:color="auto"/>
        <w:bottom w:val="none" w:sz="0" w:space="0" w:color="auto"/>
        <w:right w:val="none" w:sz="0" w:space="0" w:color="auto"/>
      </w:divBdr>
    </w:div>
    <w:div w:id="25637884">
      <w:marLeft w:val="0"/>
      <w:marRight w:val="0"/>
      <w:marTop w:val="0"/>
      <w:marBottom w:val="0"/>
      <w:divBdr>
        <w:top w:val="none" w:sz="0" w:space="0" w:color="auto"/>
        <w:left w:val="none" w:sz="0" w:space="0" w:color="auto"/>
        <w:bottom w:val="none" w:sz="0" w:space="0" w:color="auto"/>
        <w:right w:val="none" w:sz="0" w:space="0" w:color="auto"/>
      </w:divBdr>
    </w:div>
    <w:div w:id="25637885">
      <w:marLeft w:val="0"/>
      <w:marRight w:val="0"/>
      <w:marTop w:val="0"/>
      <w:marBottom w:val="0"/>
      <w:divBdr>
        <w:top w:val="none" w:sz="0" w:space="0" w:color="auto"/>
        <w:left w:val="none" w:sz="0" w:space="0" w:color="auto"/>
        <w:bottom w:val="none" w:sz="0" w:space="0" w:color="auto"/>
        <w:right w:val="none" w:sz="0" w:space="0" w:color="auto"/>
      </w:divBdr>
    </w:div>
    <w:div w:id="25637886">
      <w:marLeft w:val="0"/>
      <w:marRight w:val="0"/>
      <w:marTop w:val="0"/>
      <w:marBottom w:val="0"/>
      <w:divBdr>
        <w:top w:val="none" w:sz="0" w:space="0" w:color="auto"/>
        <w:left w:val="none" w:sz="0" w:space="0" w:color="auto"/>
        <w:bottom w:val="none" w:sz="0" w:space="0" w:color="auto"/>
        <w:right w:val="none" w:sz="0" w:space="0" w:color="auto"/>
      </w:divBdr>
    </w:div>
    <w:div w:id="25637887">
      <w:marLeft w:val="0"/>
      <w:marRight w:val="0"/>
      <w:marTop w:val="0"/>
      <w:marBottom w:val="0"/>
      <w:divBdr>
        <w:top w:val="none" w:sz="0" w:space="0" w:color="auto"/>
        <w:left w:val="none" w:sz="0" w:space="0" w:color="auto"/>
        <w:bottom w:val="none" w:sz="0" w:space="0" w:color="auto"/>
        <w:right w:val="none" w:sz="0" w:space="0" w:color="auto"/>
      </w:divBdr>
    </w:div>
    <w:div w:id="25637888">
      <w:marLeft w:val="0"/>
      <w:marRight w:val="0"/>
      <w:marTop w:val="0"/>
      <w:marBottom w:val="0"/>
      <w:divBdr>
        <w:top w:val="none" w:sz="0" w:space="0" w:color="auto"/>
        <w:left w:val="none" w:sz="0" w:space="0" w:color="auto"/>
        <w:bottom w:val="none" w:sz="0" w:space="0" w:color="auto"/>
        <w:right w:val="none" w:sz="0" w:space="0" w:color="auto"/>
      </w:divBdr>
    </w:div>
    <w:div w:id="25637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762C-CCFD-43DB-B73E-4D569ABA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6215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Kondratowicz Aneta  (DIRS)</dc:creator>
  <cp:keywords/>
  <dc:description/>
  <cp:lastModifiedBy>Kondratowicz Aneta  (DIRS)</cp:lastModifiedBy>
  <cp:revision>4</cp:revision>
  <dcterms:created xsi:type="dcterms:W3CDTF">2025-12-04T14:41:00Z</dcterms:created>
  <dcterms:modified xsi:type="dcterms:W3CDTF">2026-01-09T16:05:00Z</dcterms:modified>
</cp:coreProperties>
</file>