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4C3F9" w14:textId="445AAE08" w:rsidR="00552DEF" w:rsidRPr="00151F34" w:rsidRDefault="001C188C" w:rsidP="001C188C">
      <w:pPr>
        <w:jc w:val="both"/>
        <w:rPr>
          <w:rFonts w:ascii="Arial Narrow" w:hAnsi="Arial Narrow" w:cs="Arial"/>
        </w:rPr>
      </w:pPr>
      <w:bookmarkStart w:id="0" w:name="_GoBack"/>
      <w:bookmarkEnd w:id="0"/>
      <w:r w:rsidRPr="00151F34">
        <w:rPr>
          <w:rFonts w:ascii="Arial Narrow" w:hAnsi="Arial Narrow"/>
          <w:b/>
          <w:bCs/>
        </w:rPr>
        <w:t xml:space="preserve">Tarchomińskie Zakłady Farmaceutyczne „Polfa” Spółka Akcyjna </w:t>
      </w:r>
      <w:r w:rsidRPr="00151F34">
        <w:rPr>
          <w:rFonts w:ascii="Arial Narrow" w:hAnsi="Arial Narrow"/>
          <w:bCs/>
        </w:rPr>
        <w:t xml:space="preserve">z siedzibą </w:t>
      </w:r>
      <w:r w:rsidR="00D6625A" w:rsidRPr="00151F34">
        <w:rPr>
          <w:rFonts w:ascii="Arial Narrow" w:hAnsi="Arial Narrow"/>
          <w:bCs/>
        </w:rPr>
        <w:t xml:space="preserve">w </w:t>
      </w:r>
      <w:r w:rsidRPr="00151F34">
        <w:rPr>
          <w:rFonts w:ascii="Arial Narrow" w:hAnsi="Arial Narrow"/>
          <w:bCs/>
        </w:rPr>
        <w:t>(03-176) Warszawie ul. Fleminga 2</w:t>
      </w:r>
      <w:r w:rsidR="00085C8F" w:rsidRPr="00151F34">
        <w:rPr>
          <w:rFonts w:ascii="Arial Narrow" w:hAnsi="Arial Narrow"/>
          <w:bCs/>
        </w:rPr>
        <w:t xml:space="preserve"> (dalej także jako Polfa)</w:t>
      </w:r>
      <w:r w:rsidRPr="00151F34">
        <w:rPr>
          <w:rFonts w:ascii="Arial Narrow" w:hAnsi="Arial Narrow"/>
          <w:bCs/>
        </w:rPr>
        <w:t xml:space="preserve">, </w:t>
      </w:r>
      <w:r w:rsidRPr="00151F34">
        <w:rPr>
          <w:rFonts w:ascii="Arial Narrow" w:hAnsi="Arial Narrow" w:cs="Arial"/>
        </w:rPr>
        <w:t>działając</w:t>
      </w:r>
      <w:r w:rsidR="00567B47" w:rsidRPr="00151F34">
        <w:rPr>
          <w:rFonts w:ascii="Arial Narrow" w:hAnsi="Arial Narrow" w:cs="Arial"/>
        </w:rPr>
        <w:t xml:space="preserve"> na podstawie Ustawy z dnia 30 sierpnia 1996 roku o komercjalizacji i niektórych uprawnieniach pracowników</w:t>
      </w:r>
      <w:r w:rsidR="00583C10" w:rsidRPr="00151F34">
        <w:rPr>
          <w:rFonts w:ascii="Arial Narrow" w:hAnsi="Arial Narrow" w:cs="Arial"/>
        </w:rPr>
        <w:t xml:space="preserve"> (</w:t>
      </w:r>
      <w:r w:rsidR="00583C10" w:rsidRPr="00151F34">
        <w:rPr>
          <w:rFonts w:ascii="Arial Narrow" w:hAnsi="Arial Narrow"/>
          <w:bCs/>
          <w:color w:val="000000"/>
          <w:shd w:val="clear" w:color="auto" w:fill="FFFFFF"/>
        </w:rPr>
        <w:t>tj. z dnia 11 maja 2017 r. </w:t>
      </w:r>
      <w:r w:rsidR="00583C10" w:rsidRPr="00151F34">
        <w:rPr>
          <w:rFonts w:ascii="Arial Narrow" w:hAnsi="Arial Narrow"/>
        </w:rPr>
        <w:t>- Dz.U. z 2017 r. poz. 1055)</w:t>
      </w:r>
      <w:r w:rsidR="00567B47" w:rsidRPr="00151F34">
        <w:rPr>
          <w:rFonts w:ascii="Arial Narrow" w:hAnsi="Arial Narrow" w:cs="Arial"/>
        </w:rPr>
        <w:t xml:space="preserve"> oraz na podstawie R</w:t>
      </w:r>
      <w:r w:rsidRPr="00151F34">
        <w:rPr>
          <w:rFonts w:ascii="Arial Narrow" w:hAnsi="Arial Narrow" w:cs="Arial"/>
        </w:rPr>
        <w:t>ozporządzenia Rady Ministrów z dnia 13 lutego 2007 r. w sprawie określania sposobu i trybu organizowania przetargu na sprzedaż składników aktywów trwałych przez spółkę powstałą w wyniku komercjalizacji (Dz. U. Nr 27, poz. 177 ze zm.)</w:t>
      </w:r>
      <w:r w:rsidR="0093480C" w:rsidRPr="00151F34">
        <w:rPr>
          <w:rFonts w:ascii="Arial Narrow" w:hAnsi="Arial Narrow" w:cs="Arial"/>
        </w:rPr>
        <w:t>.</w:t>
      </w:r>
    </w:p>
    <w:p w14:paraId="013E1196" w14:textId="23570992" w:rsidR="00C02ED8" w:rsidRPr="00151F34" w:rsidRDefault="00C02ED8" w:rsidP="001C188C">
      <w:pPr>
        <w:jc w:val="both"/>
        <w:rPr>
          <w:rFonts w:ascii="Arial Narrow" w:hAnsi="Arial Narrow" w:cs="Arial"/>
        </w:rPr>
      </w:pPr>
    </w:p>
    <w:p w14:paraId="3A68D519" w14:textId="77777777" w:rsidR="000622EE" w:rsidRPr="00151F34" w:rsidRDefault="000622EE" w:rsidP="000622EE">
      <w:pPr>
        <w:jc w:val="center"/>
        <w:rPr>
          <w:rFonts w:ascii="Arial Narrow" w:hAnsi="Arial Narrow" w:cs="Arial"/>
          <w:b/>
        </w:rPr>
      </w:pPr>
      <w:r w:rsidRPr="00151F34">
        <w:rPr>
          <w:rFonts w:ascii="Arial Narrow" w:hAnsi="Arial Narrow" w:cs="Arial"/>
          <w:b/>
        </w:rPr>
        <w:t>OGŁASZA NIEOGRANICZONY PRZETARG USTNY NA SPRZEDAŻ:</w:t>
      </w:r>
    </w:p>
    <w:p w14:paraId="62C4011D" w14:textId="77777777" w:rsidR="000622EE" w:rsidRPr="008E01C9" w:rsidRDefault="000622EE" w:rsidP="000622EE">
      <w:pPr>
        <w:jc w:val="center"/>
        <w:rPr>
          <w:rFonts w:ascii="Arial Narrow" w:hAnsi="Arial Narrow" w:cs="Arial"/>
          <w:b/>
          <w:sz w:val="4"/>
          <w:szCs w:val="4"/>
        </w:rPr>
      </w:pPr>
    </w:p>
    <w:p w14:paraId="146B97FE" w14:textId="77777777" w:rsidR="000622EE" w:rsidRPr="00151F34" w:rsidRDefault="000622EE" w:rsidP="000622EE">
      <w:pPr>
        <w:ind w:left="720"/>
        <w:jc w:val="both"/>
        <w:rPr>
          <w:rFonts w:ascii="Arial Narrow" w:hAnsi="Arial Narrow"/>
        </w:rPr>
      </w:pPr>
    </w:p>
    <w:tbl>
      <w:tblPr>
        <w:tblW w:w="91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2540"/>
        <w:gridCol w:w="3600"/>
        <w:gridCol w:w="2494"/>
      </w:tblGrid>
      <w:tr w:rsidR="000622EE" w:rsidRPr="00151F34" w14:paraId="1B6A3F46" w14:textId="77777777" w:rsidTr="00D503D1">
        <w:trPr>
          <w:trHeight w:val="1785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noWrap/>
            <w:vAlign w:val="center"/>
            <w:hideMark/>
          </w:tcPr>
          <w:p w14:paraId="7EB2B8AC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  <w:bookmarkStart w:id="1" w:name="RANGE!A1:D41"/>
            <w:r w:rsidRPr="00151F34">
              <w:rPr>
                <w:rFonts w:ascii="Arial Narrow" w:eastAsia="Times New Roman" w:hAnsi="Arial Narrow" w:cs="Arial"/>
                <w:b/>
                <w:lang w:eastAsia="pl-PL"/>
              </w:rPr>
              <w:t>L.p.</w:t>
            </w:r>
            <w:bookmarkEnd w:id="1"/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296390AD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b/>
                <w:lang w:eastAsia="pl-PL"/>
              </w:rPr>
              <w:t>numer KW z wpisem użytkowania wieczystego lub własności na rzecz Polfa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6BB20FCA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b/>
                <w:lang w:eastAsia="pl-PL"/>
              </w:rPr>
              <w:t>aktualny numer działki ewidencyjnej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14:paraId="2914BB82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b/>
                <w:lang w:eastAsia="pl-PL"/>
              </w:rPr>
              <w:t>powierzchnia działki ewidencyjnej - wchodzące w skład terenu Modlińska</w:t>
            </w:r>
          </w:p>
        </w:tc>
      </w:tr>
      <w:tr w:rsidR="000622EE" w:rsidRPr="00151F34" w14:paraId="43B6BACE" w14:textId="77777777" w:rsidTr="00D503D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A1A20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1238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WA3M/00473583/4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CAF4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170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DFF6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b/>
                <w:bCs/>
                <w:lang w:eastAsia="pl-PL"/>
              </w:rPr>
              <w:t>0,0590</w:t>
            </w:r>
          </w:p>
        </w:tc>
      </w:tr>
      <w:tr w:rsidR="000622EE" w:rsidRPr="00151F34" w14:paraId="067D5B67" w14:textId="77777777" w:rsidTr="00D503D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953E4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309D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WA3M/00473583/4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C841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172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61EA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b/>
                <w:bCs/>
                <w:lang w:eastAsia="pl-PL"/>
              </w:rPr>
              <w:t>0,0113</w:t>
            </w:r>
          </w:p>
        </w:tc>
      </w:tr>
      <w:tr w:rsidR="000622EE" w:rsidRPr="00151F34" w14:paraId="106FDBE7" w14:textId="77777777" w:rsidTr="00D503D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8289B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7FE7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WA3M/00473584/1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803C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174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43EE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b/>
                <w:bCs/>
                <w:lang w:eastAsia="pl-PL"/>
              </w:rPr>
              <w:t>0,0137</w:t>
            </w:r>
          </w:p>
        </w:tc>
      </w:tr>
      <w:tr w:rsidR="000622EE" w:rsidRPr="00151F34" w14:paraId="187E9E8C" w14:textId="77777777" w:rsidTr="00D503D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3E99C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E474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WA3M/00479584/3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2DBB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176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0E84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b/>
                <w:bCs/>
                <w:lang w:eastAsia="pl-PL"/>
              </w:rPr>
              <w:t>0,0154</w:t>
            </w:r>
          </w:p>
        </w:tc>
      </w:tr>
      <w:tr w:rsidR="000622EE" w:rsidRPr="00151F34" w14:paraId="6D559CE8" w14:textId="77777777" w:rsidTr="00D503D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51AFE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716F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WA3M/00479584/3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6161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182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8699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b/>
                <w:bCs/>
                <w:lang w:eastAsia="pl-PL"/>
              </w:rPr>
              <w:t>0,0234</w:t>
            </w:r>
          </w:p>
        </w:tc>
      </w:tr>
      <w:tr w:rsidR="000622EE" w:rsidRPr="00151F34" w14:paraId="2E2EC303" w14:textId="77777777" w:rsidTr="00D503D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15DE8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36DF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WA3M/00477693/6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B538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184/1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05A0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b/>
                <w:bCs/>
                <w:lang w:eastAsia="pl-PL"/>
              </w:rPr>
              <w:t>0,0112</w:t>
            </w:r>
          </w:p>
        </w:tc>
      </w:tr>
      <w:tr w:rsidR="000622EE" w:rsidRPr="00151F34" w14:paraId="1EC0DF28" w14:textId="77777777" w:rsidTr="00D503D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C158B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4BF7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WA3M/00479584/3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0DBB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186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B851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b/>
                <w:bCs/>
                <w:lang w:eastAsia="pl-PL"/>
              </w:rPr>
              <w:t>0,0120</w:t>
            </w:r>
          </w:p>
        </w:tc>
      </w:tr>
      <w:tr w:rsidR="000622EE" w:rsidRPr="00151F34" w14:paraId="7F71D49B" w14:textId="77777777" w:rsidTr="00D503D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DD24D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CCD5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WA3M/00479584/3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E0B2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188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D3EB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b/>
                <w:bCs/>
                <w:lang w:eastAsia="pl-PL"/>
              </w:rPr>
              <w:t>0,0123</w:t>
            </w:r>
          </w:p>
        </w:tc>
      </w:tr>
      <w:tr w:rsidR="000622EE" w:rsidRPr="00151F34" w14:paraId="7A5084BD" w14:textId="77777777" w:rsidTr="00D503D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63046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D1E9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WA3M/00477693/6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A15F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190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AF86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b/>
                <w:bCs/>
                <w:lang w:eastAsia="pl-PL"/>
              </w:rPr>
              <w:t>0,0256</w:t>
            </w:r>
          </w:p>
        </w:tc>
      </w:tr>
      <w:tr w:rsidR="000622EE" w:rsidRPr="00151F34" w14:paraId="21278035" w14:textId="77777777" w:rsidTr="00D503D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1376C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38AD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WA3M/00479584/3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03DD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192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05E8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b/>
                <w:bCs/>
                <w:lang w:eastAsia="pl-PL"/>
              </w:rPr>
              <w:t>0,0178</w:t>
            </w:r>
          </w:p>
        </w:tc>
      </w:tr>
      <w:tr w:rsidR="000622EE" w:rsidRPr="00151F34" w14:paraId="659E2F5F" w14:textId="77777777" w:rsidTr="00D503D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E2C74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FE49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WA3M/00477693/6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0D70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195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5023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b/>
                <w:bCs/>
                <w:lang w:eastAsia="pl-PL"/>
              </w:rPr>
              <w:t>0,0261</w:t>
            </w:r>
          </w:p>
        </w:tc>
      </w:tr>
      <w:tr w:rsidR="000622EE" w:rsidRPr="00151F34" w14:paraId="7326CD19" w14:textId="77777777" w:rsidTr="00D503D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C357E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DE6B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WA3M/00470583/3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78D4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198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26B5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b/>
                <w:bCs/>
                <w:lang w:eastAsia="pl-PL"/>
              </w:rPr>
              <w:t>0,0139</w:t>
            </w:r>
          </w:p>
        </w:tc>
      </w:tr>
      <w:tr w:rsidR="000622EE" w:rsidRPr="00151F34" w14:paraId="07715E42" w14:textId="77777777" w:rsidTr="00D503D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72A6C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5244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WA3M/00477693/6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DD28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200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3B72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b/>
                <w:bCs/>
                <w:lang w:eastAsia="pl-PL"/>
              </w:rPr>
              <w:t>0,0159</w:t>
            </w:r>
          </w:p>
        </w:tc>
      </w:tr>
      <w:tr w:rsidR="000622EE" w:rsidRPr="00151F34" w14:paraId="13B5F32F" w14:textId="77777777" w:rsidTr="00D503D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9B54A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8AE8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WA3M/00479736/4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DADF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202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68C3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b/>
                <w:bCs/>
                <w:lang w:eastAsia="pl-PL"/>
              </w:rPr>
              <w:t>0,0376</w:t>
            </w:r>
          </w:p>
        </w:tc>
      </w:tr>
      <w:tr w:rsidR="000622EE" w:rsidRPr="00151F34" w14:paraId="7435865D" w14:textId="77777777" w:rsidTr="00D503D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F0C98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F7BC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WA3M/00479584/3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E34D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204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F27D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b/>
                <w:bCs/>
                <w:lang w:eastAsia="pl-PL"/>
              </w:rPr>
              <w:t>0,0181</w:t>
            </w:r>
          </w:p>
        </w:tc>
      </w:tr>
      <w:tr w:rsidR="000622EE" w:rsidRPr="00151F34" w14:paraId="5B14E792" w14:textId="77777777" w:rsidTr="00D503D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09FA3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01D0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WA3M/00470491/1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5AFD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206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47E4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b/>
                <w:bCs/>
                <w:lang w:eastAsia="pl-PL"/>
              </w:rPr>
              <w:t>0,0209</w:t>
            </w:r>
          </w:p>
        </w:tc>
      </w:tr>
      <w:tr w:rsidR="000622EE" w:rsidRPr="00151F34" w14:paraId="3A4F26FD" w14:textId="77777777" w:rsidTr="00D503D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4B29E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5246C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 xml:space="preserve"> WA3M/00096377/0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38F2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208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838A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b/>
                <w:bCs/>
                <w:lang w:eastAsia="pl-PL"/>
              </w:rPr>
              <w:t>0,1637</w:t>
            </w:r>
          </w:p>
        </w:tc>
      </w:tr>
      <w:tr w:rsidR="000622EE" w:rsidRPr="00151F34" w14:paraId="7C567483" w14:textId="77777777" w:rsidTr="00D503D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79A4B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F5AE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WA3M/00488396/4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BE428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211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CB78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b/>
                <w:bCs/>
                <w:lang w:eastAsia="pl-PL"/>
              </w:rPr>
              <w:t>0,0801</w:t>
            </w:r>
          </w:p>
        </w:tc>
      </w:tr>
      <w:tr w:rsidR="000622EE" w:rsidRPr="00151F34" w14:paraId="26CB8DB3" w14:textId="77777777" w:rsidTr="00D503D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0AF17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D59A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WA3M/00049618/8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6363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213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C321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b/>
                <w:bCs/>
                <w:lang w:eastAsia="pl-PL"/>
              </w:rPr>
              <w:t>0,0032</w:t>
            </w:r>
          </w:p>
        </w:tc>
      </w:tr>
      <w:tr w:rsidR="000622EE" w:rsidRPr="00151F34" w14:paraId="12E7AFA8" w14:textId="77777777" w:rsidTr="00D503D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7D528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94429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WA3M/00097336/8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B090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214/2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4BB9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b/>
                <w:bCs/>
                <w:lang w:eastAsia="pl-PL"/>
              </w:rPr>
              <w:t>0,1815</w:t>
            </w:r>
          </w:p>
        </w:tc>
      </w:tr>
      <w:tr w:rsidR="000622EE" w:rsidRPr="00151F34" w14:paraId="1D08440F" w14:textId="77777777" w:rsidTr="00D503D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A8364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F787C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WA3M/00048659/0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E8C4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214/23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7820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b/>
                <w:bCs/>
                <w:lang w:eastAsia="pl-PL"/>
              </w:rPr>
              <w:t>0,2972</w:t>
            </w:r>
          </w:p>
        </w:tc>
      </w:tr>
      <w:tr w:rsidR="000622EE" w:rsidRPr="00151F34" w14:paraId="2C293FF1" w14:textId="77777777" w:rsidTr="00D503D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7C485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B10AF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WA3M/00048639/4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BF8C5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214/25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6651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b/>
                <w:bCs/>
                <w:lang w:eastAsia="pl-PL"/>
              </w:rPr>
              <w:t>0,2618</w:t>
            </w:r>
          </w:p>
        </w:tc>
      </w:tr>
      <w:tr w:rsidR="000622EE" w:rsidRPr="00151F34" w14:paraId="2DECBCED" w14:textId="77777777" w:rsidTr="00D503D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6C69C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E2224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WA3M/00058652/4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A642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214/27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EA06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b/>
                <w:bCs/>
                <w:lang w:eastAsia="pl-PL"/>
              </w:rPr>
              <w:t>0,0318</w:t>
            </w:r>
          </w:p>
        </w:tc>
      </w:tr>
      <w:tr w:rsidR="000622EE" w:rsidRPr="00151F34" w14:paraId="1789E3E4" w14:textId="77777777" w:rsidTr="00D503D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89448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D733C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WA3M/00049639/1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9FFB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214/33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628F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b/>
                <w:bCs/>
                <w:lang w:eastAsia="pl-PL"/>
              </w:rPr>
              <w:t>0,1123</w:t>
            </w:r>
          </w:p>
        </w:tc>
      </w:tr>
      <w:tr w:rsidR="000622EE" w:rsidRPr="00151F34" w14:paraId="164DA678" w14:textId="77777777" w:rsidTr="00D503D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5070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8B6B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WA3M/00463165/5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3A38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214/35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78F2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b/>
                <w:bCs/>
                <w:lang w:eastAsia="pl-PL"/>
              </w:rPr>
              <w:t>0,1692</w:t>
            </w:r>
          </w:p>
        </w:tc>
      </w:tr>
      <w:tr w:rsidR="000622EE" w:rsidRPr="00151F34" w14:paraId="6D77A3C4" w14:textId="77777777" w:rsidTr="00D503D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8192B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A5CB7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WA3M/00463165/5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A702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214/37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B8FE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b/>
                <w:bCs/>
                <w:lang w:eastAsia="pl-PL"/>
              </w:rPr>
              <w:t>0,2000</w:t>
            </w:r>
          </w:p>
        </w:tc>
      </w:tr>
      <w:tr w:rsidR="000622EE" w:rsidRPr="00151F34" w14:paraId="5F3A4AFE" w14:textId="77777777" w:rsidTr="00D503D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27897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8EFEE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WA3M/00463165/5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4458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214/39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B75C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b/>
                <w:bCs/>
                <w:lang w:eastAsia="pl-PL"/>
              </w:rPr>
              <w:t>0,0867</w:t>
            </w:r>
          </w:p>
        </w:tc>
      </w:tr>
      <w:tr w:rsidR="000622EE" w:rsidRPr="00151F34" w14:paraId="1F67342E" w14:textId="77777777" w:rsidTr="00D503D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BD4CE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B735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WA3M/00463165/5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33F5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 xml:space="preserve">214/46 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37AF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b/>
                <w:bCs/>
                <w:lang w:eastAsia="pl-PL"/>
              </w:rPr>
              <w:t>0,1642</w:t>
            </w:r>
          </w:p>
        </w:tc>
      </w:tr>
      <w:tr w:rsidR="000622EE" w:rsidRPr="00151F34" w14:paraId="5DB9E972" w14:textId="77777777" w:rsidTr="00D503D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98900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99900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WA3M/00463636/8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39DD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 xml:space="preserve">214/48 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BB36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b/>
                <w:bCs/>
                <w:lang w:eastAsia="pl-PL"/>
              </w:rPr>
              <w:t>1,1226</w:t>
            </w:r>
          </w:p>
        </w:tc>
      </w:tr>
      <w:tr w:rsidR="000622EE" w:rsidRPr="00151F34" w14:paraId="57BC0A18" w14:textId="77777777" w:rsidTr="00D503D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DAAA8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8CC9F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WA3M/00052392/1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9E37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 xml:space="preserve">214/50 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957F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b/>
                <w:bCs/>
                <w:lang w:eastAsia="pl-PL"/>
              </w:rPr>
              <w:t>4,2732</w:t>
            </w:r>
          </w:p>
        </w:tc>
      </w:tr>
      <w:tr w:rsidR="000622EE" w:rsidRPr="00151F34" w14:paraId="06792291" w14:textId="77777777" w:rsidTr="00D503D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C1634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CC0C8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WA3M/00491211/8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5DBF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220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3EDB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b/>
                <w:bCs/>
                <w:lang w:eastAsia="pl-PL"/>
              </w:rPr>
              <w:t>0,2103</w:t>
            </w:r>
          </w:p>
        </w:tc>
      </w:tr>
      <w:tr w:rsidR="000622EE" w:rsidRPr="00151F34" w14:paraId="445B22B8" w14:textId="77777777" w:rsidTr="00D503D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FC155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18BD9B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WA3M/00067956/1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EDA86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lang w:eastAsia="pl-PL"/>
              </w:rPr>
              <w:t>147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1F9DA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b/>
                <w:bCs/>
                <w:lang w:eastAsia="pl-PL"/>
              </w:rPr>
              <w:t>0,0654</w:t>
            </w:r>
          </w:p>
        </w:tc>
      </w:tr>
      <w:tr w:rsidR="000622EE" w:rsidRPr="00151F34" w14:paraId="1C2117D0" w14:textId="77777777" w:rsidTr="00D503D1">
        <w:trPr>
          <w:trHeight w:val="1080"/>
        </w:trPr>
        <w:tc>
          <w:tcPr>
            <w:tcW w:w="6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FD6DD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b/>
                <w:lang w:eastAsia="pl-PL"/>
              </w:rPr>
              <w:t>SUMA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DD50" w14:textId="77777777" w:rsidR="000622EE" w:rsidRPr="00151F34" w:rsidRDefault="000622EE" w:rsidP="00D503D1">
            <w:pPr>
              <w:jc w:val="center"/>
              <w:rPr>
                <w:rFonts w:ascii="Arial Narrow" w:eastAsia="Times New Roman" w:hAnsi="Arial Narrow" w:cs="Arial"/>
                <w:b/>
                <w:bCs/>
                <w:lang w:eastAsia="pl-PL"/>
              </w:rPr>
            </w:pPr>
            <w:r w:rsidRPr="00151F34">
              <w:rPr>
                <w:rFonts w:ascii="Arial Narrow" w:eastAsia="Times New Roman" w:hAnsi="Arial Narrow" w:cs="Arial"/>
                <w:b/>
                <w:bCs/>
                <w:lang w:eastAsia="pl-PL"/>
              </w:rPr>
              <w:t>7,7574</w:t>
            </w:r>
          </w:p>
        </w:tc>
      </w:tr>
    </w:tbl>
    <w:p w14:paraId="3C9B408F" w14:textId="77777777" w:rsidR="000622EE" w:rsidRPr="00151F34" w:rsidRDefault="000622EE" w:rsidP="000622EE">
      <w:pPr>
        <w:jc w:val="both"/>
        <w:rPr>
          <w:rFonts w:ascii="Arial Narrow" w:hAnsi="Arial Narrow" w:cs="Arial"/>
        </w:rPr>
      </w:pPr>
    </w:p>
    <w:p w14:paraId="2B08780E" w14:textId="50C80DD4" w:rsidR="000622EE" w:rsidRPr="0099055F" w:rsidRDefault="000622EE" w:rsidP="0099055F">
      <w:pPr>
        <w:jc w:val="both"/>
        <w:rPr>
          <w:rFonts w:ascii="Arial Narrow" w:hAnsi="Arial Narrow"/>
        </w:rPr>
      </w:pPr>
      <w:r w:rsidRPr="0099055F">
        <w:rPr>
          <w:rFonts w:ascii="Arial Narrow" w:hAnsi="Arial Narrow"/>
        </w:rPr>
        <w:t>Wszystkie położone są w obrębie 4-06-35 przy ulicy Modlińskiej w dzielnicy Białołęka w Warszawie.</w:t>
      </w:r>
      <w:r w:rsidR="0099055F" w:rsidRPr="0099055F">
        <w:rPr>
          <w:rFonts w:ascii="Arial Narrow" w:hAnsi="Arial Narrow"/>
        </w:rPr>
        <w:t xml:space="preserve"> Przedmiotem niniejszego przetargu jest </w:t>
      </w:r>
      <w:r w:rsidR="0099055F" w:rsidRPr="0048335B">
        <w:rPr>
          <w:rFonts w:ascii="Arial Narrow" w:hAnsi="Arial Narrow"/>
        </w:rPr>
        <w:t xml:space="preserve">sprzedaż </w:t>
      </w:r>
      <w:r w:rsidR="0099055F" w:rsidRPr="008C4A27">
        <w:rPr>
          <w:rFonts w:ascii="Arial Narrow" w:hAnsi="Arial Narrow"/>
          <w:b/>
        </w:rPr>
        <w:t>prawa użytkowania wieczystego</w:t>
      </w:r>
      <w:r w:rsidR="0048335B">
        <w:rPr>
          <w:rFonts w:ascii="Arial Narrow" w:hAnsi="Arial Narrow"/>
        </w:rPr>
        <w:t xml:space="preserve"> do działek wymienionych w tabeli </w:t>
      </w:r>
      <w:r w:rsidR="00EF47A1">
        <w:rPr>
          <w:rFonts w:ascii="Arial Narrow" w:hAnsi="Arial Narrow"/>
        </w:rPr>
        <w:t xml:space="preserve">powyżej </w:t>
      </w:r>
      <w:r w:rsidR="0048335B">
        <w:rPr>
          <w:rFonts w:ascii="Arial Narrow" w:hAnsi="Arial Narrow"/>
        </w:rPr>
        <w:t xml:space="preserve">w punktach </w:t>
      </w:r>
      <w:r w:rsidR="006F4B69">
        <w:rPr>
          <w:rFonts w:ascii="Arial Narrow" w:hAnsi="Arial Narrow"/>
        </w:rPr>
        <w:t>od 1 do 16, od 18 do 30 i</w:t>
      </w:r>
      <w:r w:rsidR="005B75A3">
        <w:rPr>
          <w:rFonts w:ascii="Arial Narrow" w:hAnsi="Arial Narrow"/>
        </w:rPr>
        <w:t xml:space="preserve"> w punkcie</w:t>
      </w:r>
      <w:r w:rsidR="006F4B69">
        <w:rPr>
          <w:rFonts w:ascii="Arial Narrow" w:hAnsi="Arial Narrow"/>
        </w:rPr>
        <w:t xml:space="preserve"> 32</w:t>
      </w:r>
      <w:r w:rsidR="0048335B">
        <w:rPr>
          <w:rFonts w:ascii="Arial Narrow" w:hAnsi="Arial Narrow"/>
        </w:rPr>
        <w:t xml:space="preserve"> oraz sprzedaż </w:t>
      </w:r>
      <w:r w:rsidR="0048335B" w:rsidRPr="008C4A27">
        <w:rPr>
          <w:rFonts w:ascii="Arial Narrow" w:hAnsi="Arial Narrow"/>
          <w:b/>
        </w:rPr>
        <w:t>prawa własności</w:t>
      </w:r>
      <w:r w:rsidR="0048335B">
        <w:rPr>
          <w:rFonts w:ascii="Arial Narrow" w:hAnsi="Arial Narrow"/>
        </w:rPr>
        <w:t xml:space="preserve"> do działek wymienionych w powyższej tabeli w punktach </w:t>
      </w:r>
      <w:r w:rsidR="006F4B69">
        <w:rPr>
          <w:rFonts w:ascii="Arial Narrow" w:hAnsi="Arial Narrow"/>
        </w:rPr>
        <w:t>17 i 31</w:t>
      </w:r>
      <w:r w:rsidR="006B5059">
        <w:rPr>
          <w:rFonts w:ascii="Arial Narrow" w:hAnsi="Arial Narrow"/>
        </w:rPr>
        <w:t xml:space="preserve"> (tj. działki o nr ew. </w:t>
      </w:r>
      <w:r w:rsidR="006F4B69">
        <w:rPr>
          <w:rFonts w:ascii="Arial Narrow" w:hAnsi="Arial Narrow"/>
        </w:rPr>
        <w:t>208</w:t>
      </w:r>
      <w:r w:rsidR="009E0B9A">
        <w:rPr>
          <w:rFonts w:ascii="Arial Narrow" w:hAnsi="Arial Narrow"/>
        </w:rPr>
        <w:t xml:space="preserve"> i</w:t>
      </w:r>
      <w:r w:rsidR="006F4B69">
        <w:rPr>
          <w:rFonts w:ascii="Arial Narrow" w:hAnsi="Arial Narrow"/>
        </w:rPr>
        <w:t xml:space="preserve"> 220</w:t>
      </w:r>
      <w:r w:rsidR="006B5059">
        <w:rPr>
          <w:rFonts w:ascii="Arial Narrow" w:hAnsi="Arial Narrow"/>
        </w:rPr>
        <w:t>)</w:t>
      </w:r>
      <w:r w:rsidR="0048335B">
        <w:rPr>
          <w:rFonts w:ascii="Arial Narrow" w:hAnsi="Arial Narrow"/>
        </w:rPr>
        <w:t xml:space="preserve"> Przedmiotem sprzedaży są wszystkie ww. działki łącznie, zwane w dalszej części ogłoszenia także jako </w:t>
      </w:r>
      <w:r w:rsidR="0048335B" w:rsidRPr="009B085F">
        <w:rPr>
          <w:rFonts w:ascii="Arial Narrow" w:hAnsi="Arial Narrow"/>
          <w:b/>
        </w:rPr>
        <w:t>Przedmiot Przetargu</w:t>
      </w:r>
      <w:r w:rsidR="0048335B">
        <w:rPr>
          <w:rFonts w:ascii="Arial Narrow" w:hAnsi="Arial Narrow"/>
        </w:rPr>
        <w:t xml:space="preserve">. </w:t>
      </w:r>
    </w:p>
    <w:p w14:paraId="7EF27D36" w14:textId="1240A4EB" w:rsidR="000622EE" w:rsidRPr="00151F34" w:rsidRDefault="000622EE" w:rsidP="000622EE">
      <w:pPr>
        <w:pStyle w:val="NormalnyWeb"/>
        <w:jc w:val="both"/>
        <w:rPr>
          <w:rFonts w:ascii="Arial Narrow" w:hAnsi="Arial Narrow" w:cs="Arial"/>
        </w:rPr>
      </w:pPr>
      <w:r w:rsidRPr="00151F34">
        <w:rPr>
          <w:rFonts w:ascii="Arial Narrow" w:hAnsi="Arial Narrow" w:cs="Arial"/>
        </w:rPr>
        <w:t xml:space="preserve">Cena wywoławcza wynosi </w:t>
      </w:r>
      <w:r w:rsidRPr="00151F34">
        <w:rPr>
          <w:rFonts w:ascii="Arial Narrow" w:hAnsi="Arial Narrow" w:cs="Arial"/>
          <w:b/>
        </w:rPr>
        <w:t>53 136 000,00 zł brutto (tj. 43 200 000,00 zł netto plus podatek VAT 23 % w wysokości 9 936 000,00 zł)</w:t>
      </w:r>
      <w:r w:rsidRPr="00151F34">
        <w:rPr>
          <w:rFonts w:ascii="Arial Narrow" w:hAnsi="Arial Narrow" w:cs="Arial"/>
        </w:rPr>
        <w:t xml:space="preserve">. Wadium wynosi </w:t>
      </w:r>
      <w:r w:rsidRPr="00151F34">
        <w:rPr>
          <w:rFonts w:ascii="Arial Narrow" w:hAnsi="Arial Narrow" w:cs="Arial"/>
          <w:b/>
        </w:rPr>
        <w:t>10%</w:t>
      </w:r>
      <w:r w:rsidRPr="00151F34">
        <w:rPr>
          <w:rFonts w:ascii="Arial Narrow" w:hAnsi="Arial Narrow" w:cs="Arial"/>
        </w:rPr>
        <w:t xml:space="preserve"> ceny wywoławczej, tj. </w:t>
      </w:r>
      <w:r w:rsidRPr="00151F34">
        <w:rPr>
          <w:rFonts w:ascii="Arial Narrow" w:hAnsi="Arial Narrow" w:cs="Arial"/>
          <w:b/>
        </w:rPr>
        <w:t>5 313 600,00</w:t>
      </w:r>
      <w:r w:rsidRPr="00151F34">
        <w:rPr>
          <w:rFonts w:ascii="Arial Narrow" w:hAnsi="Arial Narrow" w:cs="Arial"/>
        </w:rPr>
        <w:t xml:space="preserve"> </w:t>
      </w:r>
      <w:r w:rsidRPr="00151F34">
        <w:rPr>
          <w:rFonts w:ascii="Arial Narrow" w:hAnsi="Arial Narrow" w:cs="Arial"/>
          <w:b/>
        </w:rPr>
        <w:t>zł</w:t>
      </w:r>
      <w:r w:rsidRPr="00151F34">
        <w:rPr>
          <w:rFonts w:ascii="Arial Narrow" w:hAnsi="Arial Narrow" w:cs="Arial"/>
        </w:rPr>
        <w:t xml:space="preserve">. Minimalna wysokość postąpienia podczas licytacji wynosi </w:t>
      </w:r>
      <w:r w:rsidR="006F4B69">
        <w:rPr>
          <w:rFonts w:ascii="Arial Narrow" w:hAnsi="Arial Narrow" w:cs="Arial"/>
          <w:b/>
        </w:rPr>
        <w:t>1 000</w:t>
      </w:r>
      <w:r w:rsidR="006F4B69" w:rsidRPr="00151F34">
        <w:rPr>
          <w:rFonts w:ascii="Arial Narrow" w:hAnsi="Arial Narrow" w:cs="Arial"/>
          <w:b/>
        </w:rPr>
        <w:t xml:space="preserve"> </w:t>
      </w:r>
      <w:r w:rsidRPr="00151F34">
        <w:rPr>
          <w:rFonts w:ascii="Arial Narrow" w:hAnsi="Arial Narrow" w:cs="Arial"/>
          <w:b/>
        </w:rPr>
        <w:t>000,00 zł</w:t>
      </w:r>
      <w:r w:rsidRPr="00151F34">
        <w:rPr>
          <w:rFonts w:ascii="Arial Narrow" w:hAnsi="Arial Narrow" w:cs="Arial"/>
        </w:rPr>
        <w:t>.</w:t>
      </w:r>
    </w:p>
    <w:p w14:paraId="37BA6F70" w14:textId="550394A6" w:rsidR="000622EE" w:rsidRPr="00151F34" w:rsidRDefault="000622EE" w:rsidP="000622EE">
      <w:pPr>
        <w:pStyle w:val="NormalnyWeb"/>
        <w:jc w:val="both"/>
        <w:rPr>
          <w:rFonts w:ascii="Arial Narrow" w:hAnsi="Arial Narrow" w:cs="Arial"/>
          <w:b/>
        </w:rPr>
      </w:pPr>
      <w:r w:rsidRPr="00151F34">
        <w:rPr>
          <w:rFonts w:ascii="Arial Narrow" w:hAnsi="Arial Narrow" w:cs="Arial"/>
          <w:b/>
        </w:rPr>
        <w:t xml:space="preserve">Licytacja odbędzie się dnia </w:t>
      </w:r>
      <w:r w:rsidR="006F4B69">
        <w:rPr>
          <w:rFonts w:ascii="Arial Narrow" w:hAnsi="Arial Narrow" w:cs="Arial"/>
          <w:b/>
        </w:rPr>
        <w:t>11 kwietnia</w:t>
      </w:r>
      <w:r w:rsidR="006F4B69" w:rsidRPr="00151F34">
        <w:rPr>
          <w:rFonts w:ascii="Arial Narrow" w:hAnsi="Arial Narrow" w:cs="Arial"/>
          <w:b/>
        </w:rPr>
        <w:t xml:space="preserve"> </w:t>
      </w:r>
      <w:r w:rsidRPr="00151F34">
        <w:rPr>
          <w:rFonts w:ascii="Arial Narrow" w:hAnsi="Arial Narrow" w:cs="Arial"/>
          <w:b/>
        </w:rPr>
        <w:t>2018 r. o godz. 12 w Warszawie przy ulicy A. Fleminga 2, w budynku Marketingu.</w:t>
      </w:r>
    </w:p>
    <w:p w14:paraId="0651E80B" w14:textId="056A96E0" w:rsidR="000622EE" w:rsidRPr="00151F34" w:rsidRDefault="000622EE" w:rsidP="000622EE">
      <w:pPr>
        <w:jc w:val="both"/>
        <w:rPr>
          <w:rFonts w:ascii="Arial Narrow" w:hAnsi="Arial Narrow" w:cs="Arial"/>
        </w:rPr>
      </w:pPr>
      <w:r w:rsidRPr="00151F34">
        <w:rPr>
          <w:rFonts w:ascii="Arial Narrow" w:hAnsi="Arial Narrow" w:cs="Arial"/>
        </w:rPr>
        <w:t xml:space="preserve">Warunkiem przystąpienia do ww. przetargu jest wniesienie wadium na rachunek bankowy o numerze </w:t>
      </w:r>
      <w:r w:rsidRPr="00151F34">
        <w:rPr>
          <w:rFonts w:ascii="Arial Narrow" w:hAnsi="Arial Narrow"/>
          <w:b/>
        </w:rPr>
        <w:t>03 1540 1157 2115 9152 0238 0001</w:t>
      </w:r>
      <w:r w:rsidRPr="00151F34">
        <w:rPr>
          <w:rFonts w:ascii="Arial Narrow" w:hAnsi="Arial Narrow"/>
        </w:rPr>
        <w:t xml:space="preserve"> </w:t>
      </w:r>
      <w:r w:rsidRPr="00151F34">
        <w:rPr>
          <w:rFonts w:ascii="Arial Narrow" w:hAnsi="Arial Narrow" w:cs="Arial"/>
        </w:rPr>
        <w:t xml:space="preserve">w banku </w:t>
      </w:r>
      <w:r w:rsidRPr="00151F34">
        <w:rPr>
          <w:rFonts w:ascii="Arial Narrow" w:hAnsi="Arial Narrow"/>
        </w:rPr>
        <w:t xml:space="preserve">Bank Ochrony Środowiska S.A. </w:t>
      </w:r>
      <w:r w:rsidRPr="00151F34">
        <w:rPr>
          <w:rFonts w:ascii="Arial Narrow" w:hAnsi="Arial Narrow" w:cs="Arial"/>
        </w:rPr>
        <w:t>z dopiskiem: „Przetarg – nieruchomoś</w:t>
      </w:r>
      <w:r w:rsidR="00893950">
        <w:rPr>
          <w:rFonts w:ascii="Arial Narrow" w:hAnsi="Arial Narrow" w:cs="Arial"/>
        </w:rPr>
        <w:t>ci</w:t>
      </w:r>
      <w:r w:rsidRPr="00151F34">
        <w:rPr>
          <w:rFonts w:ascii="Arial Narrow" w:hAnsi="Arial Narrow" w:cs="Arial"/>
        </w:rPr>
        <w:t xml:space="preserve"> Modlińska„ do dnia </w:t>
      </w:r>
      <w:r w:rsidR="006F4B69">
        <w:rPr>
          <w:rFonts w:ascii="Arial Narrow" w:hAnsi="Arial Narrow" w:cs="Arial"/>
          <w:b/>
        </w:rPr>
        <w:t>09 kwietnia</w:t>
      </w:r>
      <w:r w:rsidR="006F4B69" w:rsidRPr="00151F34">
        <w:rPr>
          <w:rFonts w:ascii="Arial Narrow" w:hAnsi="Arial Narrow" w:cs="Arial"/>
          <w:b/>
        </w:rPr>
        <w:t xml:space="preserve"> </w:t>
      </w:r>
      <w:r w:rsidRPr="00151F34">
        <w:rPr>
          <w:rFonts w:ascii="Arial Narrow" w:hAnsi="Arial Narrow" w:cs="Arial"/>
          <w:b/>
        </w:rPr>
        <w:t>2018 roku do godziny 12.00</w:t>
      </w:r>
      <w:r w:rsidRPr="00151F34">
        <w:rPr>
          <w:rFonts w:ascii="Arial Narrow" w:hAnsi="Arial Narrow" w:cs="Arial"/>
        </w:rPr>
        <w:t>. Za datę wniesienia wadium uważa się dzień i godzinę wpływu kwoty wadium na wyżej wskazany rachunek. Wadium nie podlega oprocentowaniu.</w:t>
      </w:r>
    </w:p>
    <w:p w14:paraId="649F4799" w14:textId="77777777" w:rsidR="00834E28" w:rsidRPr="00151F34" w:rsidRDefault="00834E28" w:rsidP="00D56214">
      <w:pPr>
        <w:jc w:val="both"/>
        <w:rPr>
          <w:rFonts w:ascii="Arial Narrow" w:hAnsi="Arial Narrow"/>
        </w:rPr>
      </w:pPr>
    </w:p>
    <w:p w14:paraId="4D8A9E69" w14:textId="0B219B6C" w:rsidR="00D6574A" w:rsidRPr="00DA12C5" w:rsidRDefault="00834E28">
      <w:pPr>
        <w:jc w:val="both"/>
        <w:rPr>
          <w:rFonts w:ascii="Arial Narrow" w:hAnsi="Arial Narrow" w:cs="Arial"/>
        </w:rPr>
      </w:pPr>
      <w:r w:rsidRPr="00151F34">
        <w:rPr>
          <w:rFonts w:ascii="Arial Narrow" w:hAnsi="Arial Narrow" w:cs="Arial"/>
        </w:rPr>
        <w:t xml:space="preserve">W celu przystąpienia do licytacji oferent zobowiązany jest do </w:t>
      </w:r>
      <w:r w:rsidR="00D60418" w:rsidRPr="00151F34">
        <w:rPr>
          <w:rFonts w:ascii="Arial Narrow" w:hAnsi="Arial Narrow" w:cs="Arial"/>
        </w:rPr>
        <w:t>przedłożenia</w:t>
      </w:r>
      <w:r w:rsidRPr="00151F34">
        <w:rPr>
          <w:rFonts w:ascii="Arial Narrow" w:hAnsi="Arial Narrow" w:cs="Arial"/>
        </w:rPr>
        <w:t xml:space="preserve"> Komisji Przetargowej oryginał</w:t>
      </w:r>
      <w:r w:rsidR="00335BCD" w:rsidRPr="00151F34">
        <w:rPr>
          <w:rFonts w:ascii="Arial Narrow" w:hAnsi="Arial Narrow" w:cs="Arial"/>
        </w:rPr>
        <w:t>u</w:t>
      </w:r>
      <w:r w:rsidRPr="00151F34">
        <w:rPr>
          <w:rFonts w:ascii="Arial Narrow" w:hAnsi="Arial Narrow" w:cs="Arial"/>
        </w:rPr>
        <w:t xml:space="preserve"> dowodu wpłaty wadium oraz </w:t>
      </w:r>
      <w:r w:rsidR="00D60418" w:rsidRPr="006F4B69">
        <w:rPr>
          <w:rFonts w:ascii="Arial Narrow" w:hAnsi="Arial Narrow" w:cs="Arial"/>
          <w:u w:val="single"/>
        </w:rPr>
        <w:t>podpisanego</w:t>
      </w:r>
      <w:r w:rsidRPr="006F4B69">
        <w:rPr>
          <w:rFonts w:ascii="Arial Narrow" w:hAnsi="Arial Narrow" w:cs="Arial"/>
          <w:u w:val="single"/>
        </w:rPr>
        <w:t xml:space="preserve"> oświadczenia</w:t>
      </w:r>
      <w:r w:rsidRPr="00151F34">
        <w:rPr>
          <w:rFonts w:ascii="Arial Narrow" w:hAnsi="Arial Narrow" w:cs="Arial"/>
        </w:rPr>
        <w:t xml:space="preserve"> o zapoznaniu się ze stanem faktycznym i prawnym </w:t>
      </w:r>
      <w:r w:rsidR="006B5059">
        <w:rPr>
          <w:rFonts w:ascii="Arial Narrow" w:hAnsi="Arial Narrow" w:cs="Arial"/>
        </w:rPr>
        <w:t>Przedmiotu Przetargu</w:t>
      </w:r>
      <w:r w:rsidRPr="00151F34">
        <w:rPr>
          <w:rFonts w:ascii="Arial Narrow" w:hAnsi="Arial Narrow" w:cs="Arial"/>
        </w:rPr>
        <w:t xml:space="preserve"> oraz warunkami licytacji jak również oświadczenia, iż nie wnosi on żadnych zastrzeżeń, co do warunków licytacji. Osoby prawne i podmioty gospodarcze biorące udział w licytacji powinny </w:t>
      </w:r>
      <w:r w:rsidR="00D60418" w:rsidRPr="00151F34">
        <w:rPr>
          <w:rFonts w:ascii="Arial Narrow" w:hAnsi="Arial Narrow" w:cs="Arial"/>
        </w:rPr>
        <w:t>przedłożyć</w:t>
      </w:r>
      <w:r w:rsidRPr="00151F34">
        <w:rPr>
          <w:rFonts w:ascii="Arial Narrow" w:hAnsi="Arial Narrow" w:cs="Arial"/>
        </w:rPr>
        <w:t>: aktualny wypis z rejestru przedsiębiorstw lub ewidencji podmiotów gospodarczych, zaświadczenie o numerze REGON i decyzję o nadaniu numeru NIP, oryginał pełnomocnictwa do reprezentowania uczestnika przetargu oraz inne dokumenty potwierdzające tożsamość osoby.</w:t>
      </w:r>
      <w:r w:rsidR="0099055F">
        <w:rPr>
          <w:rFonts w:ascii="Arial Narrow" w:hAnsi="Arial Narrow" w:cs="Arial"/>
        </w:rPr>
        <w:t xml:space="preserve"> Pełnomocnictwo do reprezentowania uczestnika przetargu powinno zostać złożone w formie aktu notarialnego.</w:t>
      </w:r>
      <w:r w:rsidRPr="00151F34">
        <w:rPr>
          <w:rFonts w:ascii="Arial Narrow" w:hAnsi="Arial Narrow" w:cs="Arial"/>
        </w:rPr>
        <w:t xml:space="preserve"> Osoba fizyczna zobowiązana jest posiadać dokumenty potwierdzające swoją tożsamość, a osoba będąca w związku małżeńskim obowiązana jest wskazać</w:t>
      </w:r>
      <w:r w:rsidR="005B75A3">
        <w:rPr>
          <w:rFonts w:ascii="Arial Narrow" w:hAnsi="Arial Narrow" w:cs="Arial"/>
        </w:rPr>
        <w:t>,</w:t>
      </w:r>
      <w:r w:rsidRPr="00151F34">
        <w:rPr>
          <w:rFonts w:ascii="Arial Narrow" w:hAnsi="Arial Narrow" w:cs="Arial"/>
        </w:rPr>
        <w:t xml:space="preserve"> czy występuje w imieniu własnym, czy też zamierza nabyć przedmiot przetargu w imieniu swoim i małżonka na majątek wspólny i wówczas obowiązana jest przedstawić na piśmie w oryginale</w:t>
      </w:r>
      <w:r w:rsidR="00335BCD" w:rsidRPr="00151F34">
        <w:rPr>
          <w:rFonts w:ascii="Arial Narrow" w:hAnsi="Arial Narrow" w:cs="Arial"/>
        </w:rPr>
        <w:t xml:space="preserve"> poświadczoną notarialnie</w:t>
      </w:r>
      <w:r w:rsidRPr="00151F34">
        <w:rPr>
          <w:rFonts w:ascii="Arial Narrow" w:hAnsi="Arial Narrow" w:cs="Arial"/>
        </w:rPr>
        <w:t xml:space="preserve"> zgodę drugiego małżonka na zakup nieruchomości bądź umowę o rozdzielności majątkowej.</w:t>
      </w:r>
      <w:r w:rsidR="00335BCD" w:rsidRPr="00151F34">
        <w:rPr>
          <w:rFonts w:ascii="Arial Narrow" w:hAnsi="Arial Narrow" w:cs="Arial"/>
        </w:rPr>
        <w:t xml:space="preserve"> Dodatkowo każdy oferent</w:t>
      </w:r>
      <w:r w:rsidR="0099055F">
        <w:rPr>
          <w:rFonts w:ascii="Arial Narrow" w:hAnsi="Arial Narrow" w:cs="Arial"/>
        </w:rPr>
        <w:t xml:space="preserve"> </w:t>
      </w:r>
      <w:r w:rsidR="0099055F" w:rsidRPr="006F4B69">
        <w:rPr>
          <w:rFonts w:ascii="Arial Narrow" w:hAnsi="Arial Narrow" w:cs="Arial"/>
          <w:u w:val="single"/>
        </w:rPr>
        <w:t>wraz z ofertą</w:t>
      </w:r>
      <w:r w:rsidR="00335BCD" w:rsidRPr="006F4B69">
        <w:rPr>
          <w:rFonts w:ascii="Arial Narrow" w:hAnsi="Arial Narrow" w:cs="Arial"/>
          <w:u w:val="single"/>
        </w:rPr>
        <w:t xml:space="preserve"> powinien </w:t>
      </w:r>
      <w:r w:rsidR="00D60418" w:rsidRPr="006F4B69">
        <w:rPr>
          <w:rFonts w:ascii="Arial Narrow" w:hAnsi="Arial Narrow" w:cs="Arial"/>
          <w:u w:val="single"/>
        </w:rPr>
        <w:t>przedłoży</w:t>
      </w:r>
      <w:r w:rsidR="00D60418" w:rsidRPr="00151F34">
        <w:rPr>
          <w:rFonts w:ascii="Arial Narrow" w:hAnsi="Arial Narrow" w:cs="Arial"/>
        </w:rPr>
        <w:t>ć</w:t>
      </w:r>
      <w:r w:rsidR="00335BCD" w:rsidRPr="00151F34">
        <w:rPr>
          <w:rFonts w:ascii="Arial Narrow" w:hAnsi="Arial Narrow" w:cs="Arial"/>
        </w:rPr>
        <w:t xml:space="preserve"> oświadczenie, iż w stosunku do niego nie zachodzą przesłanki określone w § 6 Rozporządzenia Rady Ministrów z 13 lutego 2007 roku w sprawie określenia sposobu i trybu organizowania przetargu na sprzedaż składników aktywów trwałych przez spółkę, powstałą w wyniku komercjalizacji (Dz. U. z 2007 r., Nr 27, poz. 177 ze zm.).</w:t>
      </w:r>
      <w:r w:rsidR="00D60418" w:rsidRPr="00151F34">
        <w:rPr>
          <w:rFonts w:ascii="Arial Narrow" w:hAnsi="Arial Narrow" w:cs="Arial"/>
        </w:rPr>
        <w:t xml:space="preserve"> Wskazane powyżej dokumenty </w:t>
      </w:r>
      <w:r w:rsidR="00A26F6B" w:rsidRPr="00151F34">
        <w:rPr>
          <w:rFonts w:ascii="Arial Narrow" w:hAnsi="Arial Narrow" w:cs="Arial"/>
        </w:rPr>
        <w:t xml:space="preserve">należy </w:t>
      </w:r>
      <w:r w:rsidR="008A180D" w:rsidRPr="00151F34">
        <w:rPr>
          <w:rFonts w:ascii="Arial Narrow" w:hAnsi="Arial Narrow" w:cs="Arial"/>
        </w:rPr>
        <w:t>z</w:t>
      </w:r>
      <w:r w:rsidR="00CE0807" w:rsidRPr="00151F34">
        <w:rPr>
          <w:rFonts w:ascii="Arial Narrow" w:hAnsi="Arial Narrow" w:cs="Arial"/>
        </w:rPr>
        <w:t>łożyć</w:t>
      </w:r>
      <w:r w:rsidR="00A26F6B" w:rsidRPr="00151F34">
        <w:rPr>
          <w:rFonts w:ascii="Arial Narrow" w:hAnsi="Arial Narrow" w:cs="Arial"/>
        </w:rPr>
        <w:t xml:space="preserve"> osobiście </w:t>
      </w:r>
      <w:r w:rsidR="00447271" w:rsidRPr="00151F34">
        <w:rPr>
          <w:rFonts w:ascii="Arial Narrow" w:hAnsi="Arial Narrow" w:cs="Arial"/>
        </w:rPr>
        <w:t xml:space="preserve">pod adresem Polfa Tarchomin S.A. ul. Fleminga 2, 03-176 Warszawa </w:t>
      </w:r>
      <w:r w:rsidR="00A26F6B" w:rsidRPr="00151F34">
        <w:rPr>
          <w:rFonts w:ascii="Arial Narrow" w:hAnsi="Arial Narrow" w:cs="Arial"/>
        </w:rPr>
        <w:t>w pokoju nr 1</w:t>
      </w:r>
      <w:r w:rsidR="00595DEB" w:rsidRPr="00151F34">
        <w:rPr>
          <w:rFonts w:ascii="Arial Narrow" w:hAnsi="Arial Narrow" w:cs="Arial"/>
        </w:rPr>
        <w:t>8</w:t>
      </w:r>
      <w:r w:rsidR="00A26F6B" w:rsidRPr="00151F34">
        <w:rPr>
          <w:rFonts w:ascii="Arial Narrow" w:hAnsi="Arial Narrow" w:cs="Arial"/>
        </w:rPr>
        <w:t xml:space="preserve"> </w:t>
      </w:r>
      <w:r w:rsidR="00912760" w:rsidRPr="00151F34">
        <w:rPr>
          <w:rFonts w:ascii="Arial Narrow" w:hAnsi="Arial Narrow" w:cs="Arial"/>
        </w:rPr>
        <w:t xml:space="preserve">(Kancelaria) </w:t>
      </w:r>
      <w:r w:rsidR="00A26F6B" w:rsidRPr="00151F34">
        <w:rPr>
          <w:rFonts w:ascii="Arial Narrow" w:hAnsi="Arial Narrow" w:cs="Arial"/>
        </w:rPr>
        <w:t>najpóźniej</w:t>
      </w:r>
      <w:r w:rsidR="00D60418" w:rsidRPr="00151F34">
        <w:rPr>
          <w:rFonts w:ascii="Arial Narrow" w:hAnsi="Arial Narrow" w:cs="Arial"/>
        </w:rPr>
        <w:t xml:space="preserve"> do dnia </w:t>
      </w:r>
      <w:r w:rsidR="006F4B69">
        <w:rPr>
          <w:rFonts w:ascii="Arial Narrow" w:hAnsi="Arial Narrow" w:cs="Arial"/>
          <w:b/>
        </w:rPr>
        <w:t>09 kwietnia</w:t>
      </w:r>
      <w:r w:rsidR="006F4B69" w:rsidRPr="00151F34">
        <w:rPr>
          <w:rFonts w:ascii="Arial Narrow" w:hAnsi="Arial Narrow" w:cs="Arial"/>
          <w:b/>
        </w:rPr>
        <w:t xml:space="preserve"> </w:t>
      </w:r>
      <w:r w:rsidR="006250E1" w:rsidRPr="00151F34">
        <w:rPr>
          <w:rFonts w:ascii="Arial Narrow" w:hAnsi="Arial Narrow" w:cs="Arial"/>
          <w:b/>
        </w:rPr>
        <w:t xml:space="preserve">2018 </w:t>
      </w:r>
      <w:r w:rsidR="00D60418" w:rsidRPr="00151F34">
        <w:rPr>
          <w:rFonts w:ascii="Arial Narrow" w:hAnsi="Arial Narrow" w:cs="Arial"/>
          <w:b/>
        </w:rPr>
        <w:t>roku do godziny 12.00</w:t>
      </w:r>
      <w:r w:rsidR="00D60418" w:rsidRPr="00151F34">
        <w:rPr>
          <w:rFonts w:ascii="Arial Narrow" w:hAnsi="Arial Narrow" w:cs="Arial"/>
        </w:rPr>
        <w:t xml:space="preserve"> z adnotacją na kopercie:</w:t>
      </w:r>
      <w:r w:rsidR="00A26F6B" w:rsidRPr="00151F34">
        <w:rPr>
          <w:rFonts w:ascii="Arial Narrow" w:hAnsi="Arial Narrow" w:cs="Arial"/>
        </w:rPr>
        <w:t xml:space="preserve"> „</w:t>
      </w:r>
      <w:r w:rsidR="00A26F6B" w:rsidRPr="006F4B69">
        <w:rPr>
          <w:rFonts w:ascii="Arial Narrow" w:hAnsi="Arial Narrow" w:cs="Arial"/>
          <w:i/>
        </w:rPr>
        <w:t>Przetarg – nieruchomoś</w:t>
      </w:r>
      <w:r w:rsidR="00893950" w:rsidRPr="006F4B69">
        <w:rPr>
          <w:rFonts w:ascii="Arial Narrow" w:hAnsi="Arial Narrow" w:cs="Arial"/>
          <w:i/>
        </w:rPr>
        <w:t>ci</w:t>
      </w:r>
      <w:r w:rsidR="00A26F6B" w:rsidRPr="006F4B69">
        <w:rPr>
          <w:rFonts w:ascii="Arial Narrow" w:hAnsi="Arial Narrow" w:cs="Arial"/>
          <w:i/>
        </w:rPr>
        <w:t xml:space="preserve"> </w:t>
      </w:r>
      <w:r w:rsidR="000622EE" w:rsidRPr="006F4B69">
        <w:rPr>
          <w:rFonts w:ascii="Arial Narrow" w:hAnsi="Arial Narrow" w:cs="Arial"/>
          <w:i/>
        </w:rPr>
        <w:t>Modlińska</w:t>
      </w:r>
      <w:r w:rsidR="00A26F6B" w:rsidRPr="00151F34">
        <w:rPr>
          <w:rFonts w:ascii="Arial Narrow" w:hAnsi="Arial Narrow" w:cs="Arial"/>
        </w:rPr>
        <w:t>„</w:t>
      </w:r>
      <w:r w:rsidR="00447271" w:rsidRPr="00151F34">
        <w:rPr>
          <w:rFonts w:ascii="Arial Narrow" w:hAnsi="Arial Narrow" w:cs="Arial"/>
        </w:rPr>
        <w:t>.</w:t>
      </w:r>
      <w:r w:rsidR="00C72213" w:rsidRPr="00151F34">
        <w:rPr>
          <w:rFonts w:ascii="Arial Narrow" w:hAnsi="Arial Narrow" w:cs="Arial"/>
        </w:rPr>
        <w:t xml:space="preserve"> </w:t>
      </w:r>
      <w:r w:rsidR="00C72213" w:rsidRPr="006F4B69">
        <w:rPr>
          <w:rFonts w:ascii="Arial Narrow" w:hAnsi="Arial Narrow" w:cs="Arial"/>
          <w:u w:val="single"/>
        </w:rPr>
        <w:t>Wzory oświadczeń</w:t>
      </w:r>
      <w:r w:rsidR="00C72213" w:rsidRPr="00151F34">
        <w:rPr>
          <w:rFonts w:ascii="Arial Narrow" w:hAnsi="Arial Narrow" w:cs="Arial"/>
        </w:rPr>
        <w:t xml:space="preserve"> na żądanie udostępniane będą drogą elektroniczną przez osobę wskazaną do kontaktów w niniejszym ogłoszeniu.</w:t>
      </w:r>
    </w:p>
    <w:p w14:paraId="59EBF636" w14:textId="77777777" w:rsidR="00834E28" w:rsidRPr="00DA12C5" w:rsidRDefault="00834E28">
      <w:pPr>
        <w:jc w:val="both"/>
        <w:rPr>
          <w:rFonts w:ascii="Arial Narrow" w:hAnsi="Arial Narrow" w:cs="Arial"/>
        </w:rPr>
      </w:pPr>
    </w:p>
    <w:p w14:paraId="4C516E2D" w14:textId="0B8E2863" w:rsidR="00834E28" w:rsidRPr="00454FE0" w:rsidRDefault="00834E28" w:rsidP="006F4B69">
      <w:pPr>
        <w:shd w:val="clear" w:color="auto" w:fill="FFFFFF"/>
        <w:jc w:val="both"/>
        <w:rPr>
          <w:rFonts w:ascii="Arial Narrow" w:hAnsi="Arial Narrow" w:cs="Arial"/>
          <w:b/>
        </w:rPr>
      </w:pPr>
      <w:r w:rsidRPr="00085C8F">
        <w:rPr>
          <w:rFonts w:ascii="Arial Narrow" w:hAnsi="Arial Narrow" w:cs="Arial"/>
        </w:rPr>
        <w:t>Cudzoziemcy mogą nabyć nieruchomoś</w:t>
      </w:r>
      <w:r w:rsidR="0099055F">
        <w:rPr>
          <w:rFonts w:ascii="Arial Narrow" w:hAnsi="Arial Narrow" w:cs="Arial"/>
        </w:rPr>
        <w:t>ci</w:t>
      </w:r>
      <w:r w:rsidRPr="00085C8F">
        <w:rPr>
          <w:rFonts w:ascii="Arial Narrow" w:hAnsi="Arial Narrow" w:cs="Arial"/>
        </w:rPr>
        <w:t xml:space="preserve"> w wyniku niniejszego przetargu po spełnieniu warunków określonych w ustawie z dnia 24 marca 1920 r. o nabywaniu nieruchomości przez cudzoziemców (Dz. U. z 2004 roku Nr 167, poz. 1758 ze </w:t>
      </w:r>
      <w:r w:rsidR="002F64A9" w:rsidRPr="00085C8F">
        <w:rPr>
          <w:rFonts w:ascii="Arial Narrow" w:hAnsi="Arial Narrow" w:cs="Arial"/>
        </w:rPr>
        <w:t xml:space="preserve">zm.). </w:t>
      </w:r>
      <w:bookmarkStart w:id="2" w:name="mip41341631"/>
      <w:bookmarkStart w:id="3" w:name="mip41341632"/>
      <w:bookmarkEnd w:id="2"/>
      <w:bookmarkEnd w:id="3"/>
    </w:p>
    <w:p w14:paraId="1F140052" w14:textId="75BA2307" w:rsidR="00085C8F" w:rsidRDefault="00834E28" w:rsidP="002F64A9">
      <w:pPr>
        <w:pStyle w:val="NormalnyWeb"/>
        <w:jc w:val="both"/>
        <w:rPr>
          <w:rFonts w:ascii="Arial Narrow" w:hAnsi="Arial Narrow" w:cs="Arial"/>
        </w:rPr>
      </w:pPr>
      <w:r w:rsidRPr="00DA12C5">
        <w:rPr>
          <w:rFonts w:ascii="Arial Narrow" w:hAnsi="Arial Narrow" w:cs="Arial"/>
        </w:rPr>
        <w:t>Stawienie się jednego uczestnika licytacji wystarcza do odbycia się licytacji. Sprzedaż nastąpi na rzecz uczestnika licytacji, który zaoferuje najwyższą cenę.</w:t>
      </w:r>
      <w:r w:rsidR="00536C48">
        <w:rPr>
          <w:rFonts w:ascii="Arial Narrow" w:hAnsi="Arial Narrow" w:cs="Arial"/>
        </w:rPr>
        <w:t xml:space="preserve"> Sprzedaż nie może nastąpić za cenę niższą od ceny wywoławczej.</w:t>
      </w:r>
    </w:p>
    <w:p w14:paraId="3E321DDC" w14:textId="69FA9232" w:rsidR="00085C8F" w:rsidRPr="007C4829" w:rsidRDefault="00085C8F" w:rsidP="00085C8F">
      <w:pPr>
        <w:shd w:val="clear" w:color="auto" w:fill="FFFFFF"/>
        <w:jc w:val="both"/>
        <w:rPr>
          <w:rFonts w:ascii="Arial Narrow" w:hAnsi="Arial Narrow"/>
        </w:rPr>
      </w:pPr>
      <w:r w:rsidRPr="007C4829">
        <w:rPr>
          <w:rFonts w:ascii="Arial Narrow" w:hAnsi="Arial Narrow" w:cs="Arial"/>
        </w:rPr>
        <w:lastRenderedPageBreak/>
        <w:t xml:space="preserve">Zgodnie z </w:t>
      </w:r>
      <w:r w:rsidRPr="007C4829">
        <w:rPr>
          <w:rFonts w:ascii="Arial Narrow" w:eastAsia="Times New Roman" w:hAnsi="Arial Narrow"/>
          <w:bCs/>
          <w:lang w:eastAsia="pl-PL"/>
        </w:rPr>
        <w:t>art. 109 ust. 1 pkt 2 ustawy o gospodarce nieruchomościami z dnia 21 sierpnia 1997 roku</w:t>
      </w:r>
      <w:r w:rsidRPr="007C4829">
        <w:rPr>
          <w:rFonts w:ascii="Arial Narrow" w:eastAsia="Times New Roman" w:hAnsi="Arial Narrow"/>
          <w:lang w:eastAsia="pl-PL"/>
        </w:rPr>
        <w:t xml:space="preserve"> gminie przysługuje prawo pierwokupu w przypadku sprzedaży prawa użytkowania wieczystego niezabudowanej nieruchomości gruntowej, niezależnie od formy nabycia tego prawa przez zbywcę. </w:t>
      </w:r>
      <w:r w:rsidRPr="007C4829">
        <w:rPr>
          <w:rFonts w:ascii="Arial Narrow" w:hAnsi="Arial Narrow" w:cs="Arial"/>
        </w:rPr>
        <w:t xml:space="preserve">Zgodnie z art. 110 ust. </w:t>
      </w:r>
      <w:r w:rsidR="00645A50">
        <w:rPr>
          <w:rFonts w:ascii="Arial Narrow" w:hAnsi="Arial Narrow" w:cs="Arial"/>
        </w:rPr>
        <w:t>2</w:t>
      </w:r>
      <w:r w:rsidR="00645A50" w:rsidRPr="007C4829">
        <w:rPr>
          <w:rFonts w:ascii="Arial Narrow" w:hAnsi="Arial Narrow" w:cs="Arial"/>
        </w:rPr>
        <w:t xml:space="preserve"> </w:t>
      </w:r>
      <w:r w:rsidRPr="007C4829">
        <w:rPr>
          <w:rFonts w:ascii="Arial Narrow" w:hAnsi="Arial Narrow" w:cs="Arial"/>
        </w:rPr>
        <w:t>ww. ustawy p</w:t>
      </w:r>
      <w:r w:rsidRPr="007C4829">
        <w:rPr>
          <w:rFonts w:ascii="Arial Narrow" w:hAnsi="Arial Narrow"/>
        </w:rPr>
        <w:t xml:space="preserve">rawo pierwokupu może być wykonane w terminie miesiąca od dnia otrzymania przez wójta, burmistrza albo prezydenta miasta zawiadomienia o treści umowy sprzedaży. </w:t>
      </w:r>
      <w:r>
        <w:rPr>
          <w:rFonts w:ascii="Arial Narrow" w:hAnsi="Arial Narrow"/>
          <w:bCs/>
        </w:rPr>
        <w:t>Polfa informuje</w:t>
      </w:r>
      <w:r w:rsidRPr="007C4829">
        <w:rPr>
          <w:rFonts w:ascii="Arial Narrow" w:hAnsi="Arial Narrow"/>
          <w:bCs/>
        </w:rPr>
        <w:t>, że w stosunku do prawa użytkowania wieczystego będącego przedmiotem niniejszego przetargu m. st. Warszaw</w:t>
      </w:r>
      <w:r w:rsidR="00645A50">
        <w:rPr>
          <w:rFonts w:ascii="Arial Narrow" w:hAnsi="Arial Narrow"/>
          <w:bCs/>
        </w:rPr>
        <w:t>a</w:t>
      </w:r>
      <w:r w:rsidRPr="007C4829">
        <w:rPr>
          <w:rFonts w:ascii="Arial Narrow" w:hAnsi="Arial Narrow"/>
          <w:bCs/>
        </w:rPr>
        <w:t xml:space="preserve"> przysługuje prawo pierwokupu.</w:t>
      </w:r>
      <w:r w:rsidR="00EF47A1">
        <w:rPr>
          <w:rFonts w:ascii="Arial Narrow" w:hAnsi="Arial Narrow"/>
          <w:bCs/>
        </w:rPr>
        <w:t xml:space="preserve">  </w:t>
      </w:r>
    </w:p>
    <w:p w14:paraId="6CD35656" w14:textId="7742039D" w:rsidR="00DD5038" w:rsidRDefault="00085C8F" w:rsidP="002F64A9">
      <w:pPr>
        <w:pStyle w:val="NormalnyWeb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</w:rPr>
        <w:t>Sprzedaż</w:t>
      </w:r>
      <w:r w:rsidR="00CE0807">
        <w:rPr>
          <w:rFonts w:ascii="Arial Narrow" w:hAnsi="Arial Narrow" w:cs="Arial"/>
        </w:rPr>
        <w:t xml:space="preserve"> </w:t>
      </w:r>
      <w:r w:rsidR="0048335B">
        <w:rPr>
          <w:rFonts w:ascii="Arial Narrow" w:hAnsi="Arial Narrow" w:cs="Arial"/>
        </w:rPr>
        <w:t xml:space="preserve">Przedmiotu Przetargu </w:t>
      </w:r>
      <w:r>
        <w:rPr>
          <w:rFonts w:ascii="Arial Narrow" w:hAnsi="Arial Narrow" w:cs="Arial"/>
        </w:rPr>
        <w:t>nastąpi w ten sposób, że</w:t>
      </w:r>
      <w:r w:rsidR="00CE5E32">
        <w:rPr>
          <w:rFonts w:ascii="Arial Narrow" w:hAnsi="Arial Narrow" w:cs="Arial"/>
        </w:rPr>
        <w:t xml:space="preserve"> z</w:t>
      </w:r>
      <w:r w:rsidR="00CE0807">
        <w:rPr>
          <w:rFonts w:ascii="Arial Narrow" w:hAnsi="Arial Narrow" w:cs="Arial"/>
        </w:rPr>
        <w:t xml:space="preserve"> uczestnikiem licytacji, który</w:t>
      </w:r>
      <w:r>
        <w:rPr>
          <w:rFonts w:ascii="Arial Narrow" w:hAnsi="Arial Narrow" w:cs="Arial"/>
        </w:rPr>
        <w:t xml:space="preserve"> zaoferuje najwyższą cenę zostanie zawarta umowa</w:t>
      </w:r>
      <w:r w:rsidR="0048335B">
        <w:rPr>
          <w:rFonts w:ascii="Arial Narrow" w:hAnsi="Arial Narrow" w:cs="Arial"/>
        </w:rPr>
        <w:t xml:space="preserve"> w formie aktu notarialnego</w:t>
      </w:r>
      <w:r>
        <w:rPr>
          <w:rFonts w:ascii="Arial Narrow" w:hAnsi="Arial Narrow" w:cs="Arial"/>
        </w:rPr>
        <w:t xml:space="preserve"> zobowiązująca do</w:t>
      </w:r>
      <w:r w:rsidR="0048335B">
        <w:rPr>
          <w:rFonts w:ascii="Arial Narrow" w:hAnsi="Arial Narrow" w:cs="Arial"/>
        </w:rPr>
        <w:t>:</w:t>
      </w:r>
      <w:r>
        <w:rPr>
          <w:rFonts w:ascii="Arial Narrow" w:hAnsi="Arial Narrow" w:cs="Arial"/>
        </w:rPr>
        <w:t xml:space="preserve"> przeniesienia prawa użytkowania wieczystego</w:t>
      </w:r>
      <w:r w:rsidR="0048335B">
        <w:rPr>
          <w:rFonts w:ascii="Arial Narrow" w:hAnsi="Arial Narrow" w:cs="Arial"/>
        </w:rPr>
        <w:t xml:space="preserve"> działek wymienionych w pkt </w:t>
      </w:r>
      <w:r w:rsidR="00EF47A1">
        <w:rPr>
          <w:rFonts w:ascii="Arial Narrow" w:hAnsi="Arial Narrow"/>
        </w:rPr>
        <w:t>od 1 do 16, od 18 do 30 i 32</w:t>
      </w:r>
      <w:r w:rsidR="0048335B">
        <w:rPr>
          <w:rFonts w:ascii="Arial Narrow" w:hAnsi="Arial Narrow" w:cs="Arial"/>
        </w:rPr>
        <w:t xml:space="preserve"> tabeli oraz prawa własności działek wymienionych w pkt </w:t>
      </w:r>
      <w:r w:rsidR="00EF47A1">
        <w:rPr>
          <w:rFonts w:ascii="Arial Narrow" w:hAnsi="Arial Narrow"/>
        </w:rPr>
        <w:t>17 i 31</w:t>
      </w:r>
      <w:r w:rsidR="0048335B">
        <w:rPr>
          <w:rFonts w:ascii="Arial Narrow" w:hAnsi="Arial Narrow" w:cs="Arial"/>
        </w:rPr>
        <w:t xml:space="preserve"> tabeli</w:t>
      </w:r>
      <w:r>
        <w:rPr>
          <w:rFonts w:ascii="Arial Narrow" w:hAnsi="Arial Narrow" w:cs="Arial"/>
        </w:rPr>
        <w:t xml:space="preserve">. Umowa, o której mowa w zdaniu poprzednim zostanie zawarta </w:t>
      </w:r>
      <w:r w:rsidRPr="007C4829">
        <w:rPr>
          <w:rFonts w:ascii="Arial Narrow" w:hAnsi="Arial Narrow" w:cs="Arial"/>
          <w:b/>
          <w:color w:val="000000"/>
        </w:rPr>
        <w:t>pod warunkiem,</w:t>
      </w:r>
      <w:r w:rsidRPr="007C4829">
        <w:rPr>
          <w:rFonts w:ascii="Arial Narrow" w:hAnsi="Arial Narrow" w:cs="Arial"/>
          <w:color w:val="000000"/>
        </w:rPr>
        <w:t xml:space="preserve"> że Prezydent m.st. Warszawy nie wykona prawa pierwokupu przysługującego m.st. Warszawa zgodnie z przepisem art. 109 ust. 1 pkt 2 ustawy z dnia 21 sierpnia 1997 roku</w:t>
      </w:r>
      <w:r>
        <w:rPr>
          <w:rFonts w:ascii="Arial Narrow" w:hAnsi="Arial Narrow" w:cs="Arial"/>
          <w:color w:val="000000"/>
        </w:rPr>
        <w:t xml:space="preserve"> o gospodarce nieruchomościami</w:t>
      </w:r>
      <w:r w:rsidRPr="007C4829">
        <w:rPr>
          <w:rFonts w:ascii="Arial Narrow" w:hAnsi="Arial Narrow" w:cs="Arial"/>
          <w:color w:val="000000"/>
        </w:rPr>
        <w:t xml:space="preserve"> do prawa użytkowania wieczystego </w:t>
      </w:r>
      <w:r w:rsidR="009B085F">
        <w:rPr>
          <w:rFonts w:ascii="Arial Narrow" w:hAnsi="Arial Narrow" w:cs="Arial"/>
          <w:color w:val="000000"/>
        </w:rPr>
        <w:t xml:space="preserve">działek wymienionych w pkt </w:t>
      </w:r>
      <w:r w:rsidR="00EF47A1">
        <w:rPr>
          <w:rFonts w:ascii="Arial Narrow" w:hAnsi="Arial Narrow"/>
        </w:rPr>
        <w:t xml:space="preserve">od 1 do 16, od 18 do 30 i 32 </w:t>
      </w:r>
      <w:r w:rsidR="009B085F">
        <w:rPr>
          <w:rFonts w:ascii="Arial Narrow" w:hAnsi="Arial Narrow" w:cs="Arial"/>
          <w:color w:val="000000"/>
        </w:rPr>
        <w:t>tabeli</w:t>
      </w:r>
      <w:r>
        <w:rPr>
          <w:rFonts w:ascii="Arial Narrow" w:hAnsi="Arial Narrow" w:cs="Arial"/>
          <w:color w:val="000000"/>
        </w:rPr>
        <w:t>. Na podstawie umo</w:t>
      </w:r>
      <w:r w:rsidR="00DD5038">
        <w:rPr>
          <w:rFonts w:ascii="Arial Narrow" w:hAnsi="Arial Narrow" w:cs="Arial"/>
          <w:color w:val="000000"/>
        </w:rPr>
        <w:t>wy zobowiązującej (warunkowej</w:t>
      </w:r>
      <w:r>
        <w:rPr>
          <w:rFonts w:ascii="Arial Narrow" w:hAnsi="Arial Narrow" w:cs="Arial"/>
          <w:color w:val="000000"/>
        </w:rPr>
        <w:t xml:space="preserve">) nabywca zobowiązany będzie zapłacić kwotę odpowiadającą równowartości </w:t>
      </w:r>
      <w:r w:rsidR="00F60824" w:rsidRPr="00454FE0">
        <w:rPr>
          <w:rFonts w:ascii="Arial Narrow" w:hAnsi="Arial Narrow" w:cs="Arial"/>
          <w:b/>
          <w:color w:val="000000"/>
        </w:rPr>
        <w:t>10</w:t>
      </w:r>
      <w:r w:rsidRPr="00454FE0">
        <w:rPr>
          <w:rFonts w:ascii="Arial Narrow" w:hAnsi="Arial Narrow" w:cs="Arial"/>
          <w:b/>
          <w:color w:val="000000"/>
        </w:rPr>
        <w:t xml:space="preserve"> %</w:t>
      </w:r>
      <w:r>
        <w:rPr>
          <w:rFonts w:ascii="Arial Narrow" w:hAnsi="Arial Narrow" w:cs="Arial"/>
          <w:color w:val="000000"/>
        </w:rPr>
        <w:t xml:space="preserve"> zaoferowanej ceny</w:t>
      </w:r>
      <w:r w:rsidR="00714FF2">
        <w:rPr>
          <w:rFonts w:ascii="Arial Narrow" w:hAnsi="Arial Narrow" w:cs="Arial"/>
          <w:color w:val="000000"/>
        </w:rPr>
        <w:t xml:space="preserve"> tytułem zadatku</w:t>
      </w:r>
      <w:r>
        <w:rPr>
          <w:rFonts w:ascii="Arial Narrow" w:hAnsi="Arial Narrow" w:cs="Arial"/>
          <w:color w:val="000000"/>
        </w:rPr>
        <w:t>.</w:t>
      </w:r>
      <w:r w:rsidR="00DD5038">
        <w:rPr>
          <w:rFonts w:ascii="Arial Narrow" w:hAnsi="Arial Narrow" w:cs="Arial"/>
          <w:color w:val="000000"/>
        </w:rPr>
        <w:t xml:space="preserve"> Kwota, o której mowa w zdaniu poprzednim powinna zostać zapłacona na rzecz Polfy nie później niż w dniu poprzedzającym dzień zawarcia umowy warunkowej. Nabywca, który nie uiści tej kwoty we wskazanym powyżej terminie </w:t>
      </w:r>
      <w:r w:rsidR="00DD5038" w:rsidRPr="00DA12C5">
        <w:rPr>
          <w:rFonts w:ascii="Arial Narrow" w:hAnsi="Arial Narrow" w:cs="Arial"/>
        </w:rPr>
        <w:t>traci prawo do zawarcia umowy oraz złożone wadium</w:t>
      </w:r>
      <w:r w:rsidR="00DD5038">
        <w:rPr>
          <w:rFonts w:ascii="Arial Narrow" w:hAnsi="Arial Narrow" w:cs="Arial"/>
          <w:color w:val="000000"/>
        </w:rPr>
        <w:t>.</w:t>
      </w:r>
    </w:p>
    <w:p w14:paraId="6A0EED57" w14:textId="609A92C0" w:rsidR="00DD5038" w:rsidRPr="006F4B69" w:rsidRDefault="00085C8F" w:rsidP="002F64A9">
      <w:pPr>
        <w:pStyle w:val="NormalnyWeb"/>
        <w:jc w:val="both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color w:val="000000"/>
        </w:rPr>
        <w:t>W przypadku, gdy Prezydent m. st. Warszawy wykona prawo pierwokupu prawa użytkowania wieczystego będącego przedmiotem niniejszego przetargu</w:t>
      </w:r>
      <w:r w:rsidR="00A47837">
        <w:rPr>
          <w:rFonts w:ascii="Arial Narrow" w:hAnsi="Arial Narrow" w:cs="Arial"/>
          <w:color w:val="000000"/>
        </w:rPr>
        <w:t xml:space="preserve">, tj. </w:t>
      </w:r>
      <w:r w:rsidR="009B085F">
        <w:rPr>
          <w:rFonts w:ascii="Arial Narrow" w:hAnsi="Arial Narrow" w:cs="Arial"/>
          <w:color w:val="000000"/>
        </w:rPr>
        <w:t>do ww. działek</w:t>
      </w:r>
      <w:r w:rsidR="00CE5E32">
        <w:rPr>
          <w:rFonts w:ascii="Arial Narrow" w:hAnsi="Arial Narrow" w:cs="Arial"/>
          <w:color w:val="000000"/>
        </w:rPr>
        <w:t>,</w:t>
      </w:r>
      <w:r>
        <w:rPr>
          <w:rFonts w:ascii="Arial Narrow" w:hAnsi="Arial Narrow" w:cs="Arial"/>
          <w:color w:val="000000"/>
        </w:rPr>
        <w:t xml:space="preserve"> umowa definitywna</w:t>
      </w:r>
      <w:r w:rsidR="00EF47A1">
        <w:rPr>
          <w:rFonts w:ascii="Arial Narrow" w:hAnsi="Arial Narrow" w:cs="Arial"/>
          <w:color w:val="000000"/>
        </w:rPr>
        <w:t xml:space="preserve"> </w:t>
      </w:r>
      <w:r>
        <w:rPr>
          <w:rFonts w:ascii="Arial Narrow" w:hAnsi="Arial Narrow" w:cs="Arial"/>
          <w:color w:val="000000"/>
        </w:rPr>
        <w:t>(</w:t>
      </w:r>
      <w:r w:rsidR="00645A50">
        <w:rPr>
          <w:rFonts w:ascii="Arial Narrow" w:hAnsi="Arial Narrow" w:cs="Arial"/>
          <w:color w:val="000000"/>
        </w:rPr>
        <w:t xml:space="preserve">umowa </w:t>
      </w:r>
      <w:r>
        <w:rPr>
          <w:rFonts w:ascii="Arial Narrow" w:hAnsi="Arial Narrow" w:cs="Arial"/>
          <w:color w:val="000000"/>
        </w:rPr>
        <w:t>przenosząca na nabywcę prawo użytkowania wieczystego</w:t>
      </w:r>
      <w:r w:rsidR="00A47837">
        <w:rPr>
          <w:rFonts w:ascii="Arial Narrow" w:hAnsi="Arial Narrow" w:cs="Arial"/>
          <w:color w:val="000000"/>
        </w:rPr>
        <w:t xml:space="preserve"> oraz prawo własności do Przedmiotu Przetargu</w:t>
      </w:r>
      <w:r>
        <w:rPr>
          <w:rFonts w:ascii="Arial Narrow" w:hAnsi="Arial Narrow" w:cs="Arial"/>
          <w:color w:val="000000"/>
        </w:rPr>
        <w:t xml:space="preserve">) nie zostanie zawarta. Polfa zwróci na rzecz podmiotu, z którym została zawarta umowa warunkowa </w:t>
      </w:r>
      <w:r w:rsidR="00070D8C">
        <w:rPr>
          <w:rFonts w:ascii="Arial Narrow" w:hAnsi="Arial Narrow" w:cs="Arial"/>
          <w:color w:val="000000"/>
        </w:rPr>
        <w:t>wpłacony zadatek</w:t>
      </w:r>
      <w:r w:rsidR="00CE0807">
        <w:rPr>
          <w:rFonts w:ascii="Arial Narrow" w:hAnsi="Arial Narrow" w:cs="Arial"/>
          <w:color w:val="000000"/>
        </w:rPr>
        <w:t xml:space="preserve"> oraz wpłacone wadium</w:t>
      </w:r>
      <w:r>
        <w:rPr>
          <w:rFonts w:ascii="Arial Narrow" w:hAnsi="Arial Narrow" w:cs="Arial"/>
          <w:color w:val="000000"/>
        </w:rPr>
        <w:t xml:space="preserve"> w terminie nie dłuższym niż 7 dni od dnia otrzymania oświadczenia Prezydenta m. st. Warszawy o wykonaniu prawa pierwokupu. Polfa zwróci </w:t>
      </w:r>
      <w:r w:rsidR="00EF47A1">
        <w:rPr>
          <w:rFonts w:ascii="Arial Narrow" w:hAnsi="Arial Narrow" w:cs="Arial"/>
          <w:color w:val="000000"/>
        </w:rPr>
        <w:t>zadatek</w:t>
      </w:r>
      <w:r w:rsidR="00CE0807">
        <w:rPr>
          <w:rFonts w:ascii="Arial Narrow" w:hAnsi="Arial Narrow" w:cs="Arial"/>
          <w:color w:val="000000"/>
        </w:rPr>
        <w:t xml:space="preserve"> oraz wpłacone wadium</w:t>
      </w:r>
      <w:r>
        <w:rPr>
          <w:rFonts w:ascii="Arial Narrow" w:hAnsi="Arial Narrow" w:cs="Arial"/>
          <w:color w:val="000000"/>
        </w:rPr>
        <w:t xml:space="preserve"> w kwocie nominalnej (wpłaconej). </w:t>
      </w:r>
      <w:r w:rsidR="00907E0C" w:rsidRPr="006F4B69">
        <w:rPr>
          <w:rFonts w:ascii="Arial Narrow" w:hAnsi="Arial Narrow" w:cs="Arial"/>
          <w:b/>
          <w:color w:val="000000"/>
        </w:rPr>
        <w:t xml:space="preserve">Skutki opisane w niniejszym akapicie nastąpią jeżeli Prezydent m. st. Warszawy wykona prawo pierwokupu w stosunku do prawa użytkowania wieczystego jednej bądź więcej niż jednej z działek będących przedmiotem przetargu. </w:t>
      </w:r>
    </w:p>
    <w:p w14:paraId="56CE2472" w14:textId="3A91921A" w:rsidR="00085C8F" w:rsidRDefault="00085C8F" w:rsidP="002F64A9">
      <w:pPr>
        <w:pStyle w:val="NormalnyWeb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color w:val="000000"/>
        </w:rPr>
        <w:t>W przypadku</w:t>
      </w:r>
      <w:r w:rsidR="00536C48">
        <w:rPr>
          <w:rFonts w:ascii="Arial Narrow" w:hAnsi="Arial Narrow" w:cs="Arial"/>
          <w:color w:val="000000"/>
        </w:rPr>
        <w:t>, gdy Prezydent m. st. Warszawy nie wykona prawa pierwokupu w stosunku do prawa użytkowania wieczystego będącego przedmiotem przetargu</w:t>
      </w:r>
      <w:r w:rsidR="00796D97">
        <w:rPr>
          <w:rFonts w:ascii="Arial Narrow" w:hAnsi="Arial Narrow" w:cs="Arial"/>
          <w:color w:val="000000"/>
        </w:rPr>
        <w:t>,</w:t>
      </w:r>
      <w:r w:rsidR="00536C48">
        <w:rPr>
          <w:rFonts w:ascii="Arial Narrow" w:hAnsi="Arial Narrow" w:cs="Arial"/>
          <w:color w:val="000000"/>
        </w:rPr>
        <w:t xml:space="preserve"> z uczestnikiem licytacji, który zaoferował najwyższą cenę zostanie zawarta umowa definitywna (przenosząca na niego prawo użytkowania wieczystego</w:t>
      </w:r>
      <w:r w:rsidR="0035578C">
        <w:rPr>
          <w:rFonts w:ascii="Arial Narrow" w:hAnsi="Arial Narrow" w:cs="Arial"/>
          <w:color w:val="000000"/>
        </w:rPr>
        <w:t xml:space="preserve"> do ww. działek</w:t>
      </w:r>
      <w:r w:rsidR="00796D97">
        <w:rPr>
          <w:rFonts w:ascii="Arial Narrow" w:hAnsi="Arial Narrow" w:cs="Arial"/>
          <w:color w:val="000000"/>
        </w:rPr>
        <w:t xml:space="preserve"> oraz prawo własności do działek wymienionych w pkt </w:t>
      </w:r>
      <w:r w:rsidR="006F4B69">
        <w:rPr>
          <w:rFonts w:ascii="Arial Narrow" w:hAnsi="Arial Narrow" w:cs="Arial"/>
          <w:color w:val="000000"/>
        </w:rPr>
        <w:t>17 i 31</w:t>
      </w:r>
      <w:r w:rsidR="00796D97">
        <w:rPr>
          <w:rFonts w:ascii="Arial Narrow" w:hAnsi="Arial Narrow" w:cs="Arial"/>
          <w:color w:val="000000"/>
        </w:rPr>
        <w:t xml:space="preserve"> tabeli</w:t>
      </w:r>
      <w:r w:rsidR="00536C48">
        <w:rPr>
          <w:rFonts w:ascii="Arial Narrow" w:hAnsi="Arial Narrow" w:cs="Arial"/>
          <w:color w:val="000000"/>
        </w:rPr>
        <w:t>). Umowa definitywna w formie aktu notarialnego zostanie zawarta nie później niż w terminie 7 dni od dnia otrzymania przez Polfę oświadczenia Prezydenta m. st. Warszawy o niewykonaniu prawa pierwokupu lub w terminie 7 dni od dnia</w:t>
      </w:r>
      <w:r w:rsidR="00DD5038">
        <w:rPr>
          <w:rFonts w:ascii="Arial Narrow" w:hAnsi="Arial Narrow" w:cs="Arial"/>
          <w:color w:val="000000"/>
        </w:rPr>
        <w:t xml:space="preserve"> upływu terminu</w:t>
      </w:r>
      <w:r w:rsidR="00536C48">
        <w:rPr>
          <w:rFonts w:ascii="Arial Narrow" w:hAnsi="Arial Narrow" w:cs="Arial"/>
          <w:color w:val="000000"/>
        </w:rPr>
        <w:t xml:space="preserve">, o którym mowa w art. 110 ust. </w:t>
      </w:r>
      <w:r w:rsidR="00645A50">
        <w:rPr>
          <w:rFonts w:ascii="Arial Narrow" w:hAnsi="Arial Narrow" w:cs="Arial"/>
          <w:color w:val="000000"/>
        </w:rPr>
        <w:t>2</w:t>
      </w:r>
      <w:r w:rsidR="00536C48">
        <w:rPr>
          <w:rFonts w:ascii="Arial Narrow" w:hAnsi="Arial Narrow" w:cs="Arial"/>
          <w:color w:val="000000"/>
        </w:rPr>
        <w:t xml:space="preserve"> ustawy z dnia 21 sierpnia 1997 roku o gospodarce nieruchomościami. </w:t>
      </w:r>
      <w:r w:rsidR="00536C48" w:rsidRPr="00DA12C5">
        <w:rPr>
          <w:rFonts w:ascii="Arial Narrow" w:hAnsi="Arial Narrow" w:cs="Arial"/>
        </w:rPr>
        <w:t>O terminie podpisania aktu notarialnego nabywc</w:t>
      </w:r>
      <w:r w:rsidR="00536C48">
        <w:rPr>
          <w:rFonts w:ascii="Arial Narrow" w:hAnsi="Arial Narrow" w:cs="Arial"/>
        </w:rPr>
        <w:t>a</w:t>
      </w:r>
      <w:r w:rsidR="00536C48" w:rsidRPr="00DA12C5">
        <w:rPr>
          <w:rFonts w:ascii="Arial Narrow" w:hAnsi="Arial Narrow" w:cs="Arial"/>
        </w:rPr>
        <w:t xml:space="preserve"> zostan</w:t>
      </w:r>
      <w:r w:rsidR="00536C48">
        <w:rPr>
          <w:rFonts w:ascii="Arial Narrow" w:hAnsi="Arial Narrow" w:cs="Arial"/>
        </w:rPr>
        <w:t>ie</w:t>
      </w:r>
      <w:r w:rsidR="00536C48" w:rsidRPr="00DA12C5">
        <w:rPr>
          <w:rFonts w:ascii="Arial Narrow" w:hAnsi="Arial Narrow" w:cs="Arial"/>
        </w:rPr>
        <w:t xml:space="preserve"> powiadomi</w:t>
      </w:r>
      <w:r w:rsidR="00536C48">
        <w:rPr>
          <w:rFonts w:ascii="Arial Narrow" w:hAnsi="Arial Narrow" w:cs="Arial"/>
        </w:rPr>
        <w:t>ony</w:t>
      </w:r>
      <w:r w:rsidR="00536C48" w:rsidRPr="00DA12C5">
        <w:rPr>
          <w:rFonts w:ascii="Arial Narrow" w:hAnsi="Arial Narrow" w:cs="Arial"/>
        </w:rPr>
        <w:t xml:space="preserve"> pisemnie.</w:t>
      </w:r>
    </w:p>
    <w:p w14:paraId="7244E18F" w14:textId="5C57FE8A" w:rsidR="00DD5038" w:rsidRDefault="00834E28" w:rsidP="002F64A9">
      <w:pPr>
        <w:pStyle w:val="NormalnyWeb"/>
        <w:jc w:val="both"/>
        <w:rPr>
          <w:rFonts w:ascii="Arial Narrow" w:hAnsi="Arial Narrow" w:cs="Arial"/>
        </w:rPr>
      </w:pPr>
      <w:r w:rsidRPr="00DA12C5">
        <w:rPr>
          <w:rFonts w:ascii="Arial Narrow" w:hAnsi="Arial Narrow" w:cs="Arial"/>
        </w:rPr>
        <w:t>Nabywca będzie zobowiązany do zapłaty</w:t>
      </w:r>
      <w:r w:rsidR="00DD5038">
        <w:rPr>
          <w:rFonts w:ascii="Arial Narrow" w:hAnsi="Arial Narrow" w:cs="Arial"/>
        </w:rPr>
        <w:t xml:space="preserve"> pozostałej części</w:t>
      </w:r>
      <w:r w:rsidRPr="00DA12C5">
        <w:rPr>
          <w:rFonts w:ascii="Arial Narrow" w:hAnsi="Arial Narrow" w:cs="Arial"/>
        </w:rPr>
        <w:t xml:space="preserve"> ceny nabycia</w:t>
      </w:r>
      <w:r w:rsidR="00DD5038">
        <w:rPr>
          <w:rFonts w:ascii="Arial Narrow" w:hAnsi="Arial Narrow" w:cs="Arial"/>
        </w:rPr>
        <w:t xml:space="preserve"> odpowiadającej równowartości </w:t>
      </w:r>
      <w:r w:rsidR="00F60824" w:rsidRPr="00454FE0">
        <w:rPr>
          <w:rFonts w:ascii="Arial Narrow" w:hAnsi="Arial Narrow" w:cs="Arial"/>
          <w:b/>
        </w:rPr>
        <w:t>90</w:t>
      </w:r>
      <w:r w:rsidR="00DD5038" w:rsidRPr="00454FE0">
        <w:rPr>
          <w:rFonts w:ascii="Arial Narrow" w:hAnsi="Arial Narrow" w:cs="Arial"/>
          <w:b/>
        </w:rPr>
        <w:t xml:space="preserve"> %</w:t>
      </w:r>
      <w:r w:rsidR="00DD5038">
        <w:rPr>
          <w:rFonts w:ascii="Arial Narrow" w:hAnsi="Arial Narrow" w:cs="Arial"/>
        </w:rPr>
        <w:t xml:space="preserve"> zaoferowanej przez niego ceny</w:t>
      </w:r>
      <w:r w:rsidRPr="00DA12C5">
        <w:rPr>
          <w:rFonts w:ascii="Arial Narrow" w:hAnsi="Arial Narrow" w:cs="Arial"/>
        </w:rPr>
        <w:t xml:space="preserve"> najpóźniej na dzień przed </w:t>
      </w:r>
      <w:r w:rsidR="00536C48">
        <w:rPr>
          <w:rFonts w:ascii="Arial Narrow" w:hAnsi="Arial Narrow" w:cs="Arial"/>
        </w:rPr>
        <w:t>zawarciem</w:t>
      </w:r>
      <w:r w:rsidRPr="00DA12C5">
        <w:rPr>
          <w:rFonts w:ascii="Arial Narrow" w:hAnsi="Arial Narrow" w:cs="Arial"/>
        </w:rPr>
        <w:t xml:space="preserve"> umowy</w:t>
      </w:r>
      <w:r w:rsidR="00536C48">
        <w:rPr>
          <w:rFonts w:ascii="Arial Narrow" w:hAnsi="Arial Narrow" w:cs="Arial"/>
        </w:rPr>
        <w:t xml:space="preserve"> definitywnej</w:t>
      </w:r>
      <w:r w:rsidRPr="00DA12C5">
        <w:rPr>
          <w:rFonts w:ascii="Arial Narrow" w:hAnsi="Arial Narrow" w:cs="Arial"/>
        </w:rPr>
        <w:t xml:space="preserve"> w formie aktu notarialnego. </w:t>
      </w:r>
      <w:r w:rsidR="00DD5038">
        <w:rPr>
          <w:rFonts w:ascii="Arial Narrow" w:hAnsi="Arial Narrow" w:cs="Arial"/>
        </w:rPr>
        <w:t>N</w:t>
      </w:r>
      <w:r w:rsidR="00DD5038" w:rsidRPr="00DA12C5">
        <w:rPr>
          <w:rFonts w:ascii="Arial Narrow" w:hAnsi="Arial Narrow" w:cs="Arial"/>
        </w:rPr>
        <w:t>a poczet ceny</w:t>
      </w:r>
      <w:r w:rsidR="00DD5038">
        <w:rPr>
          <w:rFonts w:ascii="Arial Narrow" w:hAnsi="Arial Narrow" w:cs="Arial"/>
        </w:rPr>
        <w:t xml:space="preserve"> zostanie zarachowane wadium wpłacone przez nabywcę.</w:t>
      </w:r>
      <w:r w:rsidR="00DD5038" w:rsidRPr="00DA12C5" w:rsidDel="00536C48">
        <w:rPr>
          <w:rFonts w:ascii="Arial Narrow" w:hAnsi="Arial Narrow" w:cs="Arial"/>
        </w:rPr>
        <w:t xml:space="preserve"> </w:t>
      </w:r>
      <w:r w:rsidR="00DD5038">
        <w:rPr>
          <w:rFonts w:ascii="Arial Narrow" w:hAnsi="Arial Narrow" w:cs="Arial"/>
          <w:color w:val="000000"/>
        </w:rPr>
        <w:t xml:space="preserve">Nabywca, który nie uiści tej kwoty we wskazanym powyżej terminie </w:t>
      </w:r>
      <w:r w:rsidR="00DD5038" w:rsidRPr="00DA12C5">
        <w:rPr>
          <w:rFonts w:ascii="Arial Narrow" w:hAnsi="Arial Narrow" w:cs="Arial"/>
        </w:rPr>
        <w:t>traci</w:t>
      </w:r>
      <w:r w:rsidR="0035578C">
        <w:rPr>
          <w:rFonts w:ascii="Arial Narrow" w:hAnsi="Arial Narrow" w:cs="Arial"/>
        </w:rPr>
        <w:t>:</w:t>
      </w:r>
      <w:r w:rsidR="00DD5038" w:rsidRPr="00DA12C5">
        <w:rPr>
          <w:rFonts w:ascii="Arial Narrow" w:hAnsi="Arial Narrow" w:cs="Arial"/>
        </w:rPr>
        <w:t xml:space="preserve"> prawo do zawarcia umowy</w:t>
      </w:r>
      <w:r w:rsidR="0035578C">
        <w:rPr>
          <w:rFonts w:ascii="Arial Narrow" w:hAnsi="Arial Narrow" w:cs="Arial"/>
        </w:rPr>
        <w:t xml:space="preserve">, </w:t>
      </w:r>
      <w:r w:rsidR="0035578C">
        <w:rPr>
          <w:rFonts w:ascii="Arial Narrow" w:hAnsi="Arial Narrow" w:cs="Arial"/>
          <w:color w:val="000000"/>
        </w:rPr>
        <w:t xml:space="preserve">kwotę odpowiadającą równowartości </w:t>
      </w:r>
      <w:r w:rsidR="0035578C" w:rsidRPr="00454FE0">
        <w:rPr>
          <w:rFonts w:ascii="Arial Narrow" w:hAnsi="Arial Narrow" w:cs="Arial"/>
          <w:b/>
          <w:color w:val="000000"/>
        </w:rPr>
        <w:t>10 %</w:t>
      </w:r>
      <w:r w:rsidR="0035578C">
        <w:rPr>
          <w:rFonts w:ascii="Arial Narrow" w:hAnsi="Arial Narrow" w:cs="Arial"/>
          <w:color w:val="000000"/>
        </w:rPr>
        <w:t xml:space="preserve"> zaoferowanej ceny wpłaconą przez nabywcę</w:t>
      </w:r>
      <w:r w:rsidR="003A651A">
        <w:rPr>
          <w:rFonts w:ascii="Arial Narrow" w:hAnsi="Arial Narrow" w:cs="Arial"/>
          <w:color w:val="000000"/>
        </w:rPr>
        <w:t xml:space="preserve"> tytułem zadatku</w:t>
      </w:r>
      <w:r w:rsidR="0035578C">
        <w:rPr>
          <w:rFonts w:ascii="Arial Narrow" w:hAnsi="Arial Narrow" w:cs="Arial"/>
          <w:color w:val="000000"/>
        </w:rPr>
        <w:t xml:space="preserve"> zgodnie z zawartą uprzednio umową warunkową</w:t>
      </w:r>
      <w:r w:rsidR="00DD5038" w:rsidRPr="00DA12C5">
        <w:rPr>
          <w:rFonts w:ascii="Arial Narrow" w:hAnsi="Arial Narrow" w:cs="Arial"/>
        </w:rPr>
        <w:t xml:space="preserve"> oraz złożone wadium</w:t>
      </w:r>
      <w:r w:rsidR="00DD5038">
        <w:rPr>
          <w:rFonts w:ascii="Arial Narrow" w:hAnsi="Arial Narrow" w:cs="Arial"/>
          <w:color w:val="000000"/>
        </w:rPr>
        <w:t>.</w:t>
      </w:r>
    </w:p>
    <w:p w14:paraId="76348F95" w14:textId="77777777" w:rsidR="008873CD" w:rsidRDefault="00834E28" w:rsidP="002F64A9">
      <w:pPr>
        <w:pStyle w:val="NormalnyWeb"/>
        <w:jc w:val="both"/>
        <w:rPr>
          <w:rFonts w:ascii="Arial Narrow" w:hAnsi="Arial Narrow" w:cs="Arial"/>
        </w:rPr>
      </w:pPr>
      <w:r w:rsidRPr="00DA12C5">
        <w:rPr>
          <w:rFonts w:ascii="Arial Narrow" w:hAnsi="Arial Narrow" w:cs="Arial"/>
        </w:rPr>
        <w:t xml:space="preserve">Wadium przepada na rzecz </w:t>
      </w:r>
      <w:r w:rsidR="00536C48">
        <w:rPr>
          <w:rFonts w:ascii="Arial Narrow" w:hAnsi="Arial Narrow" w:cs="Arial"/>
        </w:rPr>
        <w:t>Polfy</w:t>
      </w:r>
      <w:r w:rsidRPr="00DA12C5">
        <w:rPr>
          <w:rFonts w:ascii="Arial Narrow" w:hAnsi="Arial Narrow" w:cs="Arial"/>
        </w:rPr>
        <w:t xml:space="preserve">, jeżeli żaden z uczestników nie zaoferuje ceny wywoławczej. Wadium złożone przez oferentów, którzy nie zostaną nabywcami, zostanie zwrócone po licytacji, nie później niż w terminie 5 dni od jej zakończenia. Wadium przepada na rzecz Spółki, jeżeli oferent, który zaoferował </w:t>
      </w:r>
      <w:r w:rsidRPr="00DA12C5">
        <w:rPr>
          <w:rFonts w:ascii="Arial Narrow" w:hAnsi="Arial Narrow" w:cs="Arial"/>
        </w:rPr>
        <w:lastRenderedPageBreak/>
        <w:t>najwyższą cenę, uchyli się od zawarcia umowy</w:t>
      </w:r>
      <w:r w:rsidR="00536C48">
        <w:rPr>
          <w:rFonts w:ascii="Arial Narrow" w:hAnsi="Arial Narrow" w:cs="Arial"/>
        </w:rPr>
        <w:t xml:space="preserve"> (umowy warunkowej lub umowy definitywnej)</w:t>
      </w:r>
      <w:r w:rsidRPr="00DA12C5">
        <w:rPr>
          <w:rFonts w:ascii="Arial Narrow" w:hAnsi="Arial Narrow" w:cs="Arial"/>
        </w:rPr>
        <w:t xml:space="preserve"> lub zapłaty ceny we wskazanym terminie. Koszty zawarcia umowy</w:t>
      </w:r>
      <w:r w:rsidR="00DD5038">
        <w:rPr>
          <w:rFonts w:ascii="Arial Narrow" w:hAnsi="Arial Narrow" w:cs="Arial"/>
        </w:rPr>
        <w:t xml:space="preserve"> warunkowej oraz umowy definitywnej</w:t>
      </w:r>
      <w:r w:rsidR="00CE0807">
        <w:rPr>
          <w:rFonts w:ascii="Arial Narrow" w:hAnsi="Arial Narrow" w:cs="Arial"/>
        </w:rPr>
        <w:t xml:space="preserve"> </w:t>
      </w:r>
      <w:r w:rsidRPr="00DA12C5">
        <w:rPr>
          <w:rFonts w:ascii="Arial Narrow" w:hAnsi="Arial Narrow" w:cs="Arial"/>
        </w:rPr>
        <w:t>ponosi nabywca. Nieruchomość zostanie przekazana protokołem zdawczo - odbiorczym w terminie uzgodnionym przez strony.</w:t>
      </w:r>
      <w:r w:rsidR="0093480C">
        <w:rPr>
          <w:rFonts w:ascii="Arial Narrow" w:hAnsi="Arial Narrow" w:cs="Arial"/>
        </w:rPr>
        <w:t xml:space="preserve"> W zakresie nieuregulowanym niniejszym ogłoszeniem stosuje się przepisy </w:t>
      </w:r>
      <w:r w:rsidR="0093480C" w:rsidRPr="00F93090">
        <w:rPr>
          <w:rFonts w:ascii="Arial Narrow" w:hAnsi="Arial Narrow" w:cs="Arial"/>
        </w:rPr>
        <w:t>Rozporządzenia Rady Ministrów z dnia 13 lutego 2007 r. w sprawie określania sposobu i trybu organizowania przetargu na sprzedaż składników aktywów trwałych przez spółkę powstałą w wyniku komercjalizacji (Dz. U. Nr 27, poz. 177 ze zm.)</w:t>
      </w:r>
      <w:r w:rsidR="0093480C">
        <w:rPr>
          <w:rFonts w:ascii="Arial Narrow" w:hAnsi="Arial Narrow" w:cs="Arial"/>
        </w:rPr>
        <w:t>.</w:t>
      </w:r>
      <w:bookmarkStart w:id="4" w:name="mip41341607"/>
      <w:bookmarkStart w:id="5" w:name="mip41341609"/>
      <w:bookmarkStart w:id="6" w:name="mip41341610"/>
      <w:bookmarkEnd w:id="4"/>
      <w:bookmarkEnd w:id="5"/>
      <w:bookmarkEnd w:id="6"/>
    </w:p>
    <w:p w14:paraId="5C28F35E" w14:textId="4BF3B15A" w:rsidR="008E01C9" w:rsidRDefault="0035578C" w:rsidP="002F64A9">
      <w:pPr>
        <w:pStyle w:val="NormalnyWeb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Jednocześnie </w:t>
      </w:r>
      <w:r w:rsidR="008873CD" w:rsidRPr="008E01C9">
        <w:rPr>
          <w:rFonts w:ascii="Arial Narrow" w:hAnsi="Arial Narrow" w:cs="Arial"/>
        </w:rPr>
        <w:t>Polfa informuje,</w:t>
      </w:r>
      <w:r>
        <w:rPr>
          <w:rFonts w:ascii="Arial Narrow" w:hAnsi="Arial Narrow" w:cs="Arial"/>
        </w:rPr>
        <w:t xml:space="preserve"> że w zakresie prawa użytkowania wieczystego do jednej z ww. działe</w:t>
      </w:r>
      <w:r w:rsidR="0051357E">
        <w:rPr>
          <w:rFonts w:ascii="Arial Narrow" w:hAnsi="Arial Narrow" w:cs="Arial"/>
        </w:rPr>
        <w:t>k Polfa uprawniona jest warunkowo</w:t>
      </w:r>
      <w:r>
        <w:rPr>
          <w:rFonts w:ascii="Arial Narrow" w:hAnsi="Arial Narrow" w:cs="Arial"/>
        </w:rPr>
        <w:t xml:space="preserve">, tj. pod warunkiem </w:t>
      </w:r>
      <w:r w:rsidRPr="008E01C9">
        <w:rPr>
          <w:rFonts w:ascii="Arial Narrow" w:hAnsi="Arial Narrow"/>
          <w:color w:val="000000"/>
        </w:rPr>
        <w:t xml:space="preserve">że </w:t>
      </w:r>
      <w:r w:rsidRPr="008E01C9">
        <w:rPr>
          <w:rFonts w:ascii="Arial Narrow" w:hAnsi="Arial Narrow" w:cs="Arial"/>
          <w:color w:val="000000"/>
        </w:rPr>
        <w:t>Prezydent m.st. Warszawy nie wykona prawa pierwokupu przysługującego m.st. Warszawa zgodnie z przepisem art. 109 ust. 1 pkt 2 ustawy z dnia 21 sierpnia 1997 rok</w:t>
      </w:r>
      <w:r>
        <w:rPr>
          <w:rFonts w:ascii="Arial Narrow" w:hAnsi="Arial Narrow" w:cs="Arial"/>
          <w:color w:val="000000"/>
        </w:rPr>
        <w:t>u o gospodarce nieruchomościami</w:t>
      </w:r>
      <w:r w:rsidR="008873CD" w:rsidRPr="008E01C9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 xml:space="preserve"> W dniu ogłoszenia niniejszego przetargu</w:t>
      </w:r>
      <w:r w:rsidR="0048335B">
        <w:rPr>
          <w:rFonts w:ascii="Arial Narrow" w:hAnsi="Arial Narrow" w:cs="Arial"/>
        </w:rPr>
        <w:t xml:space="preserve"> nie upłynął jeszcze</w:t>
      </w:r>
      <w:r>
        <w:rPr>
          <w:rFonts w:ascii="Arial Narrow" w:hAnsi="Arial Narrow" w:cs="Arial"/>
        </w:rPr>
        <w:t xml:space="preserve"> termin</w:t>
      </w:r>
      <w:r w:rsidR="0048335B">
        <w:rPr>
          <w:rFonts w:ascii="Arial Narrow" w:hAnsi="Arial Narrow" w:cs="Arial"/>
        </w:rPr>
        <w:t xml:space="preserve"> do wykonania prawa pierwokupu dla Prezydenta m. st. Warszawy stosownie do </w:t>
      </w:r>
      <w:r w:rsidR="0048335B" w:rsidRPr="007C4829">
        <w:rPr>
          <w:rFonts w:ascii="Arial Narrow" w:hAnsi="Arial Narrow" w:cs="Arial"/>
        </w:rPr>
        <w:t xml:space="preserve">art. 110 ust. </w:t>
      </w:r>
      <w:r w:rsidR="00B82CFC">
        <w:rPr>
          <w:rFonts w:ascii="Arial Narrow" w:hAnsi="Arial Narrow" w:cs="Arial"/>
        </w:rPr>
        <w:t>2</w:t>
      </w:r>
      <w:r w:rsidR="0048335B" w:rsidRPr="007C4829">
        <w:rPr>
          <w:rFonts w:ascii="Arial Narrow" w:hAnsi="Arial Narrow" w:cs="Arial"/>
        </w:rPr>
        <w:t xml:space="preserve"> </w:t>
      </w:r>
      <w:r w:rsidR="0048335B">
        <w:rPr>
          <w:rFonts w:ascii="Arial Narrow" w:hAnsi="Arial Narrow" w:cs="Arial"/>
        </w:rPr>
        <w:t>ww. ustawy.</w:t>
      </w:r>
      <w:r>
        <w:rPr>
          <w:rFonts w:ascii="Arial Narrow" w:hAnsi="Arial Narrow" w:cs="Arial"/>
        </w:rPr>
        <w:t xml:space="preserve">  </w:t>
      </w:r>
      <w:r w:rsidR="008873CD" w:rsidRPr="008E01C9">
        <w:rPr>
          <w:rFonts w:ascii="Arial Narrow" w:hAnsi="Arial Narrow" w:cs="Arial"/>
          <w:color w:val="000000"/>
        </w:rPr>
        <w:t xml:space="preserve">W przypadku wykonania prawa pierwokupu przez Prezydenta m. st. Warszawy Polfa </w:t>
      </w:r>
      <w:r w:rsidR="008873CD" w:rsidRPr="008C4A27">
        <w:rPr>
          <w:rFonts w:ascii="Arial Narrow" w:hAnsi="Arial Narrow" w:cs="Arial"/>
          <w:b/>
          <w:color w:val="000000"/>
        </w:rPr>
        <w:t>odwoła przedmiotowy przetarg</w:t>
      </w:r>
      <w:r w:rsidR="008873CD" w:rsidRPr="008E01C9">
        <w:rPr>
          <w:rFonts w:ascii="Arial Narrow" w:hAnsi="Arial Narrow" w:cs="Arial"/>
          <w:color w:val="000000"/>
        </w:rPr>
        <w:t xml:space="preserve"> i poinformuje o tym niezwłocznie wszystkie podmioty, które zgłosiły chęć udziału w przetargu. </w:t>
      </w:r>
      <w:r w:rsidR="008873CD" w:rsidRPr="006F4B69">
        <w:rPr>
          <w:rFonts w:ascii="Arial Narrow" w:hAnsi="Arial Narrow" w:cs="Arial"/>
          <w:b/>
          <w:color w:val="000000"/>
        </w:rPr>
        <w:t xml:space="preserve">W takim wypadku Polfa zwróci wadium na rzecz podmiotów, które dokonały jego wpłaty. </w:t>
      </w:r>
    </w:p>
    <w:p w14:paraId="7765E7E8" w14:textId="2A0D3651" w:rsidR="00834E28" w:rsidRPr="00DA12C5" w:rsidRDefault="00F93090" w:rsidP="002F64A9">
      <w:pPr>
        <w:pStyle w:val="NormalnyWeb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Oględzin p</w:t>
      </w:r>
      <w:r w:rsidR="00834E28" w:rsidRPr="00DA12C5">
        <w:rPr>
          <w:rFonts w:ascii="Arial Narrow" w:hAnsi="Arial Narrow" w:cs="Arial"/>
        </w:rPr>
        <w:t>rzedmio</w:t>
      </w:r>
      <w:r w:rsidR="00C02ED8" w:rsidRPr="00DA12C5">
        <w:rPr>
          <w:rFonts w:ascii="Arial Narrow" w:hAnsi="Arial Narrow" w:cs="Arial"/>
        </w:rPr>
        <w:t>t</w:t>
      </w:r>
      <w:r>
        <w:rPr>
          <w:rFonts w:ascii="Arial Narrow" w:hAnsi="Arial Narrow" w:cs="Arial"/>
        </w:rPr>
        <w:t>u</w:t>
      </w:r>
      <w:r w:rsidR="00834E28" w:rsidRPr="00DA12C5">
        <w:rPr>
          <w:rFonts w:ascii="Arial Narrow" w:hAnsi="Arial Narrow" w:cs="Arial"/>
        </w:rPr>
        <w:t xml:space="preserve"> przetarg</w:t>
      </w:r>
      <w:r w:rsidR="00C02ED8" w:rsidRPr="00DA12C5">
        <w:rPr>
          <w:rFonts w:ascii="Arial Narrow" w:hAnsi="Arial Narrow" w:cs="Arial"/>
        </w:rPr>
        <w:t>u</w:t>
      </w:r>
      <w:r w:rsidR="00834E28" w:rsidRPr="00DA12C5">
        <w:rPr>
          <w:rFonts w:ascii="Arial Narrow" w:hAnsi="Arial Narrow" w:cs="Arial"/>
        </w:rPr>
        <w:t xml:space="preserve"> można </w:t>
      </w:r>
      <w:r>
        <w:rPr>
          <w:rFonts w:ascii="Arial Narrow" w:hAnsi="Arial Narrow" w:cs="Arial"/>
        </w:rPr>
        <w:t>dokonać</w:t>
      </w:r>
      <w:r w:rsidR="00834E28" w:rsidRPr="00DA12C5">
        <w:rPr>
          <w:rFonts w:ascii="Arial Narrow" w:hAnsi="Arial Narrow" w:cs="Arial"/>
        </w:rPr>
        <w:t xml:space="preserve"> w dni powszednie w godz. od 8.00 do 14.00 w okresie od dnia publikacji niniejszego ogłoszenia d</w:t>
      </w:r>
      <w:r w:rsidR="00406108" w:rsidRPr="00DA12C5">
        <w:rPr>
          <w:rFonts w:ascii="Arial Narrow" w:hAnsi="Arial Narrow" w:cs="Arial"/>
        </w:rPr>
        <w:t>o dnia poprzedzającego przetarg i</w:t>
      </w:r>
      <w:r w:rsidR="00834E28" w:rsidRPr="00DA12C5">
        <w:rPr>
          <w:rFonts w:ascii="Arial Narrow" w:hAnsi="Arial Narrow" w:cs="Arial"/>
        </w:rPr>
        <w:t xml:space="preserve"> po uprzednim uzgodnieniu terminu.</w:t>
      </w:r>
    </w:p>
    <w:p w14:paraId="1B7EA419" w14:textId="77777777" w:rsidR="00834E28" w:rsidRPr="00DA12C5" w:rsidRDefault="00834E28" w:rsidP="002F64A9">
      <w:pPr>
        <w:pStyle w:val="NormalnyWeb"/>
        <w:jc w:val="both"/>
        <w:rPr>
          <w:rFonts w:ascii="Arial Narrow" w:hAnsi="Arial Narrow" w:cs="Arial"/>
        </w:rPr>
      </w:pPr>
      <w:r w:rsidRPr="00DA12C5">
        <w:rPr>
          <w:rFonts w:ascii="Arial Narrow" w:hAnsi="Arial Narrow" w:cs="Arial"/>
        </w:rPr>
        <w:t>Informacji na temat stanu f</w:t>
      </w:r>
      <w:r w:rsidR="002F64A9" w:rsidRPr="00DA12C5">
        <w:rPr>
          <w:rFonts w:ascii="Arial Narrow" w:hAnsi="Arial Narrow" w:cs="Arial"/>
        </w:rPr>
        <w:t>aktycznego i prawnego przedmiot</w:t>
      </w:r>
      <w:r w:rsidR="00595DEB">
        <w:rPr>
          <w:rFonts w:ascii="Arial Narrow" w:hAnsi="Arial Narrow" w:cs="Arial"/>
        </w:rPr>
        <w:t>u</w:t>
      </w:r>
      <w:r w:rsidRPr="00DA12C5">
        <w:rPr>
          <w:rFonts w:ascii="Arial Narrow" w:hAnsi="Arial Narrow" w:cs="Arial"/>
        </w:rPr>
        <w:t xml:space="preserve"> przetar</w:t>
      </w:r>
      <w:r w:rsidR="002F64A9" w:rsidRPr="00DA12C5">
        <w:rPr>
          <w:rFonts w:ascii="Arial Narrow" w:hAnsi="Arial Narrow" w:cs="Arial"/>
        </w:rPr>
        <w:t>g</w:t>
      </w:r>
      <w:r w:rsidR="00595DEB">
        <w:rPr>
          <w:rFonts w:ascii="Arial Narrow" w:hAnsi="Arial Narrow" w:cs="Arial"/>
        </w:rPr>
        <w:t>u</w:t>
      </w:r>
      <w:r w:rsidR="002F64A9" w:rsidRPr="00DA12C5">
        <w:rPr>
          <w:rFonts w:ascii="Arial Narrow" w:hAnsi="Arial Narrow" w:cs="Arial"/>
        </w:rPr>
        <w:t xml:space="preserve"> udziela</w:t>
      </w:r>
      <w:r w:rsidRPr="00DA12C5">
        <w:rPr>
          <w:rFonts w:ascii="Arial Narrow" w:hAnsi="Arial Narrow" w:cs="Arial"/>
        </w:rPr>
        <w:t>:</w:t>
      </w:r>
    </w:p>
    <w:p w14:paraId="646A0D73" w14:textId="77777777" w:rsidR="00834E28" w:rsidRPr="00DA12C5" w:rsidRDefault="00834E28" w:rsidP="002F64A9">
      <w:pPr>
        <w:pStyle w:val="NormalnyWeb"/>
        <w:jc w:val="both"/>
        <w:rPr>
          <w:rFonts w:ascii="Arial Narrow" w:hAnsi="Arial Narrow" w:cs="Arial"/>
        </w:rPr>
      </w:pPr>
      <w:r w:rsidRPr="00DA12C5">
        <w:rPr>
          <w:rFonts w:ascii="Arial Narrow" w:hAnsi="Arial Narrow" w:cs="Arial"/>
        </w:rPr>
        <w:t xml:space="preserve">- Pan </w:t>
      </w:r>
      <w:r w:rsidR="002F64A9" w:rsidRPr="00DA12C5">
        <w:rPr>
          <w:rFonts w:ascii="Arial Narrow" w:hAnsi="Arial Narrow" w:cs="Arial"/>
        </w:rPr>
        <w:t>Jerzy Łacheta – Tel.</w:t>
      </w:r>
      <w:r w:rsidRPr="00DA12C5">
        <w:rPr>
          <w:rFonts w:ascii="Arial Narrow" w:hAnsi="Arial Narrow" w:cs="Arial"/>
        </w:rPr>
        <w:t xml:space="preserve"> </w:t>
      </w:r>
      <w:r w:rsidR="002F64A9" w:rsidRPr="00DA12C5">
        <w:rPr>
          <w:rFonts w:ascii="Arial Narrow" w:hAnsi="Arial Narrow" w:cs="Arial"/>
        </w:rPr>
        <w:t>22 510 88 94</w:t>
      </w:r>
      <w:r w:rsidR="002C2982">
        <w:rPr>
          <w:rFonts w:ascii="Arial Narrow" w:hAnsi="Arial Narrow" w:cs="Arial"/>
        </w:rPr>
        <w:t>; e-mail: jlacheta@polfa-tarchomin.com.pl</w:t>
      </w:r>
    </w:p>
    <w:p w14:paraId="5392E1B9" w14:textId="77777777" w:rsidR="00834E28" w:rsidRPr="00DA12C5" w:rsidRDefault="002F64A9" w:rsidP="002F64A9">
      <w:pPr>
        <w:pStyle w:val="NormalnyWeb"/>
        <w:jc w:val="both"/>
        <w:rPr>
          <w:rFonts w:ascii="Arial Narrow" w:hAnsi="Arial Narrow" w:cs="Arial"/>
        </w:rPr>
      </w:pPr>
      <w:r w:rsidRPr="00DA12C5">
        <w:rPr>
          <w:rFonts w:ascii="Arial Narrow" w:hAnsi="Arial Narrow"/>
          <w:b/>
          <w:bCs/>
        </w:rPr>
        <w:t>Tarchomińskie Zakłady Farmaceutyczne „Polfa” Spółka Akcyjna</w:t>
      </w:r>
      <w:r w:rsidRPr="00DA12C5">
        <w:rPr>
          <w:rFonts w:ascii="Arial Narrow" w:hAnsi="Arial Narrow" w:cs="Arial"/>
        </w:rPr>
        <w:t xml:space="preserve"> </w:t>
      </w:r>
      <w:r w:rsidR="00834E28" w:rsidRPr="00DA12C5">
        <w:rPr>
          <w:rFonts w:ascii="Arial Narrow" w:hAnsi="Arial Narrow" w:cs="Arial"/>
        </w:rPr>
        <w:t>zastrzega sobie prawo do zmiany ogło</w:t>
      </w:r>
      <w:r w:rsidR="00595DEB">
        <w:rPr>
          <w:rFonts w:ascii="Arial Narrow" w:hAnsi="Arial Narrow" w:cs="Arial"/>
        </w:rPr>
        <w:t>szenia albo odwołania przetargu</w:t>
      </w:r>
      <w:r w:rsidR="00834E28" w:rsidRPr="00DA12C5">
        <w:rPr>
          <w:rFonts w:ascii="Arial Narrow" w:hAnsi="Arial Narrow" w:cs="Arial"/>
        </w:rPr>
        <w:t xml:space="preserve"> bez podania przyczyn, z </w:t>
      </w:r>
      <w:r w:rsidRPr="00DA12C5">
        <w:rPr>
          <w:rFonts w:ascii="Arial Narrow" w:hAnsi="Arial Narrow" w:cs="Arial"/>
        </w:rPr>
        <w:t>zastrzeżeniem, iż</w:t>
      </w:r>
      <w:r w:rsidR="00834E28" w:rsidRPr="00DA12C5">
        <w:rPr>
          <w:rFonts w:ascii="Arial Narrow" w:hAnsi="Arial Narrow" w:cs="Arial"/>
        </w:rPr>
        <w:t xml:space="preserve"> nastąpi to przed rozpoczęciem licytacji.</w:t>
      </w:r>
    </w:p>
    <w:p w14:paraId="44EA5418" w14:textId="77777777" w:rsidR="00834E28" w:rsidRPr="00DA12C5" w:rsidRDefault="00834E28" w:rsidP="002F64A9">
      <w:pPr>
        <w:pStyle w:val="NormalnyWeb"/>
        <w:jc w:val="both"/>
        <w:rPr>
          <w:rFonts w:ascii="Arial Narrow" w:hAnsi="Arial Narrow" w:cs="Arial"/>
        </w:rPr>
      </w:pPr>
      <w:r w:rsidRPr="00DA12C5">
        <w:rPr>
          <w:rFonts w:ascii="Arial Narrow" w:hAnsi="Arial Narrow" w:cs="Arial"/>
        </w:rPr>
        <w:t xml:space="preserve">Dodatkowo, </w:t>
      </w:r>
      <w:r w:rsidR="002F64A9" w:rsidRPr="00DA12C5">
        <w:rPr>
          <w:rFonts w:ascii="Arial Narrow" w:hAnsi="Arial Narrow"/>
          <w:b/>
          <w:bCs/>
        </w:rPr>
        <w:t>Tarchomińskie Zakłady Farmaceutyczne „Polfa” Spółka Akcyjna</w:t>
      </w:r>
      <w:r w:rsidR="002F64A9" w:rsidRPr="00DA12C5">
        <w:rPr>
          <w:rFonts w:ascii="Arial Narrow" w:hAnsi="Arial Narrow" w:cs="Arial"/>
        </w:rPr>
        <w:t xml:space="preserve"> </w:t>
      </w:r>
      <w:r w:rsidRPr="00DA12C5">
        <w:rPr>
          <w:rFonts w:ascii="Arial Narrow" w:hAnsi="Arial Narrow" w:cs="Arial"/>
        </w:rPr>
        <w:t>z</w:t>
      </w:r>
      <w:r w:rsidR="00595DEB">
        <w:rPr>
          <w:rFonts w:ascii="Arial Narrow" w:hAnsi="Arial Narrow" w:cs="Arial"/>
        </w:rPr>
        <w:t xml:space="preserve">astrzega, iż unieważni przetarg </w:t>
      </w:r>
      <w:r w:rsidRPr="00DA12C5">
        <w:rPr>
          <w:rFonts w:ascii="Arial Narrow" w:hAnsi="Arial Narrow" w:cs="Arial"/>
        </w:rPr>
        <w:t>w przypadku naruszenia obowiązujących Spółkę przepisów dotyczących sprzedaży aktywów trwałych.</w:t>
      </w:r>
    </w:p>
    <w:p w14:paraId="6CA8E70C" w14:textId="77777777" w:rsidR="00834E28" w:rsidRPr="002F64A9" w:rsidRDefault="00834E28" w:rsidP="002F64A9">
      <w:pPr>
        <w:jc w:val="both"/>
        <w:rPr>
          <w:rFonts w:ascii="Arial Narrow" w:hAnsi="Arial Narrow"/>
          <w:b/>
          <w:bCs/>
        </w:rPr>
      </w:pPr>
    </w:p>
    <w:sectPr w:rsidR="00834E28" w:rsidRPr="002F64A9" w:rsidSect="008E01C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C330D"/>
    <w:multiLevelType w:val="hybridMultilevel"/>
    <w:tmpl w:val="5F3A9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E2704"/>
    <w:multiLevelType w:val="hybridMultilevel"/>
    <w:tmpl w:val="887434E4"/>
    <w:lvl w:ilvl="0" w:tplc="036EFDC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88C"/>
    <w:rsid w:val="00030011"/>
    <w:rsid w:val="000622EE"/>
    <w:rsid w:val="00070D8C"/>
    <w:rsid w:val="00085C8F"/>
    <w:rsid w:val="000B4442"/>
    <w:rsid w:val="000B68DA"/>
    <w:rsid w:val="000D2FC6"/>
    <w:rsid w:val="001421A9"/>
    <w:rsid w:val="001459BA"/>
    <w:rsid w:val="00151F34"/>
    <w:rsid w:val="001C188C"/>
    <w:rsid w:val="00253E7E"/>
    <w:rsid w:val="00257C1F"/>
    <w:rsid w:val="0026043C"/>
    <w:rsid w:val="002B031C"/>
    <w:rsid w:val="002C2982"/>
    <w:rsid w:val="002F64A9"/>
    <w:rsid w:val="00335BCD"/>
    <w:rsid w:val="0035578C"/>
    <w:rsid w:val="00357F37"/>
    <w:rsid w:val="00364C57"/>
    <w:rsid w:val="00375C34"/>
    <w:rsid w:val="003A651A"/>
    <w:rsid w:val="003B77EF"/>
    <w:rsid w:val="003D5BCC"/>
    <w:rsid w:val="003E1BB5"/>
    <w:rsid w:val="00406108"/>
    <w:rsid w:val="00416633"/>
    <w:rsid w:val="004239AF"/>
    <w:rsid w:val="00447271"/>
    <w:rsid w:val="00454FE0"/>
    <w:rsid w:val="00461A1F"/>
    <w:rsid w:val="004771E7"/>
    <w:rsid w:val="0048335B"/>
    <w:rsid w:val="00483D86"/>
    <w:rsid w:val="004E052C"/>
    <w:rsid w:val="004F1618"/>
    <w:rsid w:val="00507B1F"/>
    <w:rsid w:val="0051357E"/>
    <w:rsid w:val="00536C48"/>
    <w:rsid w:val="00552DEF"/>
    <w:rsid w:val="00567B47"/>
    <w:rsid w:val="00583C10"/>
    <w:rsid w:val="00595DEB"/>
    <w:rsid w:val="005B06EA"/>
    <w:rsid w:val="005B75A3"/>
    <w:rsid w:val="006250E1"/>
    <w:rsid w:val="00626F71"/>
    <w:rsid w:val="00631163"/>
    <w:rsid w:val="00645A50"/>
    <w:rsid w:val="00692C18"/>
    <w:rsid w:val="006B5059"/>
    <w:rsid w:val="006F4B69"/>
    <w:rsid w:val="00714FF2"/>
    <w:rsid w:val="00727177"/>
    <w:rsid w:val="00796D97"/>
    <w:rsid w:val="00811905"/>
    <w:rsid w:val="00811F50"/>
    <w:rsid w:val="00834E28"/>
    <w:rsid w:val="008727A9"/>
    <w:rsid w:val="00873CA9"/>
    <w:rsid w:val="0087696F"/>
    <w:rsid w:val="008873CD"/>
    <w:rsid w:val="00893950"/>
    <w:rsid w:val="008A180D"/>
    <w:rsid w:val="008C4A27"/>
    <w:rsid w:val="008E01C9"/>
    <w:rsid w:val="008F3DDE"/>
    <w:rsid w:val="00907E0C"/>
    <w:rsid w:val="00911472"/>
    <w:rsid w:val="00912760"/>
    <w:rsid w:val="0093480C"/>
    <w:rsid w:val="009412E3"/>
    <w:rsid w:val="0099055F"/>
    <w:rsid w:val="009B0166"/>
    <w:rsid w:val="009B085F"/>
    <w:rsid w:val="009E0B9A"/>
    <w:rsid w:val="00A26F6B"/>
    <w:rsid w:val="00A47837"/>
    <w:rsid w:val="00B82CFC"/>
    <w:rsid w:val="00C02ED8"/>
    <w:rsid w:val="00C223FB"/>
    <w:rsid w:val="00C72213"/>
    <w:rsid w:val="00CE0807"/>
    <w:rsid w:val="00CE5E32"/>
    <w:rsid w:val="00CF11FA"/>
    <w:rsid w:val="00CF4021"/>
    <w:rsid w:val="00D413C7"/>
    <w:rsid w:val="00D418C3"/>
    <w:rsid w:val="00D56214"/>
    <w:rsid w:val="00D60418"/>
    <w:rsid w:val="00D6086C"/>
    <w:rsid w:val="00D6574A"/>
    <w:rsid w:val="00D6625A"/>
    <w:rsid w:val="00D97DF9"/>
    <w:rsid w:val="00DA12C5"/>
    <w:rsid w:val="00DB43E1"/>
    <w:rsid w:val="00DC6725"/>
    <w:rsid w:val="00DD5038"/>
    <w:rsid w:val="00E527D9"/>
    <w:rsid w:val="00EF47A1"/>
    <w:rsid w:val="00F2162F"/>
    <w:rsid w:val="00F334AD"/>
    <w:rsid w:val="00F504AA"/>
    <w:rsid w:val="00F60824"/>
    <w:rsid w:val="00F93090"/>
    <w:rsid w:val="00FA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D31B3"/>
  <w15:docId w15:val="{50599BBD-EB8A-4D79-9BD2-E1EDBE18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188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6625A"/>
    <w:pPr>
      <w:spacing w:before="100" w:beforeAutospacing="1" w:after="100" w:afterAutospacing="1"/>
    </w:pPr>
    <w:rPr>
      <w:rFonts w:eastAsia="Times New Roman"/>
      <w:lang w:eastAsia="pl-PL"/>
    </w:rPr>
  </w:style>
  <w:style w:type="paragraph" w:styleId="Akapitzlist">
    <w:name w:val="List Paragraph"/>
    <w:basedOn w:val="Normalny"/>
    <w:uiPriority w:val="34"/>
    <w:qFormat/>
    <w:rsid w:val="000B68D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6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618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583C10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05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05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052C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05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052C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articletitle">
    <w:name w:val="articletitle"/>
    <w:basedOn w:val="Domylnaczcionkaakapitu"/>
    <w:rsid w:val="00F21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3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842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16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36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53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95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8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33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93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87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2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7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9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4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0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0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8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0403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1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4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0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6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05229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7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75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1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59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C0BE0-59C6-48DE-A1B7-81A579CBE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1715</Words>
  <Characters>10294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008195</dc:creator>
  <cp:lastModifiedBy>Łacheta Jerzy</cp:lastModifiedBy>
  <cp:revision>3</cp:revision>
  <cp:lastPrinted>2018-02-22T13:17:00Z</cp:lastPrinted>
  <dcterms:created xsi:type="dcterms:W3CDTF">2018-02-26T10:34:00Z</dcterms:created>
  <dcterms:modified xsi:type="dcterms:W3CDTF">2018-02-26T11:04:00Z</dcterms:modified>
</cp:coreProperties>
</file>