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8B" w:rsidRPr="00407D8B" w:rsidRDefault="00407D8B" w:rsidP="00407D8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2a</w:t>
      </w:r>
    </w:p>
    <w:p w:rsidR="00407D8B" w:rsidRPr="00407D8B" w:rsidRDefault="00407D8B" w:rsidP="00407D8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„Programu o</w:t>
      </w:r>
      <w:r w:rsidRPr="00407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pieki nad rodzinami wysokiego, dziedzicznie uwarunkowanego ryzyka zachorowania na nowotwory złośliwe – Moduł I – wczesne wykrywanie nowotworów złośliwych w rodzinach wysokiego, dziedzicznie uwarunkowanego ryzyka zachorowania na raka piersi i raka jajnika” na lata 2018-2021.</w:t>
      </w:r>
    </w:p>
    <w:p w:rsidR="00407D8B" w:rsidRPr="00407D8B" w:rsidRDefault="00407D8B" w:rsidP="00407D8B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zadania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jest zidentyfikowanie możliwie największej liczby osób z rodzin wysokiego ryzyka zachorowania na raka piersi i/lub raka jajnika i objęcie ich opieką ukierunkowaną na możliwie najwcześniejsze rozpoznanie, a także na aktywną prewencję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te nowotwory.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Opis: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Celem zadania jest prewencja oraz znaczne zwiększenie odsetka wczesnych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rozpoznań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 dzięki temu wyleczeń raka piersi i/lub jajnika w rodzinach wysokiego, dziedzicznie uwarunkowanego ryzyka zachorowania na te nowotwory, poprzez:</w:t>
      </w:r>
    </w:p>
    <w:p w:rsidR="00407D8B" w:rsidRPr="00407D8B" w:rsidRDefault="00407D8B" w:rsidP="00407D8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Zidentyfikowanie - na podstawie ankiet wśród osób zdrowych i/lub dokładnych wywiadów rodzinnych chorych kobiet, u których prawdopodobieństwo zachorowania w ciągu życia na raka piersi i/lub jajnika wynosi ponad 30%.</w:t>
      </w:r>
    </w:p>
    <w:p w:rsidR="00407D8B" w:rsidRPr="00407D8B" w:rsidRDefault="00407D8B" w:rsidP="00407D8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CHEK2 i PALB2.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Badania nosicielstwa mutacji w/w genów umożliwiają ustalenie lub wykluczenie wysokiego indywidualnego ryzyka wśród zdrowych krewnych nosicielek mutacji.</w:t>
      </w:r>
    </w:p>
    <w:p w:rsidR="00407D8B" w:rsidRPr="00407D8B" w:rsidRDefault="00407D8B" w:rsidP="00407D8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Objęcie kobiet z grupy wysokiego ryzyka stałą profilaktyczną opieką onkologiczną, programem corocznych badań ukierunkowanych na wczesne rozpoznanie raka piersi (samobadanie piersi, mammografia i USG, biopsja oraz - u nosicielek mutacji genu 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BRCA1 i/lub BRCA2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badanie piersi metodą rezonansu magnetycznego) oraz raka jajnika i endometrium (USG ginekologiczne, oznaczanie CA-125).</w:t>
      </w:r>
    </w:p>
    <w:p w:rsidR="00407D8B" w:rsidRPr="00407D8B" w:rsidRDefault="00407D8B" w:rsidP="00407D8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 udziałem lekarza specjalisty genetyka klinicznego, ginekologa-onkologa i/lub chirurga-onkologa/ chirurga plastycznego.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Rak piersi jest najczęstszą przyczyną zgonów kobiet pomiędzy </w:t>
      </w:r>
      <w:smartTag w:uri="urn:schemas-microsoft-com:office:smarttags" w:element="metricconverter">
        <w:smartTagPr>
          <w:attr w:name="ProductID" w:val="40 a"/>
        </w:smartTagPr>
        <w:r w:rsidRPr="00407D8B"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t>40 a</w:t>
        </w:r>
      </w:smartTag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60 rokiem życia. Silne dziedziczne uwarunkowania są przyczyną około 15%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piersi w Polsce. Pięciokrotnie lub nawet więcej razy zwiększone, w stosunku do populacyjnego, ryzyko zachorowania na ten nowotwór występuje w grupie około 500 000 – 800 000 kobiet w wieku 25-70 lat</w:t>
      </w:r>
      <w:r w:rsidRPr="00407D8B" w:rsidDel="00FC3D0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(nosicielki mutacji genów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BRCA1/2,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PALB2, CHEK2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rzadziej występujących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mutacji innych genów, z historią BC w rodzinie). Silne dziedziczne predyspozycje do jego rozwoju są jedną z głównych przyczyn umieralności kobiet do 60 r.ż. Komponenta dziedziczna występuje we wszystkich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zachorowaniach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piersi i raka jajnika, lecz poziomy względnego i bezwzględnego ryzyka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u nosicieli różnych typów mutacji genów predyspozycji do tych nowotworów (dotąd zidentyfikowanych prawdopodobnie tylko w części) są bardzo zróżnicowane.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Ponieważ dotąd została poznana tylko część genów predyspozycji - podstawą do rozpoznawania dziedzicznie uwarunkowanego ryzyka zachorowania na raki piersi i/lub jajnika jest najczęściej wywiad rodzinny. Podstawą do oszacowania poziomu ryzyka bezwzględnego i względnego jest liczba i wiek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raki piersi i/lub raki jajnika wśród krewnych, a także wystąpienie synchronicznych, a zwłaszcza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metachronicznych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drugich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jajnika lub raka drugiej piersi u probantki lub krewnych, które wcześniej zachorowały na raka.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Molekularne badanie pod kątem nosicielstwa mutacji w obrębie genów silnych predyspozycji do rozwoju nowotworów ma istotne znaczenie w identyfikowaniu kobiet o szczególnie wysokim ryzyku zachorowania.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grupy najwyższego ryzyka kwalifikowane są kobiety: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 rodzin, w których wystąpiły 3 lub więcej zachorowania na raka piersi i/lub jajnika wśród krewnych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(włączając probantkę), 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 których – niezależnie od obciążenia rodzinnego - wykryto patogenną mutację w obrębie genów 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lub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PALB2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Wysokie ryzyko zachorowania na raka piersi i/lub jajnika (co najmniej 4-5-krotnie wyższe niż w całej populacji) występuje także: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wystąpiły 2 zachorowania na te nowotwory u probanta lub wśród krewnych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(lub 2 zachorowania wśród krewnych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ze strony ojca) - w tym zwłaszcza, gdy przynajmniej u jednej chorej rozpoznano raka jajnika, a jedno zachorowanie wystąpiło przed 50 r.ż., 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rozpoznano obustronnego raka piersi (krewni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),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stwierdzono raka piersi przed 40 r. ż. (krewni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),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stwierdzono raka piersi u mężczyzny (krewni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).</w:t>
      </w:r>
    </w:p>
    <w:p w:rsidR="00407D8B" w:rsidRPr="00407D8B" w:rsidRDefault="00407D8B" w:rsidP="00407D8B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Testy DNA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1.1. Podstawowe badania przesiewowe w kierunku 5 najczęstszych mutacji w populacji polskiej w genie 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>BRCA1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Do badań w kierunku nosicielstwa pięciu najczęstszych mutacji w genie BRCA1 - 5382insC (c.5266dupC); C61G (c.181T&gt;G); 4153delA (c.4035delA), </w:t>
      </w: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185delAG (c.66_67delAG), 3819del 5 (c.3700_3704 del GTAAA) kwalifikuje się: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wszystkie chore na raka jajnika/jajowodu/otrzewnej, 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wszystkie chore, u których rozpoznano raka piersi 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krewnych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osób z rakiem piersi i/lub jajnika w przypadku, gdy mutacja markerowa nie została ustalona i brak możliwości rozpoczęcia diagnostyki od osoby chorej na raka,</w:t>
      </w:r>
    </w:p>
    <w:p w:rsidR="00407D8B" w:rsidRPr="00407D8B" w:rsidRDefault="00407D8B" w:rsidP="00407D8B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1.2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Podstawowe badania przesiewowe w kierunku 3 najczęstszych mutacji skracających białko w populacji polskiej w genie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 xml:space="preserve"> CHEK2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(1100delC; IVS+1G&gt;A; del 5395)  oraz 2 mutacji w genie 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 xml:space="preserve">PALB2 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(c.509_510 </w:t>
      </w:r>
      <w:proofErr w:type="spellStart"/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delGA</w:t>
      </w:r>
      <w:proofErr w:type="spellEnd"/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; c.172_175 </w:t>
      </w:r>
      <w:proofErr w:type="spellStart"/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delTTGT</w:t>
      </w:r>
      <w:proofErr w:type="spellEnd"/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).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407D8B" w:rsidRPr="00407D8B" w:rsidRDefault="00407D8B" w:rsidP="00407D8B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badań kwalifikuje się:</w:t>
      </w:r>
    </w:p>
    <w:p w:rsidR="00407D8B" w:rsidRPr="00407D8B" w:rsidRDefault="00407D8B" w:rsidP="00407D8B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 wszystkie chore z rakiem piersi;</w:t>
      </w:r>
    </w:p>
    <w:p w:rsidR="00407D8B" w:rsidRPr="00407D8B" w:rsidRDefault="00407D8B" w:rsidP="00407D8B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- krewnych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 xml:space="preserve">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osób z rakiem piersi z rodzin spełniających kryteria wysokiego i najwyższego ryzyka raka piersi.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II. Badanie w kierunku nosicielstwa mutacji 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>BRCA1, BRCA2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techniką sekwencjonowania nowej generacji (NGS)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Aktualnie wysoki koszt tego badania uzasadnia włączenie do tego badania grupy osób o najwyższym prawdopodobieństwie wykrycia mutacji.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Jako punkt odcięcia należy przyjąć prawdopodobieństwo wykrycia mutacji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BRCA1, BRCA2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powyżej 10%.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Kryteria kwalifikacji do NGS: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Badanie wykonuje się 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 xml:space="preserve">wyłącznie u chorych na raka piersi i/ lub jajnika, u których nie wykryto żadnej z ww. 5 mutacji genu 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u w:val="single"/>
          <w:lang w:eastAsia="ar-SA"/>
        </w:rPr>
        <w:t>BRCA1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, pod warunkiem, że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:</w:t>
      </w:r>
    </w:p>
    <w:p w:rsidR="00407D8B" w:rsidRPr="00407D8B" w:rsidRDefault="00407D8B" w:rsidP="00407D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piersi lub raka jajnika i posiada ona krewnego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0 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i/lub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u którego rozpoznano raka piersi i/ lub raka jajnika, a przynajmniej jedno z tych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wystąpiło przed 50 rokiem życia (spełnione kryteria kliniczno-rodowodowe zespołu dziedzicznego raka piersi i/ lub raka jajnika),</w:t>
      </w:r>
    </w:p>
    <w:p w:rsidR="00407D8B" w:rsidRPr="00407D8B" w:rsidRDefault="00407D8B" w:rsidP="00407D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piersi przed 50 rokiem życia lub raka jajnika w dowolnym wieku i posiada ona krewnego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i/lub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u którego rozpoznano raka piersi (rak piersi u mężczyzny) i/lub raka jajnika,</w:t>
      </w:r>
    </w:p>
    <w:p w:rsidR="00407D8B" w:rsidRPr="00407D8B" w:rsidRDefault="00407D8B" w:rsidP="00407D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tej samej chorej rozpoznano raka piersi i raka jajnika lub obustronnego raka piersi w tym ≥1 poniżej 50 r.ż.,</w:t>
      </w:r>
    </w:p>
    <w:p w:rsidR="00407D8B" w:rsidRPr="00407D8B" w:rsidRDefault="00407D8B" w:rsidP="00407D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u chorej rozpoznano raka jajnika i posiada ona przynajmniej jedną krewną, u której raka piersi wykryto przed 50 rokiem życia lub u której rozpoznano raka jajnika.</w:t>
      </w:r>
    </w:p>
    <w:p w:rsidR="00407D8B" w:rsidRPr="00407D8B" w:rsidRDefault="00407D8B" w:rsidP="00407D8B">
      <w:pPr>
        <w:numPr>
          <w:ilvl w:val="0"/>
          <w:numId w:val="6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Badania krewnych w kierunku nosicielstwa zidentyfikowanej w rodzinie mutacji najwyższego/wysokiego ryzyka. </w:t>
      </w:r>
    </w:p>
    <w:p w:rsidR="00407D8B" w:rsidRPr="00407D8B" w:rsidRDefault="00407D8B" w:rsidP="00407D8B">
      <w:p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Plan działań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Najlepsze możliwości identyfikowania rodzin wysokiego ryzyka stwarza systematyczne zbieranie wywiadów rodzinnych od kobiet w trakcie leczenia raka piersi i/lub raka jajnika. Jest to dodatkowo uzasadnione tym, że badania nosicielstwa mutacji genów 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/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BRCA2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należy w miarę możliwości zaczynać od chorych probantek. Dlatego do programu powinny być włączone w pierwszej kolejności poradnie genetyczne współpracujące ze specjalistycznymi placówkami onkologicznymi, w których leczy się dużą liczbę chorych na raka piersi i raka jajnika.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Dodatkowe możliwości tworzy otwarte poradnictwo, współpraca z lekarzami rodzinnymi i innych specjalności oraz współpraca z placówkami realizującymi Program Profilaktyki Raka Piersi, finansowany przez Narodowy Fundusz Zdrowia.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Konieczne jest zapewnienie opieki nosicielkom mutacji z rodzin, w których wysokie ryzyko zachorowania potwierdzono w latach poprzednich realizacji „Programu opieki nad rodzinami wysokiego, dziedzicznie uwarunkowanego ryzyka zachorowania na nowotwory złośliwe”.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rejestru rodzin najwyższego i wysokiego ryzyka, kwalifikuje lekarz poradni na podstawie dokładnego wywiadu rodzinnego (dane o wszystkich krewnych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 xml:space="preserve">0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– w tym tych, którzy nie zachorowali na nowotwory, wiek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typ/umiejscowienie nowotworów wśród tych krewnych; wiek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typ/umiejscowienie nowotworów u wszystkich krewnych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ewentualnie dalszych stopni).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badania nosicielstwa mutacji kieruje lekarz poradni. Badania w kierunku nosicielstwa mutacji wymagają pisemnej zgody probantek i zachowania zasad poufności.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Badania należy rozpocząć w miarę możliwości od probantki, u której rozpoznano raka piersi lub jajnika. W przypadku stwierdzenia nosicielstwa mutacji należy – za pośrednictwem probantki - stworzyć możliwość badania jej krewnych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ewentualnie dalszych stopni, kierując się danymi z wywiadu rodzinnego. Takie samo postępowanie obowiązuje, jeżeli nosicielstwo mutacji rozpoznano u zdrowej probantki.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  <w:t>Pozytywny wynik badania w kierunku nosicielstwa mutacji wymaga potwierdzenia z ponownie pobranej próbki krwi. Zaleca się podobne postępowanie w przypadku wyników negatywnych.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programu badań ukierunkowanych na wcześniejsze wykrycie raków piersi i jajnika – obok nosicielek mutacji i ich obciążonych krewnych - włącza się również probantki i ich krewnych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z rodzin z obciążonym wywiadem, u których nie znaleziono mutacji. Krewni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probantek –  nosicielek mutacji, którzy nie zdecydowali się na poddanie badaniom molekularnym, powinni być również włączeni do programu.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Nadzorem onkologicznym powinny być również objęte osoby z potwierdzoną mutacją z rodzin wysokiego ryzyka, wcześniej leczone z powodu raka piersi lub raka jajnika – ze względu na wysokie ryzyko zachorowania na drugi nowotwór (rak drugiej piersi, rak jajnika).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Obligatoryjnymi elementami programów opieki nad rodzinami najwyższego i wysokiego ryzyka są: </w:t>
      </w:r>
    </w:p>
    <w:p w:rsidR="00407D8B" w:rsidRPr="00407D8B" w:rsidRDefault="00407D8B" w:rsidP="00407D8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Samokontrola piersi raz w miesiącu po miesiączce i jeden raz w roku badanie piersi przez lekarza.</w:t>
      </w:r>
    </w:p>
    <w:p w:rsidR="00407D8B" w:rsidRPr="00407D8B" w:rsidRDefault="00407D8B" w:rsidP="00407D8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Coroczne badanie mammograficzne od 35 r.ż. (lub od 30 r.ż. w rodzinach z rakami piersi zdiagnozowanymi przed 40 r.ż.) i/ lub USG piersi od 25-30 roku życia. </w:t>
      </w:r>
    </w:p>
    <w:p w:rsidR="00407D8B" w:rsidRPr="00407D8B" w:rsidRDefault="00407D8B" w:rsidP="00407D8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Coroczne badanie USG narządu rodnego i markera CA125 od 30-35 r.ż.</w:t>
      </w:r>
    </w:p>
    <w:p w:rsidR="00407D8B" w:rsidRPr="00407D8B" w:rsidRDefault="00407D8B" w:rsidP="00407D8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Dodatkowo u kobiet z mutacją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BRCA1/2 i PALB2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30 r.ż. obrazowe badanie piersi co 6 miesięcy: badanie rezonansu magnetycznego na przemian z badaniem USG. </w:t>
      </w:r>
    </w:p>
    <w:p w:rsidR="00407D8B" w:rsidRPr="00407D8B" w:rsidRDefault="00407D8B" w:rsidP="00407D8B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D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Dodatkowo u kobiet z mutacją </w:t>
      </w:r>
      <w:r w:rsidRPr="00407D8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BRCA1/2 i PALB2 </w:t>
      </w:r>
      <w:r w:rsidRPr="00407D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30 r.ż. obrazowe badanie piersi co 6 miesięcy: badanie rezonansu magnetycznego na przemian z badaniem mammograficznym i/lub USG piersi.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rodzinach najwyższego ryzyka, zwłaszcza tych, w których wystąpiły wcześniej zachorowania na raka jajnika i w przypadkach udokumentowanego nosicielstwa mutacji, należy przedstawić probantkom opcję prewencyjnej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adneksektomii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(ewentualnie także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histerektomii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) w miarę możliwości już pomiędzy 35-40 rokiem życia. Zabieg ten redukuje u nosicielek mutacji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lub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 ponad 60% ryzyko zachorowania na raka piersi (w tym także ryzyko zachorowania na raka drugiej piersi) i w przeważającej części przypadków zapobiega rozwojowi raka jajnika (wyjątkowo ten nowotwór może rozwinąć się z otrzewnej). Uzasadnieniem do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histerekomii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jest częste występowanie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metachronicznych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błony śluzowej trzonu macicy. Późniejsza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adneksektomia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mniej skuteczna w zapobieganiu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zachorowaniom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piersi, zapobiega jednak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zachorowaniom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jajnika, rozpoznawanym u większości kobiet z rodzin obciążonych po 40 roku życia, a nierzadko nawet w 7 i 8 dekadzie życia.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 nosicielek mutacji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BRCA1/BRCA2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należy rozważyć opcje profilaktycznej obustronnej podskórnej mastektomii z jednoczesną rekonstrukcją piersi.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W ramach programu finansowane są: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lastRenderedPageBreak/>
        <w:t xml:space="preserve">Wprowadzenie do rejestru - zidentyfikowanie osób najwyższego/wysokiego ryzyka lub osoby spełniającej zalecane kryteria kwalifikacji do testów 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BRCA1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i/lub 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BRCA2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; 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PALB2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 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CHEK2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, pełny opis obciążenia rodzinnego, koordynacja działań podczas identyfikacji nowych osób z grup wysokiego ryzyka (w tym koszt pracy lekarza i personelu pomocniczego).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badania nosicielstwa mutacji genów BRCA1 i/lub BRCA2, CHEK2, PALB2.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Konsultacja lekarska – wydanie wyniku konsultacji genetycznej wraz z edukacją pacjentów.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poradnictwa genetycznego u pacjentów u których wykonano badanie NGS.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badania NGS u wytypowanych chorych z rakiem piersi/jajnika.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identyfikacji krytycznej mutacji u krewnych probanta.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opieki nad pacjentami: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Coroczna konsultacja lekarska, aktualizacja danych rodowodowo-klinicznych, zlecenie badań kontrolnych, badanie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palpacyjne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piersi przez lekarza, prowadzenie dokumentacji medycznej oraz koordynacja opieki (w tym koszt pracy lekarza i personelu pomocniczego).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Coroczne badanie mammograficzne i/ lub USG piersi. 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Biopsja aspiracyjna cienkoigłowa (BAC) piersi pod kontrolą USG.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Biopsja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gruboigłowa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piersi pod kontrolą USG (u pacjentek ze zmianami w piersi typu BI-RADS 3,4,5).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Ocena receptorów ER, PR, HER2, Ki67 w przypadku diagnozy raka piersi w biopsji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gruboigłowej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. 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Badanie USG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przezpochwowe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Badanie CA125 w surowicy krwi.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Coroczne USG tarczycy (u nosicielek mutacji genu 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CHEK2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od 20.r.ż.).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Wizyta konsultacyjna - omówienie wyników badań kontrolnych.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Dodatkowe koszty opieki – nadzoru onkologicznego nad nosicielami mutacji.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Dodatkowa wizyta konsultacyjna lekarska - koordynacja opieki (w tym koszt pracy lekarza i personelu pomocniczego).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badanie piersi metodą rezonansu magnetycznego.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Interwałowe USG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przezpochwowe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badanie CA125 w surowicy krwi.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USG piersi (tylko u pacjentek ze zmianą opisaną w MRI piersi do dalszej diagnostyki).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Interwałowa biopsja piersi pod kontrolą USG (biopsja aspiracyjna cienkoigłowa / biopsja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gruboigłowa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lastRenderedPageBreak/>
        <w:t xml:space="preserve">Badania immunohistochemiczne w przypadku diagnozy raka piersi w biopsji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gruboigłowej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07D8B" w:rsidRPr="00407D8B" w:rsidRDefault="00407D8B" w:rsidP="00407D8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D8B" w:rsidRPr="00407D8B" w:rsidRDefault="00407D8B" w:rsidP="00407D8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Placówki realizujące program zobowiązane są do przestrzegania następujących zasad: 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biorących udział w projekcie o celach programu,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świadomej zgody od osoby biorącej udział w programie (druk świadomej zgody zgodnie z załącznikiem nr 8), 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załączenia zgody do karty pacjenta, w której znajduje się rodowód,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genetyczne, finansowane w ramach niniejszego programu muszą być realizowane w laboratoriach posiadających uprawnienia do realizacji takich badań i zarejestrowanych w Krajowej Izbie Diagnostów Laboratoryjnych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oczekiwania na wyniki badań NGS nie powinien przekraczać 8 tygodni 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do rozliczenia kosztów z NGS musi zawierać opis wykrytej mutacji (wg HGVS, </w:t>
      </w:r>
      <w:proofErr w:type="spellStart"/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ClinVar</w:t>
      </w:r>
      <w:proofErr w:type="spellEnd"/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pisemnej i ustnej porady genetycznej przez lekarza specjalistę genetyka klinicznego (lub przez lekarza, który ukończył pierwszy rok specjalizacji z zakresu genetyki klinicznej oraz uzyskał potwierdzenie przez kierownika specjalizacji wiedzy i umiejętności umożliwiających samodzielną pracę w poradni specjalistycznej), każdej osobie biorącej udział w programie</w:t>
      </w:r>
      <w:r w:rsidRPr="00407D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porada musi zawierać, poza danymi rodowodowymi i onkologicznymi pacjenta/osoby chorej na raka w rodzinie, opis rodowodu, interpretację wyniku badania genetycznego, poradę dla rodziny oraz wskazana powinna być współpracująca placówka onkologiczna, gdzie biorący udział w programie wykona badania profilaktyczne. Porada genetyczna dla nosicieli mutacji musi zostać opracowana przez specjalistę z zakresu genetyki klinicznej. 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przez lekarza specjalistę genetyka klinicznego lub lekarza specjalistę z zakresu onkologii (lub przez lekarza, który ukończył pierwszy rok specjalizacji z zakresu genetyki klinicznej oraz uzyskał potwierdzenie przez kierownika specjalizacji wiedzy i umiejętności umożliwiających samodzielną pracę w poradni specjalistycznej), karty osoby biorącej udział w programie z wyznaczonymi terminami kontrolnych badań, odnotowywaniem wyników badań.</w:t>
      </w:r>
    </w:p>
    <w:p w:rsidR="00407D8B" w:rsidRPr="00407D8B" w:rsidRDefault="00407D8B" w:rsidP="00407D8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Warunki realizacji programu:</w:t>
      </w:r>
    </w:p>
    <w:p w:rsidR="00407D8B" w:rsidRPr="00407D8B" w:rsidRDefault="00407D8B" w:rsidP="00407D8B">
      <w:pPr>
        <w:numPr>
          <w:ilvl w:val="0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dziedzicznych predyspozycji: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stwierdzona mutacją - w granicach województwa, właściwego dla danej siedziby Realizatora,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oczekiwania na konsultację u specjalisty z zakresu genetyki klinicznej i do lekarza, który ukończył pierwszy rok specjalizacji z zakresu genetyki klinicznej oraz uzyskał potwierdzenie przez kierownika specjalizacji wiedzy i umiejętności </w:t>
      </w: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umożliwiających samodzielną pracę w poradni specjalistycznej, nie dłuższy niż 3 miesiące,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dostępu osobom biorącym udział w programie do wszystkich badań genetycznych przewidzianych w programie;</w:t>
      </w:r>
    </w:p>
    <w:p w:rsidR="00407D8B" w:rsidRPr="00407D8B" w:rsidRDefault="00407D8B" w:rsidP="00407D8B">
      <w:pPr>
        <w:numPr>
          <w:ilvl w:val="0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kontrolne: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407D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stałej profilaktycznej opieki genetyczno-onkologicznej dla osób o podwyższonym ryzyku zachorowania na raka piersi i jajnika, a w tym prowadzenie dokumentacji w zakresie objętym programem,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onkologiczna realizująca program musi być wyposażona w sprzęt do badań przewidzianych w ramach realizacji programu lub musi zapewnić dostępność do takich badań w 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97C1B3F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95728"/>
    <w:multiLevelType w:val="hybridMultilevel"/>
    <w:tmpl w:val="F2AC54FC"/>
    <w:lvl w:ilvl="0" w:tplc="BEB477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F2DE5"/>
    <w:multiLevelType w:val="hybridMultilevel"/>
    <w:tmpl w:val="AAF2BBF4"/>
    <w:lvl w:ilvl="0" w:tplc="5BBAA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265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C943A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7D3DD0"/>
    <w:multiLevelType w:val="hybridMultilevel"/>
    <w:tmpl w:val="3EB4CF4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01672CD"/>
    <w:multiLevelType w:val="hybridMultilevel"/>
    <w:tmpl w:val="CD5AA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C760B"/>
    <w:multiLevelType w:val="hybridMultilevel"/>
    <w:tmpl w:val="ECD684AE"/>
    <w:lvl w:ilvl="0" w:tplc="C2802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36423"/>
    <w:multiLevelType w:val="hybridMultilevel"/>
    <w:tmpl w:val="BA2E0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8B"/>
    <w:rsid w:val="00407D8B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986EC-ABC8-4D96-8013-2786C65E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2570</Words>
  <Characters>15424</Characters>
  <Application>Microsoft Office Word</Application>
  <DocSecurity>0</DocSecurity>
  <Lines>128</Lines>
  <Paragraphs>35</Paragraphs>
  <ScaleCrop>false</ScaleCrop>
  <Company>Ministerstwo Zdrowia</Company>
  <LinksUpToDate>false</LinksUpToDate>
  <CharactersWithSpaces>17959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2018-04-12T14:48:00Z</dcterms:created>
  <dcterms:modified xsi:type="dcterms:W3CDTF">2018-04-12T14:49:00Z</dcterms:modified>
</cp:coreProperties>
</file>