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A4C0" w14:textId="7D4EA070" w:rsidR="00E87C07" w:rsidRDefault="005C46BE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</w:t>
      </w:r>
      <w:r w:rsidR="00E87C07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ałącznik nr </w:t>
      </w:r>
      <w:r w:rsidR="00047CC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</w:t>
      </w:r>
    </w:p>
    <w:p w14:paraId="1628A371" w14:textId="5CFAD5F0" w:rsidR="00E87C07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do umowy</w:t>
      </w:r>
    </w:p>
    <w:p w14:paraId="34BA7907" w14:textId="1407CC3D" w:rsidR="00C93203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111B92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…………..</w:t>
      </w:r>
    </w:p>
    <w:p w14:paraId="2C6F291D" w14:textId="77777777" w:rsidR="00E87C07" w:rsidRPr="00642192" w:rsidRDefault="00E87C07" w:rsidP="00E87C07">
      <w:pPr>
        <w:spacing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84C2C" w14:textId="351A3126" w:rsidR="00C66489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489">
        <w:rPr>
          <w:rFonts w:ascii="Times New Roman" w:eastAsia="Times New Roman" w:hAnsi="Times New Roman" w:cs="Times New Roman"/>
          <w:sz w:val="24"/>
          <w:szCs w:val="24"/>
        </w:rPr>
        <w:t xml:space="preserve">w dniu …….….. w Warszawie </w:t>
      </w:r>
    </w:p>
    <w:p w14:paraId="28D718B1" w14:textId="63CF2917" w:rsidR="00D57614" w:rsidRPr="00D57614" w:rsidRDefault="00D57614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07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reprezentowanym przez Ministra Sprawiedliwości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z siedzibą przy Al. Ujazdowskich 11, 00-950 Warszawa, zwanym w dalszej części Umowy „Administratorem”,</w:t>
      </w:r>
    </w:p>
    <w:p w14:paraId="14D85EA9" w14:textId="151D876C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59621B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F023F3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503BAC">
        <w:rPr>
          <w:rFonts w:ascii="Times New Roman" w:eastAsia="Calibri" w:hAnsi="Times New Roman" w:cs="Times New Roman"/>
          <w:sz w:val="24"/>
          <w:szCs w:val="24"/>
          <w:lang w:eastAsia="pl-PL"/>
        </w:rPr>
        <w:t>BDG-III.0110.88.2022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0C117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503BAC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0AC0D99" w:rsidR="00D57614" w:rsidRPr="00D57614" w:rsidRDefault="00111B92" w:rsidP="00503B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……………………………………..</w:t>
      </w:r>
      <w:r w:rsidR="00503BA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zwaną/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5438385C" w14:textId="77777777" w:rsidR="00503BAC" w:rsidRDefault="00503BAC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150D7" w14:textId="63FAD334" w:rsid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111B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8A1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recepcyjnych w obiektach </w:t>
      </w:r>
      <w:r w:rsidR="002054BC" w:rsidRPr="00A25269">
        <w:rPr>
          <w:rFonts w:ascii="Times New Roman" w:hAnsi="Times New Roman" w:cs="Times New Roman"/>
          <w:sz w:val="24"/>
          <w:szCs w:val="24"/>
        </w:rPr>
        <w:t>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B859E23" w14:textId="77777777" w:rsidR="00615EE8" w:rsidRPr="00D57614" w:rsidRDefault="00615EE8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643DA8A5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 wydawanie kart dostępu do </w:t>
      </w:r>
      <w:r w:rsidR="000A0C45">
        <w:rPr>
          <w:rFonts w:cs="Arial"/>
          <w:color w:val="000000"/>
        </w:rPr>
        <w:t xml:space="preserve">obiektów </w:t>
      </w:r>
      <w:r>
        <w:rPr>
          <w:rFonts w:cs="Arial"/>
          <w:color w:val="000000"/>
        </w:rPr>
        <w:t>Ministerstwa Sprawiedliwości,</w:t>
      </w:r>
    </w:p>
    <w:p w14:paraId="2E189E27" w14:textId="2161B0B5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  <w:r w:rsidR="00837736">
        <w:rPr>
          <w:rFonts w:cs="Arial"/>
          <w:color w:val="000000"/>
        </w:rPr>
        <w:t xml:space="preserve"> numer i seria dokumentu tożsamości,</w:t>
      </w:r>
    </w:p>
    <w:p w14:paraId="01780893" w14:textId="3399D8A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 xml:space="preserve">kategorie osób, których dane dotyczą: pracownicy, goście, </w:t>
      </w:r>
      <w:r w:rsidR="00837736">
        <w:rPr>
          <w:rFonts w:cs="Arial"/>
          <w:color w:val="000000"/>
        </w:rPr>
        <w:t>interesanci</w:t>
      </w:r>
      <w:r w:rsidR="00374519">
        <w:rPr>
          <w:rFonts w:cs="Arial"/>
          <w:color w:val="000000"/>
        </w:rPr>
        <w:t xml:space="preserve">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1431C366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 xml:space="preserve">kategorie osób, których dane dotyczą: pracownicy, goście, </w:t>
      </w:r>
      <w:r w:rsidR="00837736">
        <w:rPr>
          <w:rFonts w:cs="Arial"/>
          <w:color w:val="000000"/>
        </w:rPr>
        <w:t>interesanci</w:t>
      </w:r>
      <w:r w:rsidR="00374519">
        <w:rPr>
          <w:rFonts w:cs="Arial"/>
          <w:color w:val="000000"/>
        </w:rPr>
        <w:t xml:space="preserve">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6DE22A9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 baza gości – książka wejść i wyjść – zapisywanie danych gości, </w:t>
      </w:r>
      <w:r w:rsidR="00837736">
        <w:rPr>
          <w:rFonts w:cs="Arial"/>
          <w:color w:val="000000"/>
        </w:rPr>
        <w:t>interesantów</w:t>
      </w:r>
      <w:r>
        <w:rPr>
          <w:rFonts w:cs="Arial"/>
          <w:color w:val="000000"/>
        </w:rPr>
        <w:t xml:space="preserve"> wchodzących poza godzinami pracy do </w:t>
      </w:r>
      <w:r w:rsidR="00837736">
        <w:rPr>
          <w:rFonts w:cs="Arial"/>
          <w:color w:val="000000"/>
        </w:rPr>
        <w:t>obiektów</w:t>
      </w:r>
      <w:r>
        <w:rPr>
          <w:rFonts w:cs="Arial"/>
          <w:color w:val="000000"/>
        </w:rPr>
        <w:t xml:space="preserve">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41A63BF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0A0C45">
        <w:rPr>
          <w:rFonts w:cs="Arial"/>
          <w:i/>
        </w:rPr>
        <w:t>zbieranie, utrwalanie, porządkowanie, adaptowanie lub modyfikowanie, pobieranie, przeglądanie, wykorzystanie, dopasowywanie lub łączenie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4FD06B3D" w14:textId="77777777" w:rsidR="00F877D3" w:rsidRDefault="00F877D3" w:rsidP="00F877D3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39C0724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816AE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615E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615EE8">
      <w:pPr>
        <w:numPr>
          <w:ilvl w:val="2"/>
          <w:numId w:val="2"/>
        </w:numPr>
        <w:tabs>
          <w:tab w:val="num" w:pos="426"/>
        </w:tabs>
        <w:spacing w:after="20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E920AD3" w:rsidR="00776A88" w:rsidRPr="00776A88" w:rsidRDefault="00776A88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C62A74">
        <w:rPr>
          <w:rFonts w:ascii="Times New Roman" w:hAnsi="Times New Roman" w:cs="Times New Roman"/>
          <w:sz w:val="24"/>
          <w:szCs w:val="24"/>
        </w:rPr>
        <w:t xml:space="preserve">Pan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642192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615EE8">
      <w:pPr>
        <w:pStyle w:val="Akapitzlist"/>
        <w:numPr>
          <w:ilvl w:val="0"/>
          <w:numId w:val="1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CADD881" w14:textId="7E911FC4" w:rsidR="00776A88" w:rsidRPr="00C62A74" w:rsidRDefault="00776A88" w:rsidP="00C62A74">
      <w:pPr>
        <w:pStyle w:val="Akapitzlist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="009D02E2">
        <w:rPr>
          <w:rFonts w:ascii="Times New Roman" w:hAnsi="Times New Roman" w:cs="Times New Roman"/>
          <w:sz w:val="24"/>
          <w:szCs w:val="24"/>
        </w:rPr>
        <w:t xml:space="preserve">inspektor ochrony danych/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hyperlink r:id="rId8" w:history="1"/>
      <w:r w:rsidR="00655E34" w:rsidRPr="00C62A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9" w:history="1"/>
    </w:p>
    <w:p w14:paraId="6B827045" w14:textId="77777777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DE1B65D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A14517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2C4C9EC4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 xml:space="preserve">i zawarto w formie 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>pisemnej/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>elektronicznej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 xml:space="preserve"> (wybrać właściw</w:t>
      </w:r>
      <w:r w:rsidR="009706A5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10"/>
      <w:footerReference w:type="default" r:id="rId11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DB6C0" w14:textId="77777777" w:rsidR="00280F08" w:rsidRDefault="00280F08">
      <w:pPr>
        <w:spacing w:after="0" w:line="240" w:lineRule="auto"/>
      </w:pPr>
      <w:r>
        <w:separator/>
      </w:r>
    </w:p>
  </w:endnote>
  <w:endnote w:type="continuationSeparator" w:id="0">
    <w:p w14:paraId="71510A20" w14:textId="77777777" w:rsidR="00280F08" w:rsidRDefault="002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85E6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897EB6" w:rsidRDefault="00897EB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F4EA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897EB6" w:rsidRDefault="00897EB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41C4" w14:textId="77777777" w:rsidR="00280F08" w:rsidRDefault="00280F08">
      <w:pPr>
        <w:spacing w:after="0" w:line="240" w:lineRule="auto"/>
      </w:pPr>
      <w:r>
        <w:separator/>
      </w:r>
    </w:p>
  </w:footnote>
  <w:footnote w:type="continuationSeparator" w:id="0">
    <w:p w14:paraId="3CE4126F" w14:textId="77777777" w:rsidR="00280F08" w:rsidRDefault="0028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47CCE"/>
    <w:rsid w:val="00056AA8"/>
    <w:rsid w:val="00056CB2"/>
    <w:rsid w:val="00057A1E"/>
    <w:rsid w:val="00061E2A"/>
    <w:rsid w:val="000A0C45"/>
    <w:rsid w:val="000C117A"/>
    <w:rsid w:val="000C2EFE"/>
    <w:rsid w:val="000E0B78"/>
    <w:rsid w:val="00111B92"/>
    <w:rsid w:val="00141D58"/>
    <w:rsid w:val="00187BAE"/>
    <w:rsid w:val="001A758E"/>
    <w:rsid w:val="001C42BE"/>
    <w:rsid w:val="001D7AEF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01F2"/>
    <w:rsid w:val="004045F0"/>
    <w:rsid w:val="00430D4B"/>
    <w:rsid w:val="004A4B54"/>
    <w:rsid w:val="004F28A5"/>
    <w:rsid w:val="00503BAC"/>
    <w:rsid w:val="005070FA"/>
    <w:rsid w:val="0055498C"/>
    <w:rsid w:val="005613BE"/>
    <w:rsid w:val="005674F8"/>
    <w:rsid w:val="0059621B"/>
    <w:rsid w:val="005B028E"/>
    <w:rsid w:val="005C46BE"/>
    <w:rsid w:val="005D02C0"/>
    <w:rsid w:val="00615EE8"/>
    <w:rsid w:val="00642192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16AE4"/>
    <w:rsid w:val="00833F2A"/>
    <w:rsid w:val="00837736"/>
    <w:rsid w:val="00897EB6"/>
    <w:rsid w:val="008A11B0"/>
    <w:rsid w:val="008A267F"/>
    <w:rsid w:val="008A6DB1"/>
    <w:rsid w:val="008B1EB2"/>
    <w:rsid w:val="008B2946"/>
    <w:rsid w:val="008B73D0"/>
    <w:rsid w:val="009040AE"/>
    <w:rsid w:val="00917B38"/>
    <w:rsid w:val="009356D1"/>
    <w:rsid w:val="009706A5"/>
    <w:rsid w:val="009A2BDC"/>
    <w:rsid w:val="009A48E2"/>
    <w:rsid w:val="009B5FA3"/>
    <w:rsid w:val="009C3820"/>
    <w:rsid w:val="009C386D"/>
    <w:rsid w:val="009C7B59"/>
    <w:rsid w:val="009D02E2"/>
    <w:rsid w:val="009D448E"/>
    <w:rsid w:val="009F4721"/>
    <w:rsid w:val="00A01B74"/>
    <w:rsid w:val="00A04D13"/>
    <w:rsid w:val="00A14517"/>
    <w:rsid w:val="00A378F5"/>
    <w:rsid w:val="00A47E12"/>
    <w:rsid w:val="00A54A52"/>
    <w:rsid w:val="00A74DF9"/>
    <w:rsid w:val="00A757A6"/>
    <w:rsid w:val="00AD2F89"/>
    <w:rsid w:val="00B0646E"/>
    <w:rsid w:val="00B41B17"/>
    <w:rsid w:val="00B513E5"/>
    <w:rsid w:val="00B659F1"/>
    <w:rsid w:val="00B863E5"/>
    <w:rsid w:val="00BD2EDF"/>
    <w:rsid w:val="00C520EA"/>
    <w:rsid w:val="00C62A74"/>
    <w:rsid w:val="00C66489"/>
    <w:rsid w:val="00C90BEC"/>
    <w:rsid w:val="00C93203"/>
    <w:rsid w:val="00CB65ED"/>
    <w:rsid w:val="00CE0BEA"/>
    <w:rsid w:val="00CE4A4B"/>
    <w:rsid w:val="00CF1549"/>
    <w:rsid w:val="00D06AB7"/>
    <w:rsid w:val="00D211DD"/>
    <w:rsid w:val="00D57614"/>
    <w:rsid w:val="00D90D75"/>
    <w:rsid w:val="00D93849"/>
    <w:rsid w:val="00DC7E88"/>
    <w:rsid w:val="00E023C1"/>
    <w:rsid w:val="00E20CDB"/>
    <w:rsid w:val="00E87C07"/>
    <w:rsid w:val="00E93C42"/>
    <w:rsid w:val="00EA37A2"/>
    <w:rsid w:val="00EF534F"/>
    <w:rsid w:val="00F023F3"/>
    <w:rsid w:val="00F16758"/>
    <w:rsid w:val="00F47739"/>
    <w:rsid w:val="00F567B2"/>
    <w:rsid w:val="00F6384B"/>
    <w:rsid w:val="00F7232D"/>
    <w:rsid w:val="00F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5C92-B57D-46D6-A4B8-D5EF2041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2850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2</cp:revision>
  <dcterms:created xsi:type="dcterms:W3CDTF">2024-07-04T06:19:00Z</dcterms:created>
  <dcterms:modified xsi:type="dcterms:W3CDTF">2024-07-04T06:19:00Z</dcterms:modified>
</cp:coreProperties>
</file>