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29AD" w14:textId="77777777" w:rsidR="00B85691" w:rsidRDefault="00F61E5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B</w:t>
      </w:r>
      <w:r>
        <w:rPr>
          <w:rFonts w:ascii="Times New Roman" w:hAnsi="Times New Roman"/>
          <w:b/>
          <w:bCs/>
          <w:sz w:val="24"/>
          <w:szCs w:val="24"/>
        </w:rPr>
        <w:t>ả</w:t>
      </w:r>
      <w:r>
        <w:rPr>
          <w:rFonts w:ascii="Times New Roman" w:hAnsi="Times New Roman"/>
          <w:b/>
          <w:bCs/>
          <w:sz w:val="24"/>
          <w:szCs w:val="24"/>
        </w:rPr>
        <w:t>n hư</w:t>
      </w:r>
      <w:r>
        <w:rPr>
          <w:rFonts w:ascii="Times New Roman" w:hAnsi="Times New Roman"/>
          <w:b/>
          <w:bCs/>
          <w:sz w:val="24"/>
          <w:szCs w:val="24"/>
        </w:rPr>
        <w:t>ớ</w:t>
      </w:r>
      <w:r>
        <w:rPr>
          <w:rFonts w:ascii="Times New Roman" w:hAnsi="Times New Roman"/>
          <w:b/>
          <w:bCs/>
          <w:sz w:val="24"/>
          <w:szCs w:val="24"/>
        </w:rPr>
        <w:t>ng d</w:t>
      </w:r>
      <w:r>
        <w:rPr>
          <w:rFonts w:ascii="Times New Roman" w:hAnsi="Times New Roman"/>
          <w:b/>
          <w:bCs/>
          <w:sz w:val="24"/>
          <w:szCs w:val="24"/>
        </w:rPr>
        <w:t>ẫ</w:t>
      </w:r>
      <w:r>
        <w:rPr>
          <w:rFonts w:ascii="Times New Roman" w:hAnsi="Times New Roman"/>
          <w:b/>
          <w:bCs/>
          <w:sz w:val="24"/>
          <w:szCs w:val="24"/>
        </w:rPr>
        <w:t>n v</w:t>
      </w:r>
      <w:r>
        <w:rPr>
          <w:rFonts w:ascii="Times New Roman" w:hAnsi="Times New Roman"/>
          <w:b/>
          <w:bCs/>
          <w:sz w:val="24"/>
          <w:szCs w:val="24"/>
        </w:rPr>
        <w:t>ề</w:t>
      </w:r>
      <w:r>
        <w:rPr>
          <w:rFonts w:ascii="Times New Roman" w:hAnsi="Times New Roman"/>
          <w:b/>
          <w:bCs/>
          <w:sz w:val="24"/>
          <w:szCs w:val="24"/>
        </w:rPr>
        <w:t xml:space="preserve"> n</w:t>
      </w:r>
      <w:r>
        <w:rPr>
          <w:rFonts w:ascii="Times New Roman" w:hAnsi="Times New Roman"/>
          <w:b/>
          <w:bCs/>
          <w:sz w:val="24"/>
          <w:szCs w:val="24"/>
        </w:rPr>
        <w:t>ộ</w:t>
      </w:r>
      <w:r>
        <w:rPr>
          <w:rFonts w:ascii="Times New Roman" w:hAnsi="Times New Roman"/>
          <w:b/>
          <w:bCs/>
          <w:sz w:val="24"/>
          <w:szCs w:val="24"/>
        </w:rPr>
        <w:t>i dung đi</w:t>
      </w:r>
      <w:r>
        <w:rPr>
          <w:rFonts w:ascii="Times New Roman" w:hAnsi="Times New Roman"/>
          <w:b/>
          <w:bCs/>
          <w:sz w:val="24"/>
          <w:szCs w:val="24"/>
        </w:rPr>
        <w:t>ề</w:t>
      </w:r>
      <w:r>
        <w:rPr>
          <w:rFonts w:ascii="Times New Roman" w:hAnsi="Times New Roman"/>
          <w:b/>
          <w:bCs/>
          <w:sz w:val="24"/>
          <w:szCs w:val="24"/>
        </w:rPr>
        <w:t>u 1135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5 </w:t>
      </w:r>
      <w:r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ộ</w:t>
      </w:r>
      <w:r>
        <w:rPr>
          <w:rFonts w:ascii="Times New Roman" w:hAnsi="Times New Roman"/>
          <w:b/>
          <w:bCs/>
          <w:sz w:val="24"/>
          <w:szCs w:val="24"/>
        </w:rPr>
        <w:t xml:space="preserve"> lu</w:t>
      </w:r>
      <w:r>
        <w:rPr>
          <w:rFonts w:ascii="Times New Roman" w:hAnsi="Times New Roman"/>
          <w:b/>
          <w:bCs/>
          <w:sz w:val="24"/>
          <w:szCs w:val="24"/>
        </w:rPr>
        <w:t>ậ</w:t>
      </w:r>
      <w:r>
        <w:rPr>
          <w:rFonts w:ascii="Times New Roman" w:hAnsi="Times New Roman"/>
          <w:b/>
          <w:bCs/>
          <w:sz w:val="24"/>
          <w:szCs w:val="24"/>
        </w:rPr>
        <w:t>t T</w:t>
      </w:r>
      <w:r>
        <w:rPr>
          <w:rFonts w:ascii="Times New Roman" w:hAnsi="Times New Roman"/>
          <w:b/>
          <w:bCs/>
          <w:sz w:val="24"/>
          <w:szCs w:val="24"/>
        </w:rPr>
        <w:t>ố</w:t>
      </w:r>
      <w:r>
        <w:rPr>
          <w:rFonts w:ascii="Times New Roman" w:hAnsi="Times New Roman"/>
          <w:b/>
          <w:bCs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z w:val="24"/>
          <w:szCs w:val="24"/>
        </w:rPr>
        <w:t>ụ</w:t>
      </w:r>
      <w:r>
        <w:rPr>
          <w:rFonts w:ascii="Times New Roman" w:hAnsi="Times New Roman"/>
          <w:b/>
          <w:bCs/>
          <w:sz w:val="24"/>
          <w:szCs w:val="24"/>
        </w:rPr>
        <w:t>ng Hình s</w:t>
      </w:r>
      <w:r>
        <w:rPr>
          <w:rFonts w:ascii="Times New Roman" w:hAnsi="Times New Roman"/>
          <w:b/>
          <w:bCs/>
          <w:sz w:val="24"/>
          <w:szCs w:val="24"/>
        </w:rPr>
        <w:t>ự</w:t>
      </w:r>
    </w:p>
    <w:p w14:paraId="3AD582A0" w14:textId="77777777" w:rsidR="00B85691" w:rsidRDefault="00B8569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01177B" w14:textId="77777777" w:rsidR="00B85691" w:rsidRDefault="00F61E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Trong 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p đương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tham gia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ng cư trú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ngoài lãnh th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Ba Lan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nư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thành viên khác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Liên Minh Châu Âu và không có n</w:t>
      </w:r>
      <w:r>
        <w:rPr>
          <w:rFonts w:ascii="Times New Roman" w:hAnsi="Times New Roman"/>
          <w:sz w:val="24"/>
          <w:szCs w:val="24"/>
        </w:rPr>
        <w:t>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v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và l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i ích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 xml:space="preserve">p pháp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Ba Lan, thì </w:t>
      </w:r>
      <w:r>
        <w:rPr>
          <w:rFonts w:ascii="Times New Roman" w:hAnsi="Times New Roman"/>
          <w:sz w:val="24"/>
          <w:szCs w:val="24"/>
        </w:rPr>
        <w:t>trong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 xml:space="preserve">n ……….  </w:t>
      </w:r>
      <w:r>
        <w:rPr>
          <w:rFonts w:ascii="Times New Roman" w:hAnsi="Times New Roman"/>
          <w:sz w:val="24"/>
          <w:szCs w:val="24"/>
        </w:rPr>
        <w:t>đương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 xml:space="preserve">c </w:t>
      </w:r>
      <w:r>
        <w:rPr>
          <w:rFonts w:ascii="Times New Roman" w:hAnsi="Times New Roman"/>
          <w:sz w:val="24"/>
          <w:szCs w:val="24"/>
        </w:rPr>
        <w:t>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tham gia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đó nên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cho Tòa án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 tên và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di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Ba Lan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thư. B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k</w:t>
      </w:r>
      <w:r>
        <w:rPr>
          <w:rFonts w:ascii="Times New Roman" w:hAnsi="Times New Roman"/>
          <w:sz w:val="24"/>
          <w:szCs w:val="24"/>
        </w:rPr>
        <w:t>ỳ</w:t>
      </w:r>
      <w:r>
        <w:rPr>
          <w:rFonts w:ascii="Times New Roman" w:hAnsi="Times New Roman"/>
          <w:sz w:val="24"/>
          <w:szCs w:val="24"/>
        </w:rPr>
        <w:t xml:space="preserve">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i nào cư trú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Ba Lan,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thành niên và có năng l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hành vi dân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có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làm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di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 xml:space="preserve">n thư. </w:t>
      </w:r>
    </w:p>
    <w:p w14:paraId="40EE9DFA" w14:textId="77777777" w:rsidR="00B85691" w:rsidRDefault="00F61E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quá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nêu trên nhưng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di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v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 chưa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nh, thì căn c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vào đi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1135</w:t>
      </w:r>
      <w:r>
        <w:rPr>
          <w:rFonts w:ascii="Times New Roman" w:hAnsi="Times New Roman"/>
          <w:sz w:val="24"/>
          <w:szCs w:val="24"/>
          <w:vertAlign w:val="superscript"/>
        </w:rPr>
        <w:t xml:space="preserve">5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Hình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, các thư dành cho đương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tham gia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s</w:t>
      </w:r>
      <w:r>
        <w:rPr>
          <w:rFonts w:ascii="Times New Roman" w:hAnsi="Times New Roman"/>
          <w:sz w:val="24"/>
          <w:szCs w:val="24"/>
        </w:rPr>
        <w:t>ẽ</w:t>
      </w:r>
      <w:r>
        <w:rPr>
          <w:rFonts w:ascii="Times New Roman" w:hAnsi="Times New Roman"/>
          <w:sz w:val="24"/>
          <w:szCs w:val="24"/>
        </w:rPr>
        <w:t xml:space="preserve">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đính kèm theo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sơ v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án và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coi là đã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giao cho đương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.</w:t>
      </w:r>
    </w:p>
    <w:p w14:paraId="1D2F66ED" w14:textId="77777777" w:rsidR="00B85691" w:rsidRDefault="00F61E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N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các đương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tham gia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không có đi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ki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tài chính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trang tr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cho án phí thì có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n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p đơn xin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mi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n án phí và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v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và l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i ích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p pháp mi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n phí.</w:t>
      </w:r>
    </w:p>
    <w:p w14:paraId="3E8C432D" w14:textId="77777777" w:rsidR="00B85691" w:rsidRDefault="00F61E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đương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tham gia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cá nhân, thì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đính kèm theo đơn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ngh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nêu trên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đơn thông báo r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n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trang tr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cho các án phí thì không nuôi dư</w:t>
      </w:r>
      <w:r>
        <w:rPr>
          <w:rFonts w:ascii="Times New Roman" w:hAnsi="Times New Roman"/>
          <w:sz w:val="24"/>
          <w:szCs w:val="24"/>
        </w:rPr>
        <w:t>ỡ</w:t>
      </w:r>
      <w:r>
        <w:rPr>
          <w:rFonts w:ascii="Times New Roman" w:hAnsi="Times New Roman"/>
          <w:sz w:val="24"/>
          <w:szCs w:val="24"/>
        </w:rPr>
        <w:t>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thân và gia đình. Đơn thông báo đó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thông tin chính xác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tình hình gia đình, tài s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và thu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p.</w:t>
      </w:r>
    </w:p>
    <w:p w14:paraId="25F9EE37" w14:textId="77777777" w:rsidR="00B85691" w:rsidRDefault="00F61E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Pháp nhân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không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là pháp nhân có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mi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n án phí n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 minh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r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không có đ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đi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ki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tài chính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trang tr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cho án phí.</w:t>
      </w:r>
    </w:p>
    <w:p w14:paraId="003477CB" w14:textId="77777777" w:rsidR="00B85691" w:rsidRDefault="00F61E52">
      <w:pPr>
        <w:jc w:val="both"/>
      </w:pPr>
      <w:r>
        <w:rPr>
          <w:rFonts w:ascii="Times New Roman" w:hAnsi="Times New Roman"/>
          <w:sz w:val="24"/>
          <w:szCs w:val="24"/>
        </w:rPr>
        <w:t>Công ty nên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 minh thêm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c các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đông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các thành viên góp v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không có đ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đi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ki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tài chính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nâng c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p tài s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công ty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cho công ty vay ti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n. Quy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này không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áp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công ty mà Kho b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 Nhà nư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là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đông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thành viên góp v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công ty đó.</w:t>
      </w:r>
    </w:p>
    <w:p w14:paraId="77E468FB" w14:textId="77777777" w:rsidR="00B85691" w:rsidRDefault="00F61E52">
      <w:pPr>
        <w:jc w:val="both"/>
      </w:pPr>
      <w:r>
        <w:rPr>
          <w:rFonts w:ascii="Times New Roman" w:hAnsi="Times New Roman"/>
          <w:sz w:val="24"/>
          <w:szCs w:val="24"/>
        </w:rPr>
        <w:t>3.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v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và l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i ích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p pháp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đương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có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là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sư bào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a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sư tư v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n; trong các v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án liên quan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s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u công nghi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p,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v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và l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i ích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p pháp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đương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có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là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sư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sáng ch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; ngoài ra,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v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và l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i ích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p pháp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đương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có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là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tài s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các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l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i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đương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,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có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p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 cung c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p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v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đương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(n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đ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tư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tranh ch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p trong v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án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ph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m vi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v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đó),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cùng tham gia tranh ch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p, cũng như cha m</w:t>
      </w:r>
      <w:r>
        <w:rPr>
          <w:rFonts w:ascii="Times New Roman" w:hAnsi="Times New Roman"/>
          <w:sz w:val="24"/>
          <w:szCs w:val="24"/>
        </w:rPr>
        <w:t>ẹ</w:t>
      </w:r>
      <w:r>
        <w:rPr>
          <w:rFonts w:ascii="Times New Roman" w:hAnsi="Times New Roman"/>
          <w:sz w:val="24"/>
          <w:szCs w:val="24"/>
        </w:rPr>
        <w:t>, v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ng, anh ch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em ru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t, con cháu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đương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, cũng như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có quan h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cha, m</w:t>
      </w:r>
      <w:r>
        <w:rPr>
          <w:rFonts w:ascii="Times New Roman" w:hAnsi="Times New Roman"/>
          <w:sz w:val="24"/>
          <w:szCs w:val="24"/>
        </w:rPr>
        <w:t>ẹ</w:t>
      </w:r>
      <w:r>
        <w:rPr>
          <w:rFonts w:ascii="Times New Roman" w:hAnsi="Times New Roman"/>
          <w:sz w:val="24"/>
          <w:szCs w:val="24"/>
        </w:rPr>
        <w:t>, con nuôi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đương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.</w:t>
      </w:r>
    </w:p>
    <w:p w14:paraId="109C54E8" w14:textId="77777777" w:rsidR="00B85691" w:rsidRDefault="00F61E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Ngoài ra,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v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các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và l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i ích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p pháp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pháp nhân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doanh nghi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p, k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doanh nghi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p không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là pháp nhân, cũng có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là nhân viên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cơ quan đó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cơ quan c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p trên. N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pháp nhân làm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v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pháp lý cho công ty, pháp nhân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cơ quan khác căn c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vào các quy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pháp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khác, thì có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thay m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 xml:space="preserve">t cơ quan đó 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y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sư bào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a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nhà tư v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pháp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t,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đi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ki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cơ quan đó đã ch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p thu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n.</w:t>
      </w:r>
    </w:p>
    <w:p w14:paraId="5872038C" w14:textId="77777777" w:rsidR="00B85691" w:rsidRDefault="00F61E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Trong các v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án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xác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cha, v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ph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quan h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cha con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v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nghĩa v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p dư</w:t>
      </w:r>
      <w:r>
        <w:rPr>
          <w:rFonts w:ascii="Times New Roman" w:hAnsi="Times New Roman"/>
          <w:sz w:val="24"/>
          <w:szCs w:val="24"/>
        </w:rPr>
        <w:t>ỡ</w:t>
      </w:r>
      <w:r>
        <w:rPr>
          <w:rFonts w:ascii="Times New Roman" w:hAnsi="Times New Roman"/>
          <w:sz w:val="24"/>
          <w:szCs w:val="24"/>
        </w:rPr>
        <w:t>ng,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v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các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và l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i ích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p pháp cũng có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là cán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cơ quan chính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phương ph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trách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 xml:space="preserve"> tr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 xml:space="preserve"> xã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nhân viên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xã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có m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đích h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 xml:space="preserve"> tr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 xml:space="preserve"> gia đình.</w:t>
      </w:r>
    </w:p>
    <w:p w14:paraId="28FF05B3" w14:textId="77777777" w:rsidR="00B85691" w:rsidRDefault="00F61E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Trong các v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án liên quan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c qu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lý nông 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ng,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v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các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và l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i ích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p pháp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nông dân cũng có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là cán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công đoàn nông nghi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p mà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nông dân đó là thành viên.</w:t>
      </w:r>
    </w:p>
    <w:p w14:paraId="5A8A76D2" w14:textId="77777777" w:rsidR="00B85691" w:rsidRDefault="00F61E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Trong các v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án liên quan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v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v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l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i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tiêu dùng,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v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các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và l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i ích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p pháp cũng có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là cán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có m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đích ho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ghi vào đi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l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là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v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l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i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tiêu dùng.</w:t>
      </w:r>
    </w:p>
    <w:p w14:paraId="0CFD4B7B" w14:textId="77777777" w:rsidR="00B85691" w:rsidRDefault="00F61E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Trong các v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án liên quan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v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v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s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u công nghi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p,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v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các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và l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i ích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p pháp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sáng ch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cũng có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là cán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có m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đích ho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ghi vào đi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l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là 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s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u công nghi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p và h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 xml:space="preserve"> tr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 xml:space="preserve"> các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i sáng </w:t>
      </w:r>
      <w:r>
        <w:rPr>
          <w:rFonts w:ascii="Times New Roman" w:hAnsi="Times New Roman"/>
          <w:sz w:val="24"/>
          <w:szCs w:val="24"/>
        </w:rPr>
        <w:lastRenderedPageBreak/>
        <w:t>ki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(đi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87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Dân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).</w:t>
      </w:r>
    </w:p>
    <w:p w14:paraId="6C456474" w14:textId="77777777" w:rsidR="00B85691" w:rsidRDefault="00F61E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Trong 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p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v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và l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i ích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p pháp,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đó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trình xu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 xml:space="preserve">t đơn 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y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có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ký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thân ch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,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cao gi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y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chúng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sao y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chính, lên Tòa án này khi th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ho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 xml:space="preserve">u tiên. </w:t>
      </w:r>
    </w:p>
    <w:p w14:paraId="3D2BADE0" w14:textId="77777777" w:rsidR="00B85691" w:rsidRDefault="00B85691">
      <w:pPr>
        <w:jc w:val="both"/>
        <w:rPr>
          <w:rFonts w:ascii="Times New Roman" w:hAnsi="Times New Roman"/>
          <w:sz w:val="24"/>
          <w:szCs w:val="24"/>
        </w:rPr>
      </w:pPr>
    </w:p>
    <w:p w14:paraId="4FBA4E67" w14:textId="77777777" w:rsidR="00B85691" w:rsidRDefault="00F61E52">
      <w:pPr>
        <w:jc w:val="both"/>
      </w:pPr>
      <w:r>
        <w:t xml:space="preserve">  </w:t>
      </w:r>
    </w:p>
    <w:p w14:paraId="395EB211" w14:textId="77777777" w:rsidR="00B85691" w:rsidRDefault="00B85691"/>
    <w:sectPr w:rsidR="00B8569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A7022" w14:textId="77777777" w:rsidR="00F61E52" w:rsidRDefault="00F61E52" w:rsidP="00F61E52">
      <w:r>
        <w:separator/>
      </w:r>
    </w:p>
  </w:endnote>
  <w:endnote w:type="continuationSeparator" w:id="0">
    <w:p w14:paraId="0EF882BA" w14:textId="77777777" w:rsidR="00F61E52" w:rsidRDefault="00F61E52" w:rsidP="00F6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C45DA" w14:textId="77777777" w:rsidR="00F61E52" w:rsidRDefault="00F61E52" w:rsidP="00F61E52">
      <w:r>
        <w:separator/>
      </w:r>
    </w:p>
  </w:footnote>
  <w:footnote w:type="continuationSeparator" w:id="0">
    <w:p w14:paraId="77C9683F" w14:textId="77777777" w:rsidR="00F61E52" w:rsidRDefault="00F61E52" w:rsidP="00F61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B85691"/>
    <w:rsid w:val="006A2DB5"/>
    <w:rsid w:val="00B85691"/>
    <w:rsid w:val="00F6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220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36C"/>
    <w:pPr>
      <w:widowControl w:val="0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styleId="Nagwek">
    <w:name w:val="header"/>
    <w:basedOn w:val="Normalny"/>
    <w:link w:val="NagwekZnak"/>
    <w:uiPriority w:val="99"/>
    <w:unhideWhenUsed/>
    <w:rsid w:val="00F61E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1E52"/>
    <w:rPr>
      <w:rFonts w:ascii="Verdana" w:eastAsiaTheme="minorEastAsia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1E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1E52"/>
    <w:rPr>
      <w:rFonts w:ascii="Verdana" w:eastAsiaTheme="minorEastAsia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3178</Characters>
  <Application>Microsoft Office Word</Application>
  <DocSecurity>0</DocSecurity>
  <Lines>56</Lines>
  <Paragraphs>18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2026-03-25T10:21:00Z</dcterms:created>
  <dcterms:modified xsi:type="dcterms:W3CDTF">2026-03-25T10:21:00Z</dcterms:modified>
  <dc:language/>
</cp:coreProperties>
</file>