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4"/>
        <w:keepNext w:val="0"/>
        <w:keepLines w:val="0"/>
        <w:widowControl w:val="0"/>
        <w:shd w:val="clear" w:color="auto" w:fill="auto"/>
        <w:bidi w:val="0"/>
        <w:spacing w:before="0" w:after="660" w:line="240" w:lineRule="auto"/>
        <w:ind w:left="0" w:right="0" w:firstLine="0"/>
        <w:jc w:val="right"/>
      </w:pPr>
      <w:r>
        <w:rPr>
          <w:rStyle w:val="CharStyle5"/>
        </w:rPr>
        <w:t>Siemianowice Śląskie, dnia 11 września 2026 r.</w:t>
      </w:r>
    </w:p>
    <w:p>
      <w:pPr>
        <w:pStyle w:val="Style4"/>
        <w:keepNext w:val="0"/>
        <w:keepLines w:val="0"/>
        <w:widowControl w:val="0"/>
        <w:shd w:val="clear" w:color="auto" w:fill="auto"/>
        <w:bidi w:val="0"/>
        <w:spacing w:before="0" w:after="180" w:line="240" w:lineRule="auto"/>
        <w:ind w:left="3560" w:right="0" w:firstLine="0"/>
        <w:jc w:val="left"/>
      </w:pPr>
      <w:r>
        <w:rPr>
          <w:rStyle w:val="CharStyle5"/>
        </w:rPr>
        <w:t>Organ:</w:t>
      </w:r>
    </w:p>
    <w:p>
      <w:pPr>
        <w:pStyle w:val="Style4"/>
        <w:keepNext w:val="0"/>
        <w:keepLines w:val="0"/>
        <w:widowControl w:val="0"/>
        <w:shd w:val="clear" w:color="auto" w:fill="auto"/>
        <w:bidi w:val="0"/>
        <w:spacing w:before="0" w:after="180" w:line="240" w:lineRule="auto"/>
        <w:ind w:left="3560" w:right="0" w:firstLine="0"/>
        <w:jc w:val="left"/>
      </w:pPr>
      <w:r>
        <w:rPr>
          <w:rStyle w:val="CharStyle5"/>
        </w:rPr>
        <w:t>Sz. P. Minister Klimatu i Środowiska</w:t>
      </w:r>
    </w:p>
    <w:p>
      <w:pPr>
        <w:pStyle w:val="Style4"/>
        <w:keepNext w:val="0"/>
        <w:keepLines w:val="0"/>
        <w:widowControl w:val="0"/>
        <w:shd w:val="clear" w:color="auto" w:fill="auto"/>
        <w:bidi w:val="0"/>
        <w:spacing w:before="0" w:after="180" w:line="240" w:lineRule="auto"/>
        <w:ind w:left="3560" w:right="0" w:firstLine="0"/>
        <w:jc w:val="left"/>
      </w:pPr>
      <w:r>
        <w:rPr>
          <w:rStyle w:val="CharStyle5"/>
        </w:rPr>
        <w:t>MINISTERSTWO KLIMATU I ŚRODOWISKA</w:t>
      </w:r>
    </w:p>
    <w:p>
      <w:pPr>
        <w:pStyle w:val="Style4"/>
        <w:keepNext w:val="0"/>
        <w:keepLines w:val="0"/>
        <w:widowControl w:val="0"/>
        <w:shd w:val="clear" w:color="auto" w:fill="auto"/>
        <w:bidi w:val="0"/>
        <w:spacing w:before="0" w:after="180" w:line="240" w:lineRule="auto"/>
        <w:ind w:left="3560" w:right="0" w:firstLine="0"/>
        <w:jc w:val="left"/>
      </w:pPr>
      <w:r>
        <w:rPr>
          <w:rStyle w:val="CharStyle5"/>
        </w:rPr>
        <w:t>ul. Wawelska 52/54</w:t>
      </w:r>
    </w:p>
    <w:p>
      <w:pPr>
        <w:pStyle w:val="Style4"/>
        <w:keepNext w:val="0"/>
        <w:keepLines w:val="0"/>
        <w:widowControl w:val="0"/>
        <w:shd w:val="clear" w:color="auto" w:fill="auto"/>
        <w:bidi w:val="0"/>
        <w:spacing w:before="0" w:after="660" w:line="240" w:lineRule="auto"/>
        <w:ind w:left="3560" w:right="0" w:firstLine="0"/>
        <w:jc w:val="left"/>
      </w:pPr>
      <w:r>
        <w:rPr>
          <w:rStyle w:val="CharStyle5"/>
        </w:rPr>
        <w:t>00-922 Warszawa</w:t>
      </w:r>
    </w:p>
    <w:p>
      <w:pPr>
        <w:pStyle w:val="Style4"/>
        <w:keepNext w:val="0"/>
        <w:keepLines w:val="0"/>
        <w:widowControl w:val="0"/>
        <w:shd w:val="clear" w:color="auto" w:fill="auto"/>
        <w:bidi w:val="0"/>
        <w:spacing w:before="0" w:after="2020" w:line="240" w:lineRule="auto"/>
        <w:ind w:left="3560" w:right="0" w:firstLine="0"/>
        <w:jc w:val="left"/>
      </w:pPr>
      <w:r>
        <w:rPr>
          <w:rStyle w:val="CharStyle5"/>
        </w:rPr>
        <w:t>Składający petycję:</w:t>
      </w:r>
    </w:p>
    <w:p>
      <w:pPr>
        <w:pStyle w:val="Style4"/>
        <w:keepNext w:val="0"/>
        <w:keepLines w:val="0"/>
        <w:widowControl w:val="0"/>
        <w:shd w:val="clear" w:color="auto" w:fill="auto"/>
        <w:bidi w:val="0"/>
        <w:spacing w:before="0" w:after="460" w:line="410" w:lineRule="auto"/>
        <w:ind w:left="0" w:right="0" w:firstLine="0"/>
        <w:jc w:val="center"/>
      </w:pPr>
      <w:r>
        <w:rPr>
          <w:rStyle w:val="CharStyle5"/>
          <w:b/>
          <w:bCs/>
        </w:rPr>
        <w:t>PETYCJA</w:t>
        <w:br/>
        <w:t>w sprawie podjęcia kroków mających na celu zainicjowanie prac legislacyjnych</w:t>
      </w:r>
    </w:p>
    <w:p>
      <w:pPr>
        <w:pStyle w:val="Style4"/>
        <w:keepNext w:val="0"/>
        <w:keepLines w:val="0"/>
        <w:widowControl w:val="0"/>
        <w:shd w:val="clear" w:color="auto" w:fill="auto"/>
        <w:bidi w:val="0"/>
        <w:spacing w:before="0" w:after="520"/>
        <w:ind w:left="0" w:right="0" w:firstLine="0"/>
        <w:jc w:val="left"/>
      </w:pPr>
      <w:r>
        <w:rPr>
          <w:rStyle w:val="CharStyle5"/>
        </w:rPr>
        <w:t>Szanowna Pani Minister,</w:t>
      </w:r>
    </w:p>
    <w:p>
      <w:pPr>
        <w:pStyle w:val="Style4"/>
        <w:keepNext w:val="0"/>
        <w:keepLines w:val="0"/>
        <w:widowControl w:val="0"/>
        <w:shd w:val="clear" w:color="auto" w:fill="auto"/>
        <w:bidi w:val="0"/>
        <w:spacing w:before="0" w:after="520"/>
        <w:ind w:left="0" w:right="0" w:firstLine="700"/>
        <w:jc w:val="both"/>
      </w:pPr>
      <w:r>
        <w:rPr>
          <w:rStyle w:val="CharStyle5"/>
        </w:rPr>
        <w:t>Działając w imieniu spółka z ograniczoną odpowiedzialnością w Siemianowicach Śląskich, zarówno w interesie publicznym, jak i w interesie na podstawie ustawy z dnia 11 lipca 2014 r. o petycjach (dalej: „UOP”), zwracam się z petycją o podjęcie kroków mających na celu zainicjowanie prac legislacyjnych zmierzających do równoległej zmiany art. 226a ust. 1 ustawy z dnia 14 grudnia 2012 r. o odpadach (dalej: „Ustawa o odpadach”) oraz art. 193 ust. Ic ustawy z dnia 27 kwietnia 2001 r. - Prawo ochrony środowiska (dalej: „POŚ”).</w:t>
      </w:r>
    </w:p>
    <w:p>
      <w:pPr>
        <w:pStyle w:val="Style4"/>
        <w:keepNext w:val="0"/>
        <w:keepLines w:val="0"/>
        <w:widowControl w:val="0"/>
        <w:shd w:val="clear" w:color="auto" w:fill="auto"/>
        <w:bidi w:val="0"/>
        <w:spacing w:before="0" w:after="500"/>
        <w:ind w:left="0" w:right="0" w:firstLine="700"/>
        <w:jc w:val="both"/>
      </w:pPr>
      <w:r>
        <w:rPr>
          <w:rStyle w:val="CharStyle5"/>
        </w:rPr>
        <w:t xml:space="preserve">Postulowana zmiana powinna polegać na zastąpieniu w art. 226a ust. 1 Ustawy o odpadach oraz w art. 193 ust. Ic </w:t>
      </w:r>
      <w:r>
        <w:rPr>
          <w:rStyle w:val="CharStyle5"/>
          <w:b/>
          <w:bCs/>
        </w:rPr>
        <w:t xml:space="preserve">POŚ </w:t>
      </w:r>
      <w:r>
        <w:rPr>
          <w:rStyle w:val="CharStyle5"/>
        </w:rPr>
        <w:t xml:space="preserve">daty „31 grudnia 2026 r.” datą </w:t>
      </w:r>
      <w:r>
        <w:rPr>
          <w:rStyle w:val="CharStyle5"/>
          <w:b/>
          <w:bCs/>
          <w:color w:val="000000"/>
          <w:u w:val="single"/>
        </w:rPr>
        <w:t>31 grudnia 2027 r.</w:t>
      </w:r>
      <w:r>
        <w:br w:type="page"/>
      </w:r>
    </w:p>
    <w:p>
      <w:pPr>
        <w:widowControl w:val="0"/>
        <w:spacing w:line="1" w:lineRule="exact"/>
      </w:pPr>
      <w:r>
        <mc:AlternateContent>
          <mc:Choice Requires="wps">
            <w:drawing>
              <wp:anchor simplePos="0" relativeHeight="2" behindDoc="1" locked="0" layoutInCell="1" allowOverlap="1">
                <wp:simplePos x="0" y="0"/>
                <wp:positionH relativeFrom="page">
                  <wp:posOffset>0</wp:posOffset>
                </wp:positionH>
                <wp:positionV relativeFrom="page">
                  <wp:posOffset>0</wp:posOffset>
                </wp:positionV>
                <wp:extent cx="7556500" cy="10693400"/>
                <wp:wrapNone/>
                <wp:docPr id="1" name="Shape 1"/>
                <a:graphic xmlns:a="http://schemas.openxmlformats.org/drawingml/2006/main">
                  <a:graphicData uri="http://schemas.microsoft.com/office/word/2010/wordprocessingShape">
                    <wps:wsp>
                      <wps:cNvSpPr>
                        <a:spLocks noMove="1" noResize="1" noRot="1"/>
                      </wps:cNvSpPr>
                      <wps:spPr>
                        <a:xfrm>
                          <a:ext cx="7556500" cy="10693400"/>
                        </a:xfrm>
                        <a:prstGeom prst="rect"/>
                        <a:solidFill>
                          <a:srgbClr val="FEFEFE"/>
                        </a:solidFill>
                      </wps:spPr>
                      <wps:bodyPr/>
                    </wps:wsp>
                  </a:graphicData>
                </a:graphic>
              </wp:anchor>
            </w:drawing>
          </mc:Choice>
          <mc:Fallback>
            <w:pict>
              <v:rect style="position:absolute;margin-left:0;margin-top:0;width:595.pt;height:842.pt;z-index:-251658240;mso-position-horizontal-relative:page;mso-position-vertical-relative:page;z-index:-251658752" fillcolor="#FEFEFE" stroked="f"/>
            </w:pict>
          </mc:Fallback>
        </mc:AlternateContent>
      </w:r>
    </w:p>
    <w:p>
      <w:pPr>
        <w:pStyle w:val="Style4"/>
        <w:keepNext w:val="0"/>
        <w:keepLines w:val="0"/>
        <w:widowControl w:val="0"/>
        <w:shd w:val="clear" w:color="auto" w:fill="auto"/>
        <w:bidi w:val="0"/>
        <w:spacing w:before="0" w:after="520"/>
        <w:ind w:left="0" w:right="0" w:firstLine="0"/>
        <w:jc w:val="both"/>
      </w:pPr>
      <w:r>
        <w:rPr>
          <w:rStyle w:val="CharStyle5"/>
        </w:rPr>
        <w:t>W art. 226a ust. 1 Ustawy o odpadach termin ten powinien odnosić się do zezwoleń na zbieranie odpadów oraz zezwoleń na przetwarzanie odpadów, natomiast w art. 193 ust. Ic POŚ - do pozwoleń na wytwarzanie odpadów, o których mowa w art. 180a POŚ, pod warunkiem złożenia wniosku o wydanie nowej decyzji nie później niż trzy miesiące przed upływem czasu, na jaki wydano dotychczasową decyzję. Zmiany powinny wejść w życie najpóźniej z dniem 31 grudnia 2026 r., tak aby zapewnić ciągłość obowiązywania dotychczasowych decyzji i zapobiec powstaniu luki prawnej.</w:t>
      </w:r>
    </w:p>
    <w:p>
      <w:pPr>
        <w:pStyle w:val="Style4"/>
        <w:keepNext w:val="0"/>
        <w:keepLines w:val="0"/>
        <w:widowControl w:val="0"/>
        <w:shd w:val="clear" w:color="auto" w:fill="auto"/>
        <w:bidi w:val="0"/>
        <w:spacing w:before="0" w:after="520"/>
        <w:ind w:left="0" w:right="0" w:firstLine="680"/>
        <w:jc w:val="both"/>
      </w:pPr>
      <w:r>
        <w:rPr>
          <w:rStyle w:val="CharStyle5"/>
        </w:rPr>
        <w:t>Jednocześnie zwracam się o poinformowanie o sposobie załatwienia petycji za pomocą środków komunikacji elektronicznej na adres e-mail -</w:t>
      </w:r>
    </w:p>
    <w:p>
      <w:pPr>
        <w:pStyle w:val="Style4"/>
        <w:keepNext w:val="0"/>
        <w:keepLines w:val="0"/>
        <w:widowControl w:val="0"/>
        <w:shd w:val="clear" w:color="auto" w:fill="auto"/>
        <w:bidi w:val="0"/>
        <w:spacing w:before="0" w:after="440"/>
        <w:ind w:left="0" w:right="0" w:firstLine="0"/>
        <w:jc w:val="center"/>
      </w:pPr>
      <w:r>
        <w:rPr>
          <w:rStyle w:val="CharStyle5"/>
        </w:rPr>
        <w:t>UZASADNIENIE</w:t>
      </w:r>
    </w:p>
    <w:p>
      <w:pPr>
        <w:pStyle w:val="Style4"/>
        <w:keepNext w:val="0"/>
        <w:keepLines w:val="0"/>
        <w:widowControl w:val="0"/>
        <w:numPr>
          <w:ilvl w:val="0"/>
          <w:numId w:val="1"/>
        </w:numPr>
        <w:shd w:val="clear" w:color="auto" w:fill="auto"/>
        <w:tabs>
          <w:tab w:pos="681" w:val="left"/>
        </w:tabs>
        <w:bidi w:val="0"/>
        <w:spacing w:before="0" w:after="440"/>
        <w:ind w:left="680" w:right="0" w:hanging="340"/>
        <w:jc w:val="both"/>
      </w:pPr>
      <w:r>
        <w:rPr>
          <w:rStyle w:val="CharStyle5"/>
        </w:rPr>
        <w:t>Tytułem wstępnego wyjaśnienia wskazuję, że art. 193 ust. Ic POŚ oraz art. 226a Ustawy o odpadach zostały dodane odpowiednio przez art. 43 i art. 45 ustawy z dnia 7 października 2022 r. o szczególnych rozwiązaniach służących ochronie odbiorców energii elektrycznej w 2023 roku oraz w 2024 roku w związku z sytuacją na rynku energii elektrycznej i weszły w życie w dniu 18 października 2022 r.</w:t>
      </w:r>
    </w:p>
    <w:p>
      <w:pPr>
        <w:pStyle w:val="Style4"/>
        <w:keepNext w:val="0"/>
        <w:keepLines w:val="0"/>
        <w:widowControl w:val="0"/>
        <w:numPr>
          <w:ilvl w:val="0"/>
          <w:numId w:val="1"/>
        </w:numPr>
        <w:shd w:val="clear" w:color="auto" w:fill="auto"/>
        <w:tabs>
          <w:tab w:pos="681" w:val="left"/>
        </w:tabs>
        <w:bidi w:val="0"/>
        <w:spacing w:before="0" w:after="260"/>
        <w:ind w:left="680" w:right="0" w:hanging="340"/>
        <w:jc w:val="both"/>
      </w:pPr>
      <w:r>
        <w:rPr>
          <w:rStyle w:val="CharStyle5"/>
        </w:rPr>
        <w:t>Pierwotnie ustanowiony mechanizm był następnie przedłużany. Ostatnia obowiązująca zmiana została wprowadzona ustawą z dnia 7 listopada 2025 r. o zmianie ustawy - Prawo ochrony środowiska oraz niektórych innych ustaw (Dz. U. z 2025 r. poz. 1812), która weszła w życie w dniu 31 grudnia 2025 r. i zastąpiła w art. 193 ust. Ic POŚ oraz w art. 226a ust. 1 Ustawy o odpadach datę „31 grudnia 2025 r.” datą „31 grudnia 2026 r.”. Ustawa ta przesunęła również utratę mocy przepisów art. 193 ust. lc-le POŚ oraz art. 226a Ustawy o odpadach na dzień 1 stycznia 2027 r.</w:t>
      </w:r>
    </w:p>
    <w:p>
      <w:pPr>
        <w:pStyle w:val="Style4"/>
        <w:keepNext w:val="0"/>
        <w:keepLines w:val="0"/>
        <w:widowControl w:val="0"/>
        <w:numPr>
          <w:ilvl w:val="0"/>
          <w:numId w:val="1"/>
        </w:numPr>
        <w:shd w:val="clear" w:color="auto" w:fill="auto"/>
        <w:tabs>
          <w:tab w:pos="681" w:val="left"/>
        </w:tabs>
        <w:bidi w:val="0"/>
        <w:spacing w:before="0" w:after="480"/>
        <w:ind w:left="680" w:right="0" w:hanging="340"/>
        <w:jc w:val="both"/>
      </w:pPr>
      <w:r>
        <w:rPr>
          <w:rStyle w:val="CharStyle5"/>
        </w:rPr>
        <w:t>Celem regulacji jest zabezpieczenie interesu publicznego przez utrzymanie w mocy pozwoleń na wytwarzanie odpadów oraz zezwoleń na zbieranie lub</w:t>
      </w:r>
      <w:r>
        <w:br w:type="page"/>
      </w:r>
    </w:p>
    <w:p>
      <w:pPr>
        <w:pStyle w:val="Style4"/>
        <w:keepNext w:val="0"/>
        <w:keepLines w:val="0"/>
        <w:widowControl w:val="0"/>
        <w:shd w:val="clear" w:color="auto" w:fill="auto"/>
        <w:bidi w:val="0"/>
        <w:spacing w:before="0" w:after="420"/>
        <w:ind w:left="720" w:right="0" w:firstLine="0"/>
        <w:jc w:val="both"/>
      </w:pPr>
      <w:r>
        <w:rPr>
          <w:rStyle w:val="CharStyle5"/>
        </w:rPr>
        <w:t>przetwarzanie odpadów w sytuacji, gdy mimo terminowego złożenia wniosków o nowe decyzje postępowania administracyjne nie zostały zakończone. Bez tego mechanizmu istniałoby wysokie prawdopodobieństwo wyeliminowania z obrotu prawnego podmiotów uprawnionych do gospodarowania odpadami, co mogłoby doprowadzić do poważnych zakłóceń systemu gospodarki odpadami w Rzeczypospolitej Polskiej i rozszerzenia tzw. szarej strefy.</w:t>
      </w:r>
    </w:p>
    <w:p>
      <w:pPr>
        <w:pStyle w:val="Style4"/>
        <w:keepNext w:val="0"/>
        <w:keepLines w:val="0"/>
        <w:widowControl w:val="0"/>
        <w:numPr>
          <w:ilvl w:val="0"/>
          <w:numId w:val="1"/>
        </w:numPr>
        <w:shd w:val="clear" w:color="auto" w:fill="auto"/>
        <w:tabs>
          <w:tab w:pos="701" w:val="left"/>
        </w:tabs>
        <w:bidi w:val="0"/>
        <w:spacing w:before="0" w:after="0"/>
        <w:ind w:left="720" w:right="0" w:hanging="360"/>
        <w:jc w:val="both"/>
      </w:pPr>
      <w:r>
        <w:rPr>
          <w:rStyle w:val="CharStyle5"/>
        </w:rPr>
        <w:t>Zagrożenie pozostaje aktualne ze względu na nadal znaczną liczbę postępowań niezakończonych. Dane uzyskane przez Wnioskodawcę w sierpniu i wrześniu 2026 r. wskazują, że w wielu województwach w dalszym ciągu procedowane są dziesiątki, a niekiedy setki, wniosków składanych w związku z art. 226a ust. 1 Ustawy o odpadach. Aktualne informacje przedstawiają się następująco:</w:t>
      </w:r>
    </w:p>
    <w:p>
      <w:pPr>
        <w:pStyle w:val="Style4"/>
        <w:keepNext w:val="0"/>
        <w:keepLines w:val="0"/>
        <w:widowControl w:val="0"/>
        <w:numPr>
          <w:ilvl w:val="0"/>
          <w:numId w:val="3"/>
        </w:numPr>
        <w:shd w:val="clear" w:color="auto" w:fill="auto"/>
        <w:tabs>
          <w:tab w:pos="1415" w:val="left"/>
        </w:tabs>
        <w:bidi w:val="0"/>
        <w:spacing w:before="0" w:after="0"/>
        <w:ind w:left="1420" w:right="0" w:hanging="360"/>
        <w:jc w:val="left"/>
      </w:pPr>
      <w:r>
        <w:rPr>
          <w:rStyle w:val="CharStyle5"/>
        </w:rPr>
        <w:t>w województwie lubelskim wpłynęło 40 wniosków, z czego 9 postępowań pozostawało niezakończonych (według danych z kwietnia 2025 r. było to odpowiednio 14 i 6 wniosków);</w:t>
      </w:r>
    </w:p>
    <w:p>
      <w:pPr>
        <w:pStyle w:val="Style4"/>
        <w:keepNext w:val="0"/>
        <w:keepLines w:val="0"/>
        <w:widowControl w:val="0"/>
        <w:numPr>
          <w:ilvl w:val="0"/>
          <w:numId w:val="3"/>
        </w:numPr>
        <w:shd w:val="clear" w:color="auto" w:fill="auto"/>
        <w:tabs>
          <w:tab w:pos="1415" w:val="left"/>
        </w:tabs>
        <w:bidi w:val="0"/>
        <w:spacing w:before="0" w:after="0"/>
        <w:ind w:left="1420" w:right="0" w:hanging="360"/>
        <w:jc w:val="left"/>
      </w:pPr>
      <w:r>
        <w:rPr>
          <w:rStyle w:val="CharStyle5"/>
        </w:rPr>
        <w:t>w województwie lubuskim wpłynęło 159 wniosków, z czego 11 pozostawało nierozpatrzonych (według danych z kwietnia 2025 r. było to odpowiednio 35 i 22 wnioski);</w:t>
      </w:r>
    </w:p>
    <w:p>
      <w:pPr>
        <w:pStyle w:val="Style4"/>
        <w:keepNext w:val="0"/>
        <w:keepLines w:val="0"/>
        <w:widowControl w:val="0"/>
        <w:numPr>
          <w:ilvl w:val="0"/>
          <w:numId w:val="3"/>
        </w:numPr>
        <w:shd w:val="clear" w:color="auto" w:fill="auto"/>
        <w:tabs>
          <w:tab w:pos="1415" w:val="left"/>
        </w:tabs>
        <w:bidi w:val="0"/>
        <w:spacing w:before="0" w:after="0"/>
        <w:ind w:left="1420" w:right="0" w:hanging="360"/>
        <w:jc w:val="left"/>
      </w:pPr>
      <w:r>
        <w:rPr>
          <w:rStyle w:val="CharStyle5"/>
        </w:rPr>
        <w:t>w województwie łódzkim wpłynęło 145 wniosków, a postępowania toczyły się nadal w 56 sprawach (według danych z kwietnia 2025 r. było to odpowiednio 144 i 92 wnioski);</w:t>
      </w:r>
    </w:p>
    <w:p>
      <w:pPr>
        <w:pStyle w:val="Style4"/>
        <w:keepNext w:val="0"/>
        <w:keepLines w:val="0"/>
        <w:widowControl w:val="0"/>
        <w:numPr>
          <w:ilvl w:val="0"/>
          <w:numId w:val="3"/>
        </w:numPr>
        <w:shd w:val="clear" w:color="auto" w:fill="auto"/>
        <w:tabs>
          <w:tab w:pos="1415" w:val="left"/>
        </w:tabs>
        <w:bidi w:val="0"/>
        <w:spacing w:before="0" w:after="0"/>
        <w:ind w:left="1420" w:right="0" w:hanging="360"/>
        <w:jc w:val="left"/>
      </w:pPr>
      <w:r>
        <w:rPr>
          <w:rStyle w:val="CharStyle5"/>
        </w:rPr>
        <w:t>w województwie podkarpackim wpłynęło około 160 wniosków, z czego 24 były nadal procedowane (według danych z kwietnia 2025 r. było to odpowiednio 81 i 56 wniosków);</w:t>
      </w:r>
    </w:p>
    <w:p>
      <w:pPr>
        <w:pStyle w:val="Style4"/>
        <w:keepNext w:val="0"/>
        <w:keepLines w:val="0"/>
        <w:widowControl w:val="0"/>
        <w:numPr>
          <w:ilvl w:val="0"/>
          <w:numId w:val="3"/>
        </w:numPr>
        <w:shd w:val="clear" w:color="auto" w:fill="auto"/>
        <w:tabs>
          <w:tab w:pos="1415" w:val="left"/>
        </w:tabs>
        <w:bidi w:val="0"/>
        <w:spacing w:before="0" w:after="0"/>
        <w:ind w:left="1420" w:right="0" w:hanging="360"/>
        <w:jc w:val="left"/>
      </w:pPr>
      <w:r>
        <w:rPr>
          <w:rStyle w:val="CharStyle5"/>
        </w:rPr>
        <w:t>w województwie podlaskim wpłynęło 58 wniosków, a 24 postępowania pozostawały w toku (według danych z kwietnia 2025 r. było to odpowiednio 41 i 34 wnioski);</w:t>
      </w:r>
    </w:p>
    <w:p>
      <w:pPr>
        <w:pStyle w:val="Style4"/>
        <w:keepNext w:val="0"/>
        <w:keepLines w:val="0"/>
        <w:widowControl w:val="0"/>
        <w:numPr>
          <w:ilvl w:val="0"/>
          <w:numId w:val="3"/>
        </w:numPr>
        <w:shd w:val="clear" w:color="auto" w:fill="auto"/>
        <w:tabs>
          <w:tab w:pos="1415" w:val="left"/>
        </w:tabs>
        <w:bidi w:val="0"/>
        <w:spacing w:before="0" w:after="0"/>
        <w:ind w:left="1420" w:right="0" w:hanging="360"/>
        <w:jc w:val="left"/>
      </w:pPr>
      <w:r>
        <w:rPr>
          <w:rStyle w:val="CharStyle5"/>
        </w:rPr>
        <w:t>w województwie pomorskim wpłynęło 137 wniosków, a prowadzonych było jeszcze 86 postępowań (według danych z kwietnia 2025 r. było to odpowiednio 94 i 84 wnioski);</w:t>
      </w:r>
      <w:r>
        <w:br w:type="page"/>
      </w:r>
    </w:p>
    <w:p>
      <w:pPr>
        <w:widowControl w:val="0"/>
        <w:spacing w:line="1" w:lineRule="exact"/>
      </w:pPr>
      <w:r>
        <mc:AlternateContent>
          <mc:Choice Requires="wps">
            <w:drawing>
              <wp:anchor simplePos="0" relativeHeight="2" behindDoc="1" locked="0" layoutInCell="1" allowOverlap="1">
                <wp:simplePos x="0" y="0"/>
                <wp:positionH relativeFrom="page">
                  <wp:posOffset>0</wp:posOffset>
                </wp:positionH>
                <wp:positionV relativeFrom="page">
                  <wp:posOffset>0</wp:posOffset>
                </wp:positionV>
                <wp:extent cx="7556500" cy="10693400"/>
                <wp:wrapNone/>
                <wp:docPr id="2" name="Shape 2"/>
                <a:graphic xmlns:a="http://schemas.openxmlformats.org/drawingml/2006/main">
                  <a:graphicData uri="http://schemas.microsoft.com/office/word/2010/wordprocessingShape">
                    <wps:wsp>
                      <wps:cNvSpPr>
                        <a:spLocks noMove="1" noResize="1" noRot="1"/>
                      </wps:cNvSpPr>
                      <wps:spPr>
                        <a:xfrm>
                          <a:ext cx="7556500" cy="10693400"/>
                        </a:xfrm>
                        <a:prstGeom prst="rect"/>
                        <a:solidFill>
                          <a:srgbClr val="FEFEFE"/>
                        </a:solidFill>
                      </wps:spPr>
                      <wps:bodyPr/>
                    </wps:wsp>
                  </a:graphicData>
                </a:graphic>
              </wp:anchor>
            </w:drawing>
          </mc:Choice>
          <mc:Fallback>
            <w:pict>
              <v:rect style="position:absolute;margin-left:0;margin-top:0;width:595.pt;height:842.pt;z-index:-251658240;mso-position-horizontal-relative:page;mso-position-vertical-relative:page;z-index:-251658751" fillcolor="#FEFEFE" stroked="f"/>
            </w:pict>
          </mc:Fallback>
        </mc:AlternateContent>
      </w:r>
    </w:p>
    <w:p>
      <w:pPr>
        <w:pStyle w:val="Style4"/>
        <w:keepNext w:val="0"/>
        <w:keepLines w:val="0"/>
        <w:widowControl w:val="0"/>
        <w:numPr>
          <w:ilvl w:val="0"/>
          <w:numId w:val="3"/>
        </w:numPr>
        <w:shd w:val="clear" w:color="auto" w:fill="auto"/>
        <w:tabs>
          <w:tab w:pos="1415" w:val="left"/>
        </w:tabs>
        <w:bidi w:val="0"/>
        <w:spacing w:before="0" w:after="0"/>
        <w:ind w:left="1420" w:right="0" w:hanging="360"/>
        <w:jc w:val="left"/>
      </w:pPr>
      <w:r>
        <w:rPr>
          <w:rStyle w:val="CharStyle5"/>
        </w:rPr>
        <w:t>w województwie śląskim wpłynęło 320 wniosków, z czego 272 pozostawały w toku (według danych z kwietnia 2025 r. było to odpowiednio 147 i 144 wnioski);</w:t>
      </w:r>
    </w:p>
    <w:p>
      <w:pPr>
        <w:pStyle w:val="Style4"/>
        <w:keepNext w:val="0"/>
        <w:keepLines w:val="0"/>
        <w:widowControl w:val="0"/>
        <w:numPr>
          <w:ilvl w:val="0"/>
          <w:numId w:val="3"/>
        </w:numPr>
        <w:shd w:val="clear" w:color="auto" w:fill="auto"/>
        <w:tabs>
          <w:tab w:pos="1415" w:val="left"/>
        </w:tabs>
        <w:bidi w:val="0"/>
        <w:spacing w:before="0" w:after="0"/>
        <w:ind w:left="1420" w:right="0" w:hanging="360"/>
        <w:jc w:val="left"/>
      </w:pPr>
      <w:r>
        <w:rPr>
          <w:rStyle w:val="CharStyle5"/>
        </w:rPr>
        <w:t>w województwie świętokrzyskim wpłynęło 47 wniosków, z czego 5 było nadal procedowanych (według danych z kwietnia 2025 r. było to odpowiednio 35 i 34 wnioski);</w:t>
      </w:r>
    </w:p>
    <w:p>
      <w:pPr>
        <w:pStyle w:val="Style4"/>
        <w:keepNext w:val="0"/>
        <w:keepLines w:val="0"/>
        <w:widowControl w:val="0"/>
        <w:numPr>
          <w:ilvl w:val="0"/>
          <w:numId w:val="3"/>
        </w:numPr>
        <w:shd w:val="clear" w:color="auto" w:fill="auto"/>
        <w:tabs>
          <w:tab w:pos="1415" w:val="left"/>
        </w:tabs>
        <w:bidi w:val="0"/>
        <w:spacing w:before="0" w:after="0"/>
        <w:ind w:left="1420" w:right="0" w:hanging="360"/>
        <w:jc w:val="left"/>
      </w:pPr>
      <w:r>
        <w:rPr>
          <w:rStyle w:val="CharStyle5"/>
        </w:rPr>
        <w:t>w województwie warmińsko-mazurskim wpłynęło 78 wniosków, z czego 29 pozostawało niezakończonych (według danych z kwietnia 2025 r. było to odpowiednio 59 i 41 wniosków);</w:t>
      </w:r>
    </w:p>
    <w:p>
      <w:pPr>
        <w:pStyle w:val="Style4"/>
        <w:keepNext w:val="0"/>
        <w:keepLines w:val="0"/>
        <w:widowControl w:val="0"/>
        <w:numPr>
          <w:ilvl w:val="0"/>
          <w:numId w:val="3"/>
        </w:numPr>
        <w:shd w:val="clear" w:color="auto" w:fill="auto"/>
        <w:tabs>
          <w:tab w:pos="1415" w:val="left"/>
        </w:tabs>
        <w:bidi w:val="0"/>
        <w:spacing w:before="0" w:after="0"/>
        <w:ind w:left="1420" w:right="0" w:hanging="360"/>
        <w:jc w:val="left"/>
      </w:pPr>
      <w:r>
        <w:rPr>
          <w:rStyle w:val="CharStyle5"/>
        </w:rPr>
        <w:t>w województwie wielkopolskim wpłynęło 276 wniosków, a 63 wnioski były nadal procedowane (według danych z kwietnia 2025 r. było to odpowiednio 223 i 161 wniosków).</w:t>
      </w:r>
    </w:p>
    <w:p>
      <w:pPr>
        <w:pStyle w:val="Style4"/>
        <w:keepNext w:val="0"/>
        <w:keepLines w:val="0"/>
        <w:widowControl w:val="0"/>
        <w:numPr>
          <w:ilvl w:val="0"/>
          <w:numId w:val="3"/>
        </w:numPr>
        <w:shd w:val="clear" w:color="auto" w:fill="auto"/>
        <w:tabs>
          <w:tab w:pos="1415" w:val="left"/>
        </w:tabs>
        <w:bidi w:val="0"/>
        <w:spacing w:before="0"/>
        <w:ind w:left="1420" w:right="0" w:hanging="360"/>
        <w:jc w:val="left"/>
      </w:pPr>
      <w:r>
        <w:rPr>
          <w:rStyle w:val="CharStyle5"/>
        </w:rPr>
        <w:t>W województwie mazowieckim wpłynęły 452 wnioski, a 63 wnioski były nadal procedowane (według danych z lutego 2025 r. było to odpowiednio 233 i 184 wnioski).</w:t>
      </w:r>
    </w:p>
    <w:p>
      <w:pPr>
        <w:pStyle w:val="Style4"/>
        <w:keepNext w:val="0"/>
        <w:keepLines w:val="0"/>
        <w:widowControl w:val="0"/>
        <w:numPr>
          <w:ilvl w:val="0"/>
          <w:numId w:val="1"/>
        </w:numPr>
        <w:shd w:val="clear" w:color="auto" w:fill="auto"/>
        <w:tabs>
          <w:tab w:pos="681" w:val="left"/>
        </w:tabs>
        <w:bidi w:val="0"/>
        <w:spacing w:before="0" w:after="0"/>
        <w:ind w:left="680" w:right="0" w:hanging="340"/>
        <w:jc w:val="both"/>
      </w:pPr>
      <w:r>
        <w:rPr>
          <w:rStyle w:val="CharStyle5"/>
        </w:rPr>
        <w:t xml:space="preserve">Zestawienie potwierdza, że problem przewlekłości ma charakter systemowy. W dziesięciu województwach, które przekazały konkretne dane liczbowe, odnotowano łącznie co najmniej 1420 wniosków, z czego </w:t>
      </w:r>
      <w:r>
        <w:rPr>
          <w:rStyle w:val="CharStyle5"/>
          <w:b/>
          <w:bCs/>
        </w:rPr>
        <w:t xml:space="preserve">579 postępowań pozostawało niezakończonych </w:t>
      </w:r>
      <w:r>
        <w:rPr>
          <w:rStyle w:val="CharStyle5"/>
        </w:rPr>
        <w:t>(według danych z kwietnia 2025 r. było to odpowiednio 873 i 674 wnioski). Liczba 579 postępowań wynika z sumy nierozpatrzonych spraw wskazanych w odpowiedziach: 9 w województwie lubelskim (6 według danych z kwietnia 2025 r.), 11 w lubuskim (22), 56 w łódzkim (92), 24 w podkarpackim (56), 24 w podlaskim (34), 86 w pomorskim (84), 272 w śląskim (144), 5 w świętokrzyskim (34), 29 w warmińsko-mazurskim (41), 63 w wielkopolskim (161) i 63 w mazowieckim (184) Szczególnie niepokojąca jest sytuacja w województwie śląskim, gdzie w toku pozostawały 272 z 320 spraw. Jednocześnie organ województwa dolnośląskiego wskazał, że nie prowadzi zestawień odpowiadających zakresowi wniosku, a organ województwa mazowieckiego przedłużył termin udostępnienia informacji do 29 września 2026 r.; rzeczywista skala zaległości w</w:t>
      </w:r>
      <w:r>
        <w:br w:type="page"/>
      </w:r>
    </w:p>
    <w:p>
      <w:pPr>
        <w:widowControl w:val="0"/>
        <w:spacing w:line="1" w:lineRule="exact"/>
      </w:pPr>
      <w:r>
        <mc:AlternateContent>
          <mc:Choice Requires="wps">
            <w:drawing>
              <wp:anchor simplePos="0" relativeHeight="2" behindDoc="1" locked="0" layoutInCell="1" allowOverlap="1">
                <wp:simplePos x="0" y="0"/>
                <wp:positionH relativeFrom="page">
                  <wp:posOffset>0</wp:posOffset>
                </wp:positionH>
                <wp:positionV relativeFrom="page">
                  <wp:posOffset>0</wp:posOffset>
                </wp:positionV>
                <wp:extent cx="7556500" cy="10693400"/>
                <wp:wrapNone/>
                <wp:docPr id="3" name="Shape 3"/>
                <a:graphic xmlns:a="http://schemas.openxmlformats.org/drawingml/2006/main">
                  <a:graphicData uri="http://schemas.microsoft.com/office/word/2010/wordprocessingShape">
                    <wps:wsp>
                      <wps:cNvSpPr>
                        <a:spLocks noMove="1" noResize="1" noRot="1"/>
                      </wps:cNvSpPr>
                      <wps:spPr>
                        <a:xfrm>
                          <a:ext cx="7556500" cy="10693400"/>
                        </a:xfrm>
                        <a:prstGeom prst="rect"/>
                        <a:solidFill>
                          <a:srgbClr val="FEFEFE"/>
                        </a:solidFill>
                      </wps:spPr>
                      <wps:bodyPr/>
                    </wps:wsp>
                  </a:graphicData>
                </a:graphic>
              </wp:anchor>
            </w:drawing>
          </mc:Choice>
          <mc:Fallback>
            <w:pict>
              <v:rect style="position:absolute;margin-left:0;margin-top:0;width:595.pt;height:842.pt;z-index:-251658240;mso-position-horizontal-relative:page;mso-position-vertical-relative:page;z-index:-251658750" fillcolor="#FEFEFE" stroked="f"/>
            </w:pict>
          </mc:Fallback>
        </mc:AlternateContent>
      </w:r>
    </w:p>
    <w:p>
      <w:pPr>
        <w:pStyle w:val="Style4"/>
        <w:keepNext w:val="0"/>
        <w:keepLines w:val="0"/>
        <w:widowControl w:val="0"/>
        <w:shd w:val="clear" w:color="auto" w:fill="auto"/>
        <w:bidi w:val="0"/>
        <w:spacing w:before="0"/>
        <w:ind w:left="700" w:right="0" w:firstLine="20"/>
        <w:jc w:val="both"/>
      </w:pPr>
      <w:r>
        <w:rPr>
          <w:rStyle w:val="CharStyle5"/>
        </w:rPr>
        <w:t>kraju może być zatem większa. Dane te przemawiają za wydłużeniem ochrony prawnej decyzji o kolejny rok.</w:t>
      </w:r>
    </w:p>
    <w:p>
      <w:pPr>
        <w:pStyle w:val="Style4"/>
        <w:keepNext w:val="0"/>
        <w:keepLines w:val="0"/>
        <w:widowControl w:val="0"/>
        <w:numPr>
          <w:ilvl w:val="0"/>
          <w:numId w:val="1"/>
        </w:numPr>
        <w:shd w:val="clear" w:color="auto" w:fill="auto"/>
        <w:tabs>
          <w:tab w:pos="701" w:val="left"/>
        </w:tabs>
        <w:bidi w:val="0"/>
        <w:spacing w:before="0"/>
        <w:ind w:left="700" w:right="0" w:hanging="340"/>
        <w:jc w:val="both"/>
      </w:pPr>
      <w:r>
        <w:rPr>
          <w:rStyle w:val="CharStyle5"/>
        </w:rPr>
        <w:t>Na długość postępowań wpływa wiele czynników. Przede wszystkim, w przypadku znacznej części pozwoleń wydawanych przez marszałka województwa konieczne jest wcześniejsze uzyskanie przez Wnioskodawcę decyzji o środowiskowych uwarunkowaniach, którą co do zasady wydaj e starosta, ewentualnie prezydent miasta na prawach powiatu. Postępowanie to może obejmować udział społeczeństwa, analizę zgłaszanych uwag oraz ocenę oddziaływania planowanego przedsięwzięcia, co wydłuża etap poprzedzający rozpoznanie wniosku o zezwolenie na zbieranie lub przetwarzanie odpadów. Sprzeciw społeczności lokalnych wobec lokalizacji zakładów gospodarowania odpadami może dodatkowo zwiększać złożoność postępowania, niezależnie od prawidłowości i terminowości działań przedsiębiorcy.</w:t>
      </w:r>
    </w:p>
    <w:p>
      <w:pPr>
        <w:pStyle w:val="Style4"/>
        <w:keepNext w:val="0"/>
        <w:keepLines w:val="0"/>
        <w:widowControl w:val="0"/>
        <w:numPr>
          <w:ilvl w:val="0"/>
          <w:numId w:val="1"/>
        </w:numPr>
        <w:shd w:val="clear" w:color="auto" w:fill="auto"/>
        <w:tabs>
          <w:tab w:pos="701" w:val="left"/>
        </w:tabs>
        <w:bidi w:val="0"/>
        <w:spacing w:before="0"/>
        <w:ind w:left="700" w:right="0" w:hanging="340"/>
        <w:jc w:val="both"/>
      </w:pPr>
      <w:r>
        <w:rPr>
          <w:rStyle w:val="CharStyle5"/>
        </w:rPr>
        <w:t>Wspomniane negatywne rozstrzygnięcie powoduje w wielu przypadkach wniesienie środka zaskarżenia do właściwego samorządowego kolegium odwoławczego, które częstokroć uchyla zaskarżoną decyzję, a sprawa trafia do ponownego rozpoznania przez ten sam organ, który powiela wcześniejszą decyzję albo musi przeprowadzić ponownie procedurę uzgodnieniową/opiniodawczą. Dalszy proces odwoławczy rozwleka procedurę uzyskania decyzji o środowiskowych uwarunkowaniach do kilku lat, mimo że cały proces powinien trwać kilka miesięcy. Bez uzyskania przez wnioskodawcę decyzji o środowiskowych uwarunkowaniach w wielu przypadkach nie jest zaś możliwe uzyskanie zezwolenia na przetwarzanie lub zbieranie odpadów.</w:t>
      </w:r>
    </w:p>
    <w:p>
      <w:pPr>
        <w:pStyle w:val="Style4"/>
        <w:keepNext w:val="0"/>
        <w:keepLines w:val="0"/>
        <w:widowControl w:val="0"/>
        <w:numPr>
          <w:ilvl w:val="0"/>
          <w:numId w:val="1"/>
        </w:numPr>
        <w:shd w:val="clear" w:color="auto" w:fill="auto"/>
        <w:tabs>
          <w:tab w:pos="701" w:val="left"/>
        </w:tabs>
        <w:bidi w:val="0"/>
        <w:spacing w:before="0"/>
        <w:ind w:left="700" w:right="0" w:hanging="340"/>
        <w:jc w:val="both"/>
      </w:pPr>
      <w:r>
        <w:rPr>
          <w:rStyle w:val="CharStyle5"/>
        </w:rPr>
        <w:t>Ponadto opóźnienia notują także organy opiniujące lub uzgadniające wnioski o wydanie ww. zezwoleń.</w:t>
      </w:r>
    </w:p>
    <w:p>
      <w:pPr>
        <w:pStyle w:val="Style4"/>
        <w:keepNext w:val="0"/>
        <w:keepLines w:val="0"/>
        <w:widowControl w:val="0"/>
        <w:numPr>
          <w:ilvl w:val="0"/>
          <w:numId w:val="1"/>
        </w:numPr>
        <w:shd w:val="clear" w:color="auto" w:fill="auto"/>
        <w:tabs>
          <w:tab w:pos="701" w:val="left"/>
        </w:tabs>
        <w:bidi w:val="0"/>
        <w:spacing w:before="0"/>
        <w:ind w:left="700" w:right="0" w:hanging="340"/>
        <w:jc w:val="both"/>
      </w:pPr>
      <w:r>
        <w:rPr>
          <w:rStyle w:val="CharStyle5"/>
        </w:rPr>
        <w:t>Mając na uwadze powyższe, uzasadnione jest przedłużenie do dnia 31 grudnia 2027 r. okresu stosowania zarówno art. 226a ust. 1 Ustawy o odpadach, jak i art.</w:t>
      </w:r>
      <w:r>
        <w:br w:type="page"/>
      </w:r>
    </w:p>
    <w:p>
      <w:pPr>
        <w:pStyle w:val="Style4"/>
        <w:keepNext w:val="0"/>
        <w:keepLines w:val="0"/>
        <w:widowControl w:val="0"/>
        <w:shd w:val="clear" w:color="auto" w:fill="auto"/>
        <w:bidi w:val="0"/>
        <w:spacing w:before="0"/>
        <w:ind w:left="720" w:right="0" w:firstLine="40"/>
        <w:jc w:val="both"/>
      </w:pPr>
      <w:r>
        <w:rPr>
          <w:rStyle w:val="CharStyle5"/>
        </w:rPr>
        <w:t>193 ust. Ic POŚ. Obowiązująca nowelizacja wydłużyła ten okres jedynie do dnia 31 grudnia 2026 r., jednak skala nadal niezakończonych postępowań wskazuje, że dodatkowy rok może okazać się niezbędny do rozpoznania wniosków i uzyskania nowych decyzji. Brak dalszej zmiany spowoduje, że z dniem 1 stycznia 2027 r. dotychczasowe decyzje objęte tymi regulacjami utracą ustawową ochronę przed wygaśnięciem z powodu upływu czasu, mimo że postępowania wszczęte na podstawie terminowo złożonych wniosków mogą nadal pozostawać w toku. Grozi to ograniczeniem liczby legalnie działających podmiotów gospodarujących odpadami, zakłóceniem ciągłości odbioru i przetwarzania odpadów oraz rozszerzeniem szarej strefy. Coraz częstsze mogą być też pożary nielegalnych składowisk odpadów i zakładów gospodarujących odpadami, co stanowi poważne zagrożenie dla środowiska oraz życia i zdrowia ludzi - podczas pożaru składowiska odpadów do atmosfery trafia taka ilość rakotwórczych dioksyn, ile przez 8 lat wytworzą łącznie polskie spalarnie odpadów (obecnie dziewięć</w:t>
      </w:r>
      <w:r>
        <w:rPr>
          <w:rStyle w:val="CharStyle5"/>
          <w:vertAlign w:val="superscript"/>
        </w:rPr>
        <w:footnoteReference w:id="2"/>
      </w:r>
      <w:r>
        <w:rPr>
          <w:rStyle w:val="CharStyle5"/>
        </w:rPr>
        <w:t>). Równoległe przesunięcie daty w obu przepisach jest konieczne dla zachowania spójności regulacji obejmującej decyzje sektorowe dotyczące gospodarki odpadami.</w:t>
      </w:r>
    </w:p>
    <w:p>
      <w:pPr>
        <w:widowControl w:val="0"/>
        <w:spacing w:line="1" w:lineRule="exact"/>
      </w:pPr>
      <w:r>
        <mc:AlternateContent>
          <mc:Choice Requires="wps">
            <w:drawing>
              <wp:anchor simplePos="0" relativeHeight="2" behindDoc="1" locked="0" layoutInCell="1" allowOverlap="1">
                <wp:simplePos x="0" y="0"/>
                <wp:positionH relativeFrom="page">
                  <wp:posOffset>0</wp:posOffset>
                </wp:positionH>
                <wp:positionV relativeFrom="page">
                  <wp:posOffset>0</wp:posOffset>
                </wp:positionV>
                <wp:extent cx="7556500" cy="10693400"/>
                <wp:wrapNone/>
                <wp:docPr id="4" name="Shape 4"/>
                <a:graphic xmlns:a="http://schemas.openxmlformats.org/drawingml/2006/main">
                  <a:graphicData uri="http://schemas.microsoft.com/office/word/2010/wordprocessingShape">
                    <wps:wsp>
                      <wps:cNvSpPr>
                        <a:spLocks noMove="1" noResize="1" noRot="1"/>
                      </wps:cNvSpPr>
                      <wps:spPr>
                        <a:xfrm>
                          <a:ext cx="7556500" cy="10693400"/>
                        </a:xfrm>
                        <a:prstGeom prst="rect"/>
                        <a:solidFill>
                          <a:srgbClr val="FEFEFE"/>
                        </a:solidFill>
                      </wps:spPr>
                      <wps:bodyPr/>
                    </wps:wsp>
                  </a:graphicData>
                </a:graphic>
              </wp:anchor>
            </w:drawing>
          </mc:Choice>
          <mc:Fallback>
            <w:pict>
              <v:rect style="position:absolute;margin-left:0;margin-top:0;width:595.pt;height:842.pt;z-index:-251658240;mso-position-horizontal-relative:page;mso-position-vertical-relative:page;z-index:-251658749" fillcolor="#FEFEFE" stroked="f"/>
            </w:pict>
          </mc:Fallback>
        </mc:AlternateContent>
      </w:r>
    </w:p>
    <w:p>
      <w:pPr>
        <w:pStyle w:val="Style4"/>
        <w:keepNext w:val="0"/>
        <w:keepLines w:val="0"/>
        <w:widowControl w:val="0"/>
        <w:numPr>
          <w:ilvl w:val="0"/>
          <w:numId w:val="1"/>
        </w:numPr>
        <w:shd w:val="clear" w:color="auto" w:fill="auto"/>
        <w:tabs>
          <w:tab w:pos="799" w:val="left"/>
        </w:tabs>
        <w:bidi w:val="0"/>
        <w:spacing w:before="0" w:after="0"/>
        <w:ind w:left="720" w:right="0" w:hanging="320"/>
        <w:jc w:val="left"/>
      </w:pPr>
      <w:r>
        <w:rPr>
          <w:rStyle w:val="CharStyle5"/>
        </w:rPr>
        <w:t>Nie ulega wątpliwości, że złożenie petycji uzasadnia zarówno interes własny jak również interes publiczny - wspomniana zmiana terminu ważności ww. zezwoleń pozwoli na ograniczenie ryzyka powstania, czy raczej rozszerzenia szarej strefy w sferze gospodarki odpadami.</w:t>
      </w:r>
    </w:p>
    <w:sectPr>
      <w:footnotePr>
        <w:pos w:val="pageBottom"/>
        <w:numFmt w:val="upperRoman"/>
        <w:numStart w:val="1"/>
        <w:numRestart w:val="continuous"/>
        <w15:footnoteColumns w:val="1"/>
      </w:footnotePr>
      <w:pgSz w:w="11900" w:h="16840"/>
      <w:pgMar w:top="2847" w:right="1538" w:bottom="708" w:left="1459" w:header="2419" w:footer="280" w:gutter="0"/>
      <w:pgNumType w:start="1"/>
      <w:cols w:space="720"/>
      <w:noEndnote/>
      <w:rtlGutter w:val="0"/>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p>
  </w:footnote>
  <w:footnote w:id="1" w:type="continuationSeparator">
    <w:p>
      <w:r/>
    </w:p>
  </w:footnote>
  <w:footnote w:id="2">
    <w:p>
      <w:pPr>
        <w:pStyle w:val="Style2"/>
        <w:keepNext w:val="0"/>
        <w:keepLines w:val="0"/>
        <w:widowControl w:val="0"/>
        <w:shd w:val="clear" w:color="auto" w:fill="auto"/>
        <w:bidi w:val="0"/>
        <w:spacing w:before="0" w:after="0"/>
        <w:ind w:left="0" w:right="0" w:firstLine="0"/>
        <w:jc w:val="left"/>
      </w:pPr>
      <w:r>
        <w:rPr>
          <w:rStyle w:val="CharStyle3"/>
          <w:vertAlign w:val="superscript"/>
          <w:lang w:val="pl-PL" w:eastAsia="pl-PL"/>
        </w:rPr>
        <w:footnoteRef/>
      </w:r>
      <w:r>
        <w:rPr>
          <w:rStyle w:val="CharStyle3"/>
          <w:lang w:val="pl-PL" w:eastAsia="pl-PL"/>
        </w:rPr>
        <w:t xml:space="preserve"> </w:t>
      </w:r>
      <w:r>
        <w:fldChar w:fldCharType="begin"/>
      </w:r>
      <w:r>
        <w:rPr/>
        <w:instrText> HYPERLINK "https://naukawpolsce.pl/aktualnosci/news%2C107213%2Cprof-wielgosinski-jeden-pozar-skladowiska-odpadow-emituje-tyle-dioksyn-ile" </w:instrText>
      </w:r>
      <w:r>
        <w:fldChar w:fldCharType="separate"/>
      </w:r>
      <w:r>
        <w:rPr>
          <w:rStyle w:val="CharStyle3"/>
        </w:rPr>
        <w:t xml:space="preserve">https://naukawpolsce.pl/aktualnosci/news%2C107213%2Cprof-wielgosinski-jeden-pozar-skladowiska- </w:t>
      </w:r>
      <w:r>
        <w:rPr>
          <w:rStyle w:val="CharStyle3"/>
          <w:lang w:val="pl-PL" w:eastAsia="pl-PL"/>
        </w:rPr>
        <w:t>odpadow-emituje-tyle-dioksyn-ile</w:t>
      </w:r>
      <w:r>
        <w:fldChar w:fldCharType="end"/>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decimal"/>
      <w:lvlText w:val="%1."/>
      <w:rPr>
        <w:rFonts w:ascii="Times New Roman" w:eastAsia="Times New Roman" w:hAnsi="Times New Roman" w:cs="Times New Roman"/>
        <w:b w:val="0"/>
        <w:bCs w:val="0"/>
        <w:i w:val="0"/>
        <w:iCs w:val="0"/>
        <w:smallCaps w:val="0"/>
        <w:strike w:val="0"/>
        <w:color w:val="1B1B1B"/>
        <w:spacing w:val="0"/>
        <w:w w:val="100"/>
        <w:position w:val="0"/>
        <w:sz w:val="24"/>
        <w:szCs w:val="24"/>
        <w:u w:val="none"/>
        <w:shd w:val="clear" w:color="auto" w:fill="auto"/>
        <w:lang w:val="pl-PL" w:eastAsia="pl-PL"/>
      </w:rPr>
    </w:lvl>
  </w:abstractNum>
  <w:abstractNum w:abstractNumId="2">
    <w:multiLevelType w:val="multilevel"/>
    <w:lvl w:ilvl="0">
      <w:start w:val="1"/>
      <w:numFmt w:val="lowerLetter"/>
      <w:lvlText w:val="%1."/>
      <w:rPr>
        <w:rFonts w:ascii="Times New Roman" w:eastAsia="Times New Roman" w:hAnsi="Times New Roman" w:cs="Times New Roman"/>
        <w:b w:val="0"/>
        <w:bCs w:val="0"/>
        <w:i w:val="0"/>
        <w:iCs w:val="0"/>
        <w:smallCaps w:val="0"/>
        <w:strike w:val="0"/>
        <w:color w:val="1B1B1B"/>
        <w:spacing w:val="0"/>
        <w:w w:val="100"/>
        <w:position w:val="0"/>
        <w:sz w:val="24"/>
        <w:szCs w:val="24"/>
        <w:u w:val="none"/>
        <w:shd w:val="clear" w:color="auto" w:fill="auto"/>
        <w:lang w:val="pl-PL" w:eastAsia="pl-PL"/>
      </w:rPr>
    </w:lvl>
  </w:abstractNum>
  <w:num w:numId="1">
    <w:abstractNumId w:val="0"/>
  </w:num>
  <w:num w:numId="3">
    <w:abstractNumId w:val="2"/>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Courier New" w:eastAsia="Courier New" w:hAnsi="Courier New" w:cs="Courier New"/>
        <w:sz w:val="24"/>
        <w:szCs w:val="24"/>
        <w:lang w:val="pl-PL" w:eastAsia="pl-P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lang w:val="pl-PL" w:eastAsia="pl-PL"/>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lang w:val="pl-PL" w:eastAsia="pl-PL"/>
    </w:rPr>
  </w:style>
  <w:style w:type="character" w:customStyle="1" w:styleId="CharStyle3">
    <w:name w:val="Footnote_"/>
    <w:basedOn w:val="DefaultParagraphFont"/>
    <w:link w:val="Style2"/>
    <w:rPr>
      <w:rFonts w:ascii="Calibri" w:eastAsia="Calibri" w:hAnsi="Calibri" w:cs="Calibri"/>
      <w:b w:val="0"/>
      <w:bCs w:val="0"/>
      <w:i w:val="0"/>
      <w:iCs w:val="0"/>
      <w:smallCaps w:val="0"/>
      <w:strike w:val="0"/>
      <w:color w:val="1B1B1B"/>
      <w:sz w:val="20"/>
      <w:szCs w:val="20"/>
      <w:u w:val="none"/>
      <w:lang w:val="en-US" w:eastAsia="en-US"/>
    </w:rPr>
  </w:style>
  <w:style w:type="character" w:customStyle="1" w:styleId="CharStyle5">
    <w:name w:val="Body text_"/>
    <w:basedOn w:val="DefaultParagraphFont"/>
    <w:link w:val="Style4"/>
    <w:rPr>
      <w:rFonts w:ascii="Times New Roman" w:eastAsia="Times New Roman" w:hAnsi="Times New Roman" w:cs="Times New Roman"/>
      <w:b w:val="0"/>
      <w:bCs w:val="0"/>
      <w:i w:val="0"/>
      <w:iCs w:val="0"/>
      <w:smallCaps w:val="0"/>
      <w:strike w:val="0"/>
      <w:color w:val="1B1B1B"/>
      <w:u w:val="none"/>
    </w:rPr>
  </w:style>
  <w:style w:type="paragraph" w:customStyle="1" w:styleId="Style2">
    <w:name w:val="Footnote"/>
    <w:basedOn w:val="Normal"/>
    <w:link w:val="CharStyle3"/>
    <w:pPr>
      <w:widowControl w:val="0"/>
      <w:shd w:val="clear" w:color="auto" w:fill="auto"/>
      <w:spacing w:line="233" w:lineRule="auto"/>
    </w:pPr>
    <w:rPr>
      <w:rFonts w:ascii="Calibri" w:eastAsia="Calibri" w:hAnsi="Calibri" w:cs="Calibri"/>
      <w:b w:val="0"/>
      <w:bCs w:val="0"/>
      <w:i w:val="0"/>
      <w:iCs w:val="0"/>
      <w:smallCaps w:val="0"/>
      <w:strike w:val="0"/>
      <w:color w:val="1B1B1B"/>
      <w:sz w:val="20"/>
      <w:szCs w:val="20"/>
      <w:u w:val="none"/>
      <w:lang w:val="en-US" w:eastAsia="en-US"/>
    </w:rPr>
  </w:style>
  <w:style w:type="paragraph" w:styleId="Style4">
    <w:name w:val="Body text"/>
    <w:basedOn w:val="Normal"/>
    <w:link w:val="CharStyle5"/>
    <w:qFormat/>
    <w:pPr>
      <w:widowControl w:val="0"/>
      <w:shd w:val="clear" w:color="auto" w:fill="auto"/>
      <w:spacing w:after="400" w:line="360" w:lineRule="auto"/>
    </w:pPr>
    <w:rPr>
      <w:rFonts w:ascii="Times New Roman" w:eastAsia="Times New Roman" w:hAnsi="Times New Roman" w:cs="Times New Roman"/>
      <w:b w:val="0"/>
      <w:bCs w:val="0"/>
      <w:i w:val="0"/>
      <w:iCs w:val="0"/>
      <w:smallCaps w:val="0"/>
      <w:strike w:val="0"/>
      <w:color w:val="1B1B1B"/>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s>
</file>