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46E9" w14:textId="77777777" w:rsidR="005860D5" w:rsidRPr="00F06592" w:rsidRDefault="005860D5" w:rsidP="005860D5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04404332" w14:textId="1342922A" w:rsidR="005860D5" w:rsidRPr="00F06592" w:rsidRDefault="005860D5" w:rsidP="005860D5">
      <w:pPr>
        <w:pStyle w:val="Bezodstpw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об обжаловании в суд второй инстанции</w:t>
      </w:r>
    </w:p>
    <w:p w14:paraId="305E93E1" w14:textId="77777777" w:rsidR="005860D5" w:rsidRPr="00F06592" w:rsidRDefault="005860D5" w:rsidP="005860D5">
      <w:pPr>
        <w:pStyle w:val="Bezodstpw"/>
        <w:rPr>
          <w:rFonts w:ascii="Times New Roman" w:hAnsi="Times New Roman" w:cs="Times New Roman"/>
          <w:lang w:val="ru-RU"/>
        </w:rPr>
      </w:pPr>
    </w:p>
    <w:p w14:paraId="375BF9DA" w14:textId="255120B7" w:rsidR="005860D5" w:rsidRDefault="005860D5" w:rsidP="005860D5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</w:rPr>
        <w:t>I</w:t>
      </w:r>
      <w:r w:rsidRPr="008D2B11">
        <w:rPr>
          <w:rFonts w:ascii="Times New Roman" w:hAnsi="Times New Roman" w:cs="Times New Roman"/>
          <w:lang w:val="ru-RU"/>
        </w:rPr>
        <w:t>.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Вручаемое </w:t>
      </w:r>
      <w:r w:rsidRPr="005860D5">
        <w:rPr>
          <w:rFonts w:ascii="Times New Roman" w:hAnsi="Times New Roman" w:cs="Times New Roman"/>
          <w:b/>
          <w:bCs/>
          <w:lang w:val="ru-RU"/>
        </w:rPr>
        <w:t>постановление</w:t>
      </w:r>
      <w:r>
        <w:rPr>
          <w:rFonts w:ascii="Times New Roman" w:hAnsi="Times New Roman" w:cs="Times New Roman"/>
          <w:lang w:val="ru-RU"/>
        </w:rPr>
        <w:t xml:space="preserve"> суда первой инстанции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или </w:t>
      </w:r>
      <w:r w:rsidRPr="005860D5">
        <w:rPr>
          <w:rFonts w:ascii="Times New Roman" w:hAnsi="Times New Roman" w:cs="Times New Roman"/>
          <w:b/>
          <w:bCs/>
          <w:lang w:val="ru-RU"/>
        </w:rPr>
        <w:t>распоряжение Председательствующего по вопросу возврата искового заявления или поданного документа, такое как исковое заявление</w:t>
      </w:r>
      <w:r>
        <w:rPr>
          <w:rFonts w:ascii="Times New Roman" w:hAnsi="Times New Roman" w:cs="Times New Roman"/>
          <w:lang w:val="ru-RU"/>
        </w:rPr>
        <w:t xml:space="preserve"> можно обжаловать </w:t>
      </w:r>
      <w:r w:rsidRPr="008D2B11">
        <w:rPr>
          <w:rFonts w:ascii="Times New Roman" w:hAnsi="Times New Roman" w:cs="Times New Roman"/>
          <w:lang w:val="ru-RU"/>
        </w:rPr>
        <w:t>в суд второй инстанции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E8CF53D" w14:textId="77777777" w:rsidR="005860D5" w:rsidRDefault="005860D5" w:rsidP="005860D5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0A90537" w14:textId="2EA767C5" w:rsidR="005860D5" w:rsidRDefault="005860D5" w:rsidP="005860D5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860D5">
        <w:rPr>
          <w:rFonts w:ascii="Times New Roman" w:hAnsi="Times New Roman" w:cs="Times New Roman"/>
          <w:lang w:val="ru-RU"/>
        </w:rPr>
        <w:t>Право обжалования</w:t>
      </w:r>
      <w:r w:rsidRPr="00C86873">
        <w:rPr>
          <w:rFonts w:ascii="Times New Roman" w:hAnsi="Times New Roman" w:cs="Times New Roman"/>
          <w:lang w:val="ru-RU"/>
        </w:rPr>
        <w:t xml:space="preserve"> имеет сторона, которая </w:t>
      </w:r>
      <w:r w:rsidRPr="00D95E76">
        <w:rPr>
          <w:rFonts w:ascii="Times New Roman" w:hAnsi="Times New Roman" w:cs="Times New Roman"/>
          <w:b/>
          <w:bCs/>
          <w:lang w:val="ru-RU"/>
        </w:rPr>
        <w:t xml:space="preserve">предварительно подала заявление о составлении обоснования данного </w:t>
      </w:r>
      <w:r w:rsidR="00D95E76" w:rsidRPr="00D95E76">
        <w:rPr>
          <w:rFonts w:ascii="Times New Roman" w:hAnsi="Times New Roman" w:cs="Times New Roman"/>
          <w:b/>
          <w:bCs/>
          <w:lang w:val="ru-RU"/>
        </w:rPr>
        <w:t>постановления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D95E76">
        <w:rPr>
          <w:rFonts w:ascii="Times New Roman" w:hAnsi="Times New Roman" w:cs="Times New Roman"/>
          <w:lang w:val="ru-RU"/>
        </w:rPr>
        <w:t xml:space="preserve">Однако, если суд </w:t>
      </w:r>
      <w:r w:rsidR="00D95E76" w:rsidRPr="00D95E76">
        <w:rPr>
          <w:rFonts w:ascii="Times New Roman" w:hAnsi="Times New Roman" w:cs="Times New Roman"/>
          <w:b/>
          <w:bCs/>
          <w:lang w:val="ru-RU"/>
        </w:rPr>
        <w:t>обосновал постановление по собственной инициативе</w:t>
      </w:r>
      <w:r w:rsidR="00D95E76">
        <w:rPr>
          <w:rFonts w:ascii="Times New Roman" w:hAnsi="Times New Roman" w:cs="Times New Roman"/>
          <w:lang w:val="ru-RU"/>
        </w:rPr>
        <w:t xml:space="preserve">, вручение постановления вместе с обоснованием освобождает стороны от обязанности подачи заявления о составлении обоснования постановления. </w:t>
      </w:r>
    </w:p>
    <w:p w14:paraId="52302AD2" w14:textId="77777777" w:rsidR="00D95E76" w:rsidRDefault="00D95E76" w:rsidP="005860D5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B736F7D" w14:textId="6F22E91A" w:rsidR="00D95E76" w:rsidRP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D95E76">
        <w:rPr>
          <w:rFonts w:ascii="Times New Roman" w:hAnsi="Times New Roman" w:cs="Times New Roman"/>
          <w:lang w:val="ru-RU"/>
        </w:rPr>
        <w:t>Составление письменного обоснования постановления по требованию другой стороны не освобождает</w:t>
      </w:r>
      <w:r>
        <w:rPr>
          <w:rFonts w:ascii="Times New Roman" w:hAnsi="Times New Roman" w:cs="Times New Roman"/>
          <w:lang w:val="ru-RU"/>
        </w:rPr>
        <w:t xml:space="preserve"> вторую</w:t>
      </w:r>
      <w:r w:rsidRPr="00D95E76">
        <w:rPr>
          <w:rFonts w:ascii="Times New Roman" w:hAnsi="Times New Roman" w:cs="Times New Roman"/>
          <w:lang w:val="ru-RU"/>
        </w:rPr>
        <w:t xml:space="preserve"> сторону от обязанности подать заявление о вручении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 с обоснованием.</w:t>
      </w:r>
    </w:p>
    <w:p w14:paraId="3879B255" w14:textId="77777777" w:rsidR="00D95E76" w:rsidRP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688E5B4" w14:textId="389102B2" w:rsid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D95E76">
        <w:rPr>
          <w:rFonts w:ascii="Times New Roman" w:hAnsi="Times New Roman" w:cs="Times New Roman"/>
          <w:b/>
          <w:bCs/>
          <w:lang w:val="ru-RU"/>
        </w:rPr>
        <w:t>Основные мотивы решения, изложенные при вынесении постановления, не являются его обоснованием</w:t>
      </w:r>
      <w:r w:rsidRPr="00D95E76">
        <w:rPr>
          <w:rFonts w:ascii="Times New Roman" w:hAnsi="Times New Roman" w:cs="Times New Roman"/>
          <w:lang w:val="ru-RU"/>
        </w:rPr>
        <w:t xml:space="preserve">; их указание также не освобождает сторону от обязанности подать заявление о вручении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 с обоснованием.</w:t>
      </w:r>
    </w:p>
    <w:p w14:paraId="4C52AAEF" w14:textId="77777777" w:rsid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D689F39" w14:textId="5D04A746" w:rsid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</w:t>
      </w:r>
      <w:r w:rsidRPr="00D95E76">
        <w:rPr>
          <w:rFonts w:ascii="Times New Roman" w:hAnsi="Times New Roman" w:cs="Times New Roman"/>
          <w:lang w:val="ru-RU"/>
        </w:rPr>
        <w:t xml:space="preserve">. </w:t>
      </w:r>
      <w:r w:rsidR="007460F2">
        <w:rPr>
          <w:rFonts w:ascii="Times New Roman" w:hAnsi="Times New Roman" w:cs="Times New Roman"/>
          <w:lang w:val="ru-RU"/>
        </w:rPr>
        <w:t>Постановления</w:t>
      </w:r>
      <w:r w:rsidRPr="00D95E76">
        <w:rPr>
          <w:rFonts w:ascii="Times New Roman" w:hAnsi="Times New Roman" w:cs="Times New Roman"/>
          <w:lang w:val="ru-RU"/>
        </w:rPr>
        <w:t xml:space="preserve"> и распоряжения, подлежащие обжалованию, суд или председательствующий </w:t>
      </w:r>
      <w:r w:rsidRPr="00D95E76">
        <w:rPr>
          <w:rFonts w:ascii="Times New Roman" w:hAnsi="Times New Roman" w:cs="Times New Roman"/>
          <w:b/>
          <w:bCs/>
          <w:lang w:val="ru-RU"/>
        </w:rPr>
        <w:t>составля</w:t>
      </w:r>
      <w:r w:rsidR="00B8418E">
        <w:rPr>
          <w:rFonts w:ascii="Times New Roman" w:hAnsi="Times New Roman" w:cs="Times New Roman"/>
          <w:b/>
          <w:bCs/>
          <w:lang w:val="ru-RU"/>
        </w:rPr>
        <w:t>е</w:t>
      </w:r>
      <w:r w:rsidRPr="00D95E76">
        <w:rPr>
          <w:rFonts w:ascii="Times New Roman" w:hAnsi="Times New Roman" w:cs="Times New Roman"/>
          <w:b/>
          <w:bCs/>
          <w:lang w:val="ru-RU"/>
        </w:rPr>
        <w:t>т</w:t>
      </w:r>
      <w:r w:rsidRPr="00D95E76">
        <w:rPr>
          <w:rFonts w:ascii="Times New Roman" w:hAnsi="Times New Roman" w:cs="Times New Roman"/>
          <w:lang w:val="ru-RU"/>
        </w:rPr>
        <w:t xml:space="preserve"> с обоснованием только по требованию стороны, заявленному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D95E76">
        <w:rPr>
          <w:rFonts w:ascii="Times New Roman" w:hAnsi="Times New Roman" w:cs="Times New Roman"/>
          <w:lang w:val="ru-RU"/>
        </w:rPr>
        <w:t xml:space="preserve"> со дня вручения </w:t>
      </w:r>
      <w:r w:rsidR="004A1895">
        <w:rPr>
          <w:rFonts w:ascii="Times New Roman" w:hAnsi="Times New Roman" w:cs="Times New Roman"/>
          <w:lang w:val="ru-RU"/>
        </w:rPr>
        <w:t>постановления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D95E76">
        <w:rPr>
          <w:rFonts w:ascii="Times New Roman" w:hAnsi="Times New Roman" w:cs="Times New Roman"/>
          <w:lang w:val="ru-RU"/>
        </w:rPr>
        <w:t>(</w:t>
      </w:r>
      <w:r w:rsidR="00F860C1">
        <w:rPr>
          <w:rFonts w:ascii="Times New Roman" w:hAnsi="Times New Roman" w:cs="Times New Roman"/>
          <w:lang w:val="ru-RU"/>
        </w:rPr>
        <w:t xml:space="preserve">первое предложение </w:t>
      </w:r>
      <w:r w:rsidRPr="00D95E76">
        <w:rPr>
          <w:rFonts w:ascii="Times New Roman" w:hAnsi="Times New Roman" w:cs="Times New Roman"/>
          <w:lang w:val="ru-RU"/>
        </w:rPr>
        <w:t>§1 ст. 357 ГПК</w:t>
      </w:r>
      <w:r>
        <w:rPr>
          <w:rFonts w:ascii="Times New Roman" w:hAnsi="Times New Roman" w:cs="Times New Roman"/>
          <w:lang w:val="ru-RU"/>
        </w:rPr>
        <w:t xml:space="preserve"> от 17 ноября 1964 г. (Законодательный вестник за 2024 г., 1568 т.е.</w:t>
      </w:r>
      <w:r w:rsidRPr="00D95E7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«ГПК»)</w:t>
      </w:r>
      <w:r w:rsidRPr="00D95E76">
        <w:rPr>
          <w:rFonts w:ascii="Times New Roman" w:hAnsi="Times New Roman" w:cs="Times New Roman"/>
          <w:lang w:val="ru-RU"/>
        </w:rPr>
        <w:t>.</w:t>
      </w:r>
    </w:p>
    <w:p w14:paraId="09267EC3" w14:textId="77777777" w:rsid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137E6F" w14:textId="3E0B8FE4" w:rsid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Заявление о составлении обоснования </w:t>
      </w:r>
      <w:r>
        <w:rPr>
          <w:rFonts w:ascii="Times New Roman" w:hAnsi="Times New Roman" w:cs="Times New Roman"/>
          <w:lang w:val="ru-RU"/>
        </w:rPr>
        <w:t xml:space="preserve">постановления </w:t>
      </w:r>
      <w:r w:rsidRPr="00C86873">
        <w:rPr>
          <w:rFonts w:ascii="Times New Roman" w:hAnsi="Times New Roman" w:cs="Times New Roman"/>
          <w:lang w:val="ru-RU"/>
        </w:rPr>
        <w:t xml:space="preserve">подлежит фиксированному судебному </w:t>
      </w:r>
      <w:r w:rsidRPr="00D95E76">
        <w:rPr>
          <w:rFonts w:ascii="Times New Roman" w:hAnsi="Times New Roman" w:cs="Times New Roman"/>
          <w:lang w:val="ru-RU"/>
        </w:rPr>
        <w:t>сбору в размере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10</w:t>
      </w:r>
      <w:r w:rsidRPr="00C86873">
        <w:rPr>
          <w:rFonts w:ascii="Times New Roman" w:hAnsi="Times New Roman" w:cs="Times New Roman"/>
          <w:lang w:val="ru-RU"/>
        </w:rPr>
        <w:t>0 злотых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(ст. 25</w:t>
      </w:r>
      <w:r w:rsidRPr="00C86873">
        <w:rPr>
          <w:rFonts w:ascii="Times New Roman" w:hAnsi="Times New Roman" w:cs="Times New Roman"/>
        </w:rPr>
        <w:t>b</w:t>
      </w:r>
      <w:r w:rsidRPr="00C86873">
        <w:rPr>
          <w:rFonts w:ascii="Times New Roman" w:hAnsi="Times New Roman" w:cs="Times New Roman"/>
          <w:lang w:val="ru-RU"/>
        </w:rPr>
        <w:t xml:space="preserve"> З</w:t>
      </w:r>
      <w:r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за 2025 г., 1228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«ЗОСРПГД».</w:t>
      </w:r>
    </w:p>
    <w:p w14:paraId="4C3EFA41" w14:textId="77777777" w:rsidR="00D95E76" w:rsidRPr="00D95E76" w:rsidRDefault="00D95E76" w:rsidP="00D95E7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9E082CD" w14:textId="28A4764C" w:rsidR="00D25A01" w:rsidRPr="00F0659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Суд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A5D1C">
        <w:rPr>
          <w:rFonts w:ascii="Times New Roman" w:hAnsi="Times New Roman" w:cs="Times New Roman"/>
          <w:lang w:val="ru-RU"/>
        </w:rPr>
        <w:t>заявление о составлении обоснования</w:t>
      </w:r>
      <w:r w:rsidRPr="00F06592">
        <w:rPr>
          <w:rFonts w:ascii="Times New Roman" w:hAnsi="Times New Roman" w:cs="Times New Roman"/>
          <w:lang w:val="ru-RU"/>
        </w:rPr>
        <w:t>, если он</w:t>
      </w:r>
      <w:r w:rsidR="009A5D1C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недопустим</w:t>
      </w:r>
      <w:r w:rsidR="009A5D1C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, не оплачен</w:t>
      </w:r>
      <w:r w:rsidR="009A5D1C">
        <w:rPr>
          <w:rFonts w:ascii="Times New Roman" w:hAnsi="Times New Roman" w:cs="Times New Roman"/>
          <w:lang w:val="ru-RU"/>
        </w:rPr>
        <w:t>о</w:t>
      </w:r>
      <w:r w:rsidRPr="00F0659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подан</w:t>
      </w:r>
      <w:r w:rsidR="009A5D1C">
        <w:rPr>
          <w:rFonts w:ascii="Times New Roman" w:hAnsi="Times New Roman" w:cs="Times New Roman"/>
          <w:lang w:val="ru-RU"/>
        </w:rPr>
        <w:t>о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 или содержит недостатки,</w:t>
      </w:r>
      <w:r w:rsidRPr="00F06592">
        <w:rPr>
          <w:rFonts w:ascii="Times New Roman" w:hAnsi="Times New Roman" w:cs="Times New Roman"/>
          <w:lang w:val="ru-RU"/>
        </w:rPr>
        <w:t xml:space="preserve"> которые не </w:t>
      </w:r>
      <w:r>
        <w:rPr>
          <w:rFonts w:ascii="Times New Roman" w:hAnsi="Times New Roman" w:cs="Times New Roman"/>
          <w:lang w:val="ru-RU"/>
        </w:rPr>
        <w:t xml:space="preserve">были </w:t>
      </w:r>
      <w:r w:rsidRPr="00F06592">
        <w:rPr>
          <w:rFonts w:ascii="Times New Roman" w:hAnsi="Times New Roman" w:cs="Times New Roman"/>
          <w:lang w:val="ru-RU"/>
        </w:rPr>
        <w:t>устранены</w:t>
      </w:r>
      <w:r>
        <w:rPr>
          <w:rFonts w:ascii="Times New Roman" w:hAnsi="Times New Roman" w:cs="Times New Roman"/>
          <w:lang w:val="ru-RU"/>
        </w:rPr>
        <w:t>,</w:t>
      </w:r>
      <w:r w:rsidRPr="00F06592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4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28 с применением ст. 361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79759B51" w14:textId="77777777" w:rsidR="00D95E76" w:rsidRPr="007460F2" w:rsidRDefault="00D95E76" w:rsidP="005860D5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AAA19B4" w14:textId="6D39AE14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III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C86873">
        <w:rPr>
          <w:rFonts w:ascii="Times New Roman" w:hAnsi="Times New Roman" w:cs="Times New Roman"/>
          <w:b/>
          <w:bCs/>
          <w:lang w:val="ru-RU"/>
        </w:rPr>
        <w:t xml:space="preserve">Жалоба </w:t>
      </w:r>
      <w:r w:rsidRPr="00D25A01">
        <w:rPr>
          <w:rFonts w:ascii="Times New Roman" w:hAnsi="Times New Roman" w:cs="Times New Roman"/>
          <w:b/>
          <w:bCs/>
          <w:lang w:val="ru-RU"/>
        </w:rPr>
        <w:t>подается</w:t>
      </w:r>
      <w:r w:rsidRPr="00C86873">
        <w:rPr>
          <w:rFonts w:ascii="Times New Roman" w:hAnsi="Times New Roman" w:cs="Times New Roman"/>
          <w:lang w:val="ru-RU"/>
        </w:rPr>
        <w:t xml:space="preserve"> в суд, вынесший </w:t>
      </w:r>
      <w:r>
        <w:rPr>
          <w:rFonts w:ascii="Times New Roman" w:hAnsi="Times New Roman" w:cs="Times New Roman"/>
          <w:lang w:val="ru-RU"/>
        </w:rPr>
        <w:t>обжалуемое постановление</w:t>
      </w:r>
      <w:r w:rsidRPr="00C86873">
        <w:rPr>
          <w:rFonts w:ascii="Times New Roman" w:hAnsi="Times New Roman" w:cs="Times New Roman"/>
          <w:lang w:val="ru-RU"/>
        </w:rPr>
        <w:t xml:space="preserve">,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C86873">
        <w:rPr>
          <w:rFonts w:ascii="Times New Roman" w:hAnsi="Times New Roman" w:cs="Times New Roman"/>
          <w:lang w:val="ru-RU"/>
        </w:rPr>
        <w:t xml:space="preserve"> со дня вручения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C86873">
        <w:rPr>
          <w:rFonts w:ascii="Times New Roman" w:hAnsi="Times New Roman" w:cs="Times New Roman"/>
          <w:lang w:val="ru-RU"/>
        </w:rPr>
        <w:t xml:space="preserve"> вместе с обоснованием</w:t>
      </w:r>
      <w:r>
        <w:rPr>
          <w:rFonts w:ascii="Times New Roman" w:hAnsi="Times New Roman" w:cs="Times New Roman"/>
          <w:lang w:val="ru-RU"/>
        </w:rPr>
        <w:t xml:space="preserve">, в том числе в случаях, когда вручение имело место в силу закона </w:t>
      </w:r>
      <w:r w:rsidRPr="00C86873">
        <w:rPr>
          <w:rFonts w:ascii="Times New Roman" w:hAnsi="Times New Roman" w:cs="Times New Roman"/>
          <w:lang w:val="ru-RU"/>
        </w:rPr>
        <w:t>(§2 ст. 394 ГПК).</w:t>
      </w:r>
    </w:p>
    <w:p w14:paraId="522AF50B" w14:textId="77777777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E1D5A67" w14:textId="47C7D9B3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Жалоба </w:t>
      </w:r>
      <w:r w:rsidRPr="00F06592">
        <w:rPr>
          <w:rFonts w:ascii="Times New Roman" w:hAnsi="Times New Roman" w:cs="Times New Roman"/>
          <w:lang w:val="ru-RU"/>
        </w:rPr>
        <w:t>долж</w:t>
      </w:r>
      <w:r>
        <w:rPr>
          <w:rFonts w:ascii="Times New Roman" w:hAnsi="Times New Roman" w:cs="Times New Roman"/>
          <w:lang w:val="ru-RU"/>
        </w:rPr>
        <w:t>на</w:t>
      </w:r>
      <w:r w:rsidRPr="00F06592">
        <w:rPr>
          <w:rFonts w:ascii="Times New Roman" w:hAnsi="Times New Roman" w:cs="Times New Roman"/>
          <w:lang w:val="ru-RU"/>
        </w:rPr>
        <w:t xml:space="preserve"> быть подан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 xml:space="preserve">вместе с </w:t>
      </w:r>
      <w:r>
        <w:rPr>
          <w:rFonts w:ascii="Times New Roman" w:hAnsi="Times New Roman" w:cs="Times New Roman"/>
          <w:lang w:val="ru-RU"/>
        </w:rPr>
        <w:t xml:space="preserve">заверенными </w:t>
      </w:r>
      <w:r w:rsidRPr="00F06592">
        <w:rPr>
          <w:rFonts w:ascii="Times New Roman" w:hAnsi="Times New Roman" w:cs="Times New Roman"/>
          <w:lang w:val="ru-RU"/>
        </w:rPr>
        <w:t>копиями (</w:t>
      </w:r>
      <w:r w:rsidR="00903D8D">
        <w:rPr>
          <w:rFonts w:ascii="Times New Roman" w:hAnsi="Times New Roman" w:cs="Times New Roman"/>
          <w:lang w:val="ru-RU"/>
        </w:rPr>
        <w:t>жалобы</w:t>
      </w:r>
      <w:r w:rsidRPr="00F06592">
        <w:rPr>
          <w:rFonts w:ascii="Times New Roman" w:hAnsi="Times New Roman" w:cs="Times New Roman"/>
          <w:lang w:val="ru-RU"/>
        </w:rPr>
        <w:t xml:space="preserve"> и приложений</w:t>
      </w:r>
      <w:r>
        <w:rPr>
          <w:rFonts w:ascii="Times New Roman" w:hAnsi="Times New Roman" w:cs="Times New Roman"/>
          <w:lang w:val="ru-RU"/>
        </w:rPr>
        <w:t xml:space="preserve"> к ней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в количестве, соответствующем числу </w:t>
      </w:r>
      <w:r>
        <w:rPr>
          <w:rFonts w:ascii="Times New Roman" w:hAnsi="Times New Roman" w:cs="Times New Roman"/>
          <w:lang w:val="ru-RU"/>
        </w:rPr>
        <w:t>участников процесса.</w:t>
      </w:r>
    </w:p>
    <w:p w14:paraId="1E6A4673" w14:textId="77777777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AD13CEE" w14:textId="37B43944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обжалование </w:t>
      </w:r>
      <w:r w:rsidR="00903D8D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плачивается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Размер сбора</w:t>
      </w:r>
      <w:r>
        <w:rPr>
          <w:rFonts w:ascii="Times New Roman" w:hAnsi="Times New Roman" w:cs="Times New Roman"/>
          <w:lang w:val="ru-RU"/>
        </w:rPr>
        <w:t xml:space="preserve"> за обжалование</w:t>
      </w:r>
      <w:r w:rsidRPr="00F06592">
        <w:rPr>
          <w:rFonts w:ascii="Times New Roman" w:hAnsi="Times New Roman" w:cs="Times New Roman"/>
          <w:lang w:val="ru-RU"/>
        </w:rPr>
        <w:t xml:space="preserve"> составляет </w:t>
      </w:r>
      <w:r>
        <w:rPr>
          <w:rFonts w:ascii="Times New Roman" w:hAnsi="Times New Roman" w:cs="Times New Roman"/>
          <w:lang w:val="ru-RU"/>
        </w:rPr>
        <w:t>одну пятую стоимости</w:t>
      </w:r>
      <w:r w:rsidRPr="00F06592">
        <w:rPr>
          <w:rFonts w:ascii="Times New Roman" w:hAnsi="Times New Roman" w:cs="Times New Roman"/>
          <w:lang w:val="ru-RU"/>
        </w:rPr>
        <w:t xml:space="preserve"> полно</w:t>
      </w:r>
      <w:r w:rsidRPr="00C86873">
        <w:rPr>
          <w:rFonts w:ascii="Times New Roman" w:hAnsi="Times New Roman" w:cs="Times New Roman"/>
          <w:lang w:val="ru-RU"/>
        </w:rPr>
        <w:t>го</w:t>
      </w:r>
      <w:r w:rsidRPr="00F06592">
        <w:rPr>
          <w:rFonts w:ascii="Times New Roman" w:hAnsi="Times New Roman" w:cs="Times New Roman"/>
          <w:lang w:val="ru-RU"/>
        </w:rPr>
        <w:t xml:space="preserve"> судебно</w:t>
      </w:r>
      <w:r w:rsidRPr="00C86873">
        <w:rPr>
          <w:rFonts w:ascii="Times New Roman" w:hAnsi="Times New Roman" w:cs="Times New Roman"/>
          <w:lang w:val="ru-RU"/>
        </w:rPr>
        <w:t>го сбора</w:t>
      </w:r>
      <w:r w:rsidRPr="00F06592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(ст. 21 </w:t>
      </w:r>
      <w:r>
        <w:rPr>
          <w:rFonts w:ascii="Times New Roman" w:hAnsi="Times New Roman" w:cs="Times New Roman"/>
          <w:lang w:val="ru-RU"/>
        </w:rPr>
        <w:t>ЗОСРПГД)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Обязанность оплаты лежит на </w:t>
      </w:r>
      <w:r>
        <w:rPr>
          <w:rFonts w:ascii="Times New Roman" w:hAnsi="Times New Roman" w:cs="Times New Roman"/>
          <w:lang w:val="ru-RU"/>
        </w:rPr>
        <w:t xml:space="preserve">стороне, которая подает жалобу. </w:t>
      </w:r>
      <w:r w:rsidRPr="00C86873">
        <w:rPr>
          <w:rFonts w:ascii="Times New Roman" w:hAnsi="Times New Roman" w:cs="Times New Roman"/>
          <w:lang w:val="ru-RU"/>
        </w:rPr>
        <w:t xml:space="preserve">Если подана </w:t>
      </w:r>
      <w:r>
        <w:rPr>
          <w:rFonts w:ascii="Times New Roman" w:hAnsi="Times New Roman" w:cs="Times New Roman"/>
          <w:lang w:val="ru-RU"/>
        </w:rPr>
        <w:t>жалоба</w:t>
      </w:r>
      <w:r w:rsidRPr="00C86873">
        <w:rPr>
          <w:rFonts w:ascii="Times New Roman" w:hAnsi="Times New Roman" w:cs="Times New Roman"/>
          <w:lang w:val="ru-RU"/>
        </w:rPr>
        <w:t xml:space="preserve">, уплаченный сбор за заявление о составлении </w:t>
      </w:r>
      <w:r>
        <w:rPr>
          <w:rFonts w:ascii="Times New Roman" w:hAnsi="Times New Roman" w:cs="Times New Roman"/>
          <w:lang w:val="ru-RU"/>
        </w:rPr>
        <w:t xml:space="preserve">решения с </w:t>
      </w:r>
      <w:r w:rsidRPr="00C86873">
        <w:rPr>
          <w:rFonts w:ascii="Times New Roman" w:hAnsi="Times New Roman" w:cs="Times New Roman"/>
          <w:lang w:val="ru-RU"/>
        </w:rPr>
        <w:t>обосновани</w:t>
      </w:r>
      <w:r>
        <w:rPr>
          <w:rFonts w:ascii="Times New Roman" w:hAnsi="Times New Roman" w:cs="Times New Roman"/>
          <w:lang w:val="ru-RU"/>
        </w:rPr>
        <w:t>ем</w:t>
      </w:r>
      <w:r w:rsidRPr="00C86873">
        <w:rPr>
          <w:rFonts w:ascii="Times New Roman" w:hAnsi="Times New Roman" w:cs="Times New Roman"/>
          <w:lang w:val="ru-RU"/>
        </w:rPr>
        <w:t xml:space="preserve"> засчитывается в сч</w:t>
      </w:r>
      <w:r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 xml:space="preserve">т сбора за </w:t>
      </w:r>
      <w:r>
        <w:rPr>
          <w:rFonts w:ascii="Times New Roman" w:hAnsi="Times New Roman" w:cs="Times New Roman"/>
          <w:lang w:val="ru-RU"/>
        </w:rPr>
        <w:t>обжалование</w:t>
      </w:r>
      <w:r w:rsidRPr="00C86873">
        <w:rPr>
          <w:rFonts w:ascii="Times New Roman" w:hAnsi="Times New Roman" w:cs="Times New Roman"/>
          <w:lang w:val="ru-RU"/>
        </w:rPr>
        <w:t>.</w:t>
      </w:r>
    </w:p>
    <w:p w14:paraId="3CC1EEAF" w14:textId="77777777" w:rsidR="00D25A0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D8F94FB" w14:textId="2C46D0F3" w:rsidR="00D25A01" w:rsidRPr="00D25A01" w:rsidRDefault="00D25A01" w:rsidP="00D25A01">
      <w:pPr>
        <w:pStyle w:val="Bezodstpw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IV</w:t>
      </w:r>
      <w:r w:rsidRPr="00D25A01">
        <w:rPr>
          <w:rFonts w:ascii="Times New Roman" w:hAnsi="Times New Roman" w:cs="Times New Roman"/>
          <w:lang w:val="ru-RU"/>
        </w:rPr>
        <w:t>. Суд первой инстанции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A01">
        <w:rPr>
          <w:rFonts w:ascii="Times New Roman" w:hAnsi="Times New Roman" w:cs="Times New Roman"/>
          <w:b/>
          <w:bCs/>
          <w:lang w:val="ru-RU"/>
        </w:rPr>
        <w:t>жалобу</w:t>
      </w:r>
      <w:r w:rsidRPr="00F06592">
        <w:rPr>
          <w:rFonts w:ascii="Times New Roman" w:hAnsi="Times New Roman" w:cs="Times New Roman"/>
          <w:lang w:val="ru-RU"/>
        </w:rPr>
        <w:t>, если он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>подан</w:t>
      </w:r>
      <w:r>
        <w:rPr>
          <w:rFonts w:ascii="Times New Roman" w:hAnsi="Times New Roman" w:cs="Times New Roman"/>
          <w:lang w:val="ru-RU"/>
        </w:rPr>
        <w:t>а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 или недопустима по иным причинам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1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95</w:t>
      </w:r>
      <w:r w:rsidRPr="00F06592">
        <w:rPr>
          <w:rFonts w:ascii="Times New Roman" w:hAnsi="Times New Roman" w:cs="Times New Roman"/>
          <w:lang w:val="ru-RU"/>
        </w:rPr>
        <w:t xml:space="preserve"> ГПК)</w:t>
      </w:r>
      <w:r>
        <w:rPr>
          <w:rFonts w:ascii="Times New Roman" w:hAnsi="Times New Roman" w:cs="Times New Roman"/>
          <w:lang w:val="ru-RU"/>
        </w:rPr>
        <w:t xml:space="preserve">. </w:t>
      </w:r>
      <w:r w:rsidRPr="00D25A01">
        <w:rPr>
          <w:rFonts w:ascii="Times New Roman" w:hAnsi="Times New Roman" w:cs="Times New Roman"/>
          <w:lang w:val="ru-RU"/>
        </w:rPr>
        <w:t xml:space="preserve">Суд </w:t>
      </w:r>
      <w:r>
        <w:rPr>
          <w:rFonts w:ascii="Times New Roman" w:hAnsi="Times New Roman" w:cs="Times New Roman"/>
          <w:lang w:val="ru-RU"/>
        </w:rPr>
        <w:t>второй</w:t>
      </w:r>
      <w:r w:rsidRPr="00D25A01">
        <w:rPr>
          <w:rFonts w:ascii="Times New Roman" w:hAnsi="Times New Roman" w:cs="Times New Roman"/>
          <w:lang w:val="ru-RU"/>
        </w:rPr>
        <w:t xml:space="preserve"> инстанции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A01">
        <w:rPr>
          <w:rFonts w:ascii="Times New Roman" w:hAnsi="Times New Roman" w:cs="Times New Roman"/>
          <w:lang w:val="ru-RU"/>
        </w:rPr>
        <w:t>оставляет без рассмотрения жалобу</w:t>
      </w:r>
      <w:r>
        <w:rPr>
          <w:rFonts w:ascii="Times New Roman" w:hAnsi="Times New Roman" w:cs="Times New Roman"/>
          <w:lang w:val="ru-RU"/>
        </w:rPr>
        <w:t xml:space="preserve">, если она должна была быть оставлена без рассмотрения судом первой инстанции, а также, если жалоба содержала недостатки, которые, несмотря на требования суда, не были устранены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1-1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97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074F538A" w14:textId="77777777" w:rsidR="00D25A01" w:rsidRPr="007460F2" w:rsidRDefault="00D25A01" w:rsidP="00D25A01">
      <w:pPr>
        <w:pStyle w:val="Bezodstpw"/>
        <w:rPr>
          <w:rFonts w:ascii="Times New Roman" w:hAnsi="Times New Roman" w:cs="Times New Roman"/>
          <w:lang w:val="ru-RU"/>
        </w:rPr>
      </w:pPr>
    </w:p>
    <w:p w14:paraId="25F751CF" w14:textId="2FFB68F0" w:rsidR="00D25A01" w:rsidRPr="007460F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="00CC7D47" w:rsidRPr="00931647">
        <w:rPr>
          <w:rFonts w:ascii="Times New Roman" w:hAnsi="Times New Roman" w:cs="Times New Roman"/>
          <w:lang w:val="ru-RU"/>
        </w:rPr>
        <w:t>(</w:t>
      </w:r>
      <w:r w:rsidR="00CC7D47">
        <w:rPr>
          <w:rFonts w:ascii="Times New Roman" w:hAnsi="Times New Roman" w:cs="Times New Roman"/>
          <w:lang w:val="ru-RU"/>
        </w:rPr>
        <w:t xml:space="preserve">в т.ч. обжалования) </w:t>
      </w:r>
      <w:r w:rsidRPr="001A7CB6">
        <w:rPr>
          <w:rFonts w:ascii="Times New Roman" w:hAnsi="Times New Roman" w:cs="Times New Roman"/>
          <w:lang w:val="ru-RU"/>
        </w:rPr>
        <w:t xml:space="preserve">в польском почтовом учреждении оператора </w:t>
      </w:r>
      <w:r>
        <w:rPr>
          <w:rFonts w:ascii="Times New Roman" w:hAnsi="Times New Roman" w:cs="Times New Roman"/>
          <w:lang w:val="ru-RU"/>
        </w:rPr>
        <w:t>общих</w:t>
      </w:r>
      <w:r w:rsidRPr="001A7CB6">
        <w:rPr>
          <w:rFonts w:ascii="Times New Roman" w:hAnsi="Times New Roman" w:cs="Times New Roman"/>
          <w:lang w:val="ru-RU"/>
        </w:rPr>
        <w:t xml:space="preserve"> почтовых услуг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Pr="00D25A01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(§2 ст. 165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>
        <w:rPr>
          <w:rFonts w:ascii="Times New Roman" w:hAnsi="Times New Roman" w:cs="Times New Roman"/>
          <w:lang w:val="ru-RU"/>
        </w:rPr>
        <w:t xml:space="preserve">в </w:t>
      </w:r>
      <w:r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лицом, лиш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свободы — </w:t>
      </w:r>
      <w:r>
        <w:rPr>
          <w:rFonts w:ascii="Times New Roman" w:hAnsi="Times New Roman" w:cs="Times New Roman"/>
          <w:lang w:val="ru-RU"/>
        </w:rPr>
        <w:t>в</w:t>
      </w:r>
      <w:r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Pr="00F63590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(§3 ст. 165 ГПК).</w:t>
      </w:r>
    </w:p>
    <w:p w14:paraId="3993DCD7" w14:textId="77777777" w:rsidR="00D25A01" w:rsidRPr="007460F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947AD86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061DC4">
        <w:rPr>
          <w:rFonts w:ascii="Times New Roman" w:hAnsi="Times New Roman" w:cs="Times New Roman"/>
          <w:lang w:val="ru-RU"/>
        </w:rPr>
        <w:t xml:space="preserve">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0DD8B5B0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DBEE9C4" w14:textId="77777777" w:rsidR="00D25A01" w:rsidRPr="007460F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12D4095D" w14:textId="77777777" w:rsidR="00D25A01" w:rsidRPr="007460F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A2D2F9F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(§2 ст. 87 ГПК).</w:t>
      </w:r>
    </w:p>
    <w:p w14:paraId="1288C254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393C2A5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769EFB45" w14:textId="77777777" w:rsidR="00D25A01" w:rsidRPr="008D2B11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C1A8345" w14:textId="77777777" w:rsidR="00D25A01" w:rsidRPr="007460F2" w:rsidRDefault="00D25A01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</w:t>
      </w:r>
      <w:r w:rsidRPr="00DC5C8A">
        <w:rPr>
          <w:rFonts w:ascii="Times New Roman" w:hAnsi="Times New Roman" w:cs="Times New Roman"/>
          <w:b/>
          <w:bCs/>
          <w:lang w:val="ru-RU"/>
        </w:rPr>
        <w:t>представить письменную доверенность</w:t>
      </w:r>
      <w:r w:rsidRPr="00061DC4">
        <w:rPr>
          <w:rFonts w:ascii="Times New Roman" w:hAnsi="Times New Roman" w:cs="Times New Roman"/>
          <w:lang w:val="ru-RU"/>
        </w:rPr>
        <w:t xml:space="preserve"> с подписью доверителя либо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иные документы,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(§1 ст. 89 ГПК).</w:t>
      </w:r>
    </w:p>
    <w:p w14:paraId="4BDA8085" w14:textId="77777777" w:rsidR="00FA382C" w:rsidRPr="007460F2" w:rsidRDefault="00FA382C" w:rsidP="00D25A0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D112801" w14:textId="3FF4BF01" w:rsidR="00FA382C" w:rsidRPr="001A7CB6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</w:t>
      </w:r>
      <w:r w:rsidRPr="00FA382C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>
        <w:rPr>
          <w:rFonts w:ascii="Times New Roman" w:hAnsi="Times New Roman" w:cs="Times New Roman"/>
          <w:lang w:val="ru-RU"/>
        </w:rPr>
        <w:t>.</w:t>
      </w:r>
    </w:p>
    <w:p w14:paraId="56387ADD" w14:textId="77777777" w:rsidR="00FA382C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4FCE5B95" w14:textId="77777777" w:rsidR="00FA382C" w:rsidRPr="001A7CB6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A9C412A" w14:textId="77777777" w:rsidR="00FA382C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177CC087" w14:textId="77777777" w:rsidR="00FA382C" w:rsidRPr="001A7CB6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F2AD79" w14:textId="77777777" w:rsidR="00FA382C" w:rsidRPr="008D2B11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23F5B7CD" w14:textId="77777777" w:rsidR="00FA382C" w:rsidRPr="008D2B11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498F9D5" w14:textId="3D652E5D" w:rsidR="00FA382C" w:rsidRPr="00DC5C8A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F63590">
        <w:rPr>
          <w:rFonts w:ascii="Times New Roman" w:hAnsi="Times New Roman" w:cs="Times New Roman"/>
          <w:b/>
          <w:bCs/>
          <w:lang w:val="ru-RU"/>
        </w:rPr>
        <w:t>.</w:t>
      </w:r>
    </w:p>
    <w:p w14:paraId="1BB5295D" w14:textId="77777777" w:rsidR="00FA382C" w:rsidRPr="008D2B11" w:rsidRDefault="00FA382C" w:rsidP="00FA382C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000851E" w14:textId="3B2A8DAF" w:rsidR="00FA382C" w:rsidRPr="008D2B11" w:rsidRDefault="00FA382C" w:rsidP="00FA382C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IX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6D157E3F" w14:textId="77777777" w:rsidR="00105155" w:rsidRPr="007460F2" w:rsidRDefault="00105155">
      <w:pPr>
        <w:rPr>
          <w:lang w:val="ru-RU"/>
        </w:rPr>
      </w:pPr>
    </w:p>
    <w:sectPr w:rsidR="00105155" w:rsidRPr="007460F2" w:rsidSect="005860D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AA7D" w14:textId="77777777" w:rsidR="00CA716F" w:rsidRDefault="00CA716F" w:rsidP="00CA716F">
      <w:pPr>
        <w:spacing w:after="0" w:line="240" w:lineRule="auto"/>
      </w:pPr>
      <w:r>
        <w:separator/>
      </w:r>
    </w:p>
  </w:endnote>
  <w:endnote w:type="continuationSeparator" w:id="0">
    <w:p w14:paraId="52AB3446" w14:textId="77777777" w:rsidR="00CA716F" w:rsidRDefault="00CA716F" w:rsidP="00CA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5DEE" w14:textId="77777777" w:rsidR="00CA716F" w:rsidRDefault="00CA716F" w:rsidP="00CA716F">
      <w:pPr>
        <w:spacing w:after="0" w:line="240" w:lineRule="auto"/>
      </w:pPr>
      <w:r>
        <w:separator/>
      </w:r>
    </w:p>
  </w:footnote>
  <w:footnote w:type="continuationSeparator" w:id="0">
    <w:p w14:paraId="36C7DE98" w14:textId="77777777" w:rsidR="00CA716F" w:rsidRDefault="00CA716F" w:rsidP="00CA7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860D5"/>
    <w:rsid w:val="00105155"/>
    <w:rsid w:val="00117267"/>
    <w:rsid w:val="001A68FD"/>
    <w:rsid w:val="00327C0B"/>
    <w:rsid w:val="004A1895"/>
    <w:rsid w:val="005860D5"/>
    <w:rsid w:val="007460F2"/>
    <w:rsid w:val="00903D8D"/>
    <w:rsid w:val="009A5D1C"/>
    <w:rsid w:val="00B8418E"/>
    <w:rsid w:val="00CA716F"/>
    <w:rsid w:val="00CC7D47"/>
    <w:rsid w:val="00D25A01"/>
    <w:rsid w:val="00D95E76"/>
    <w:rsid w:val="00F860C1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65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0D5"/>
  </w:style>
  <w:style w:type="paragraph" w:styleId="Nagwek1">
    <w:name w:val="heading 1"/>
    <w:basedOn w:val="Normalny"/>
    <w:next w:val="Normalny"/>
    <w:link w:val="Nagwek1Znak"/>
    <w:uiPriority w:val="9"/>
    <w:qFormat/>
    <w:rsid w:val="0058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0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0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0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0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0D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860D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16F"/>
  </w:style>
  <w:style w:type="paragraph" w:styleId="Stopka">
    <w:name w:val="footer"/>
    <w:basedOn w:val="Normalny"/>
    <w:link w:val="StopkaZnak"/>
    <w:uiPriority w:val="99"/>
    <w:unhideWhenUsed/>
    <w:rsid w:val="00CA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5268</Characters>
  <Application>Microsoft Office Word</Application>
  <DocSecurity>0</DocSecurity>
  <Lines>107</Lines>
  <Paragraphs>28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2026-03-20T10:34:00Z</dcterms:created>
  <dcterms:modified xsi:type="dcterms:W3CDTF">2026-03-20T10:34:00Z</dcterms:modified>
</cp:coreProperties>
</file>