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6"/>
        <w:keepNext/>
        <w:keepLines/>
        <w:widowControl w:val="0"/>
        <w:shd w:val="clear" w:color="auto" w:fill="auto"/>
        <w:bidi w:val="0"/>
        <w:spacing w:before="0" w:after="0" w:line="240" w:lineRule="auto"/>
        <w:ind w:left="0" w:right="0" w:firstLine="0"/>
        <w:jc w:val="left"/>
      </w:pPr>
      <w:r>
        <w:drawing>
          <wp:anchor distT="0" distB="0" distL="0" distR="0" simplePos="0" relativeHeight="125829378" behindDoc="0" locked="0" layoutInCell="1" allowOverlap="1">
            <wp:simplePos x="0" y="0"/>
            <wp:positionH relativeFrom="page">
              <wp:posOffset>473075</wp:posOffset>
            </wp:positionH>
            <wp:positionV relativeFrom="paragraph">
              <wp:posOffset>-50800</wp:posOffset>
            </wp:positionV>
            <wp:extent cx="719455" cy="780415"/>
            <wp:wrapSquare wrapText="bothSides"/>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719455" cy="780415"/>
                    </a:xfrm>
                    <a:prstGeom prst="rect"/>
                  </pic:spPr>
                </pic:pic>
              </a:graphicData>
            </a:graphic>
          </wp:anchor>
        </w:drawing>
      </w:r>
      <w:bookmarkStart w:id="0" w:name="bookmark0"/>
      <w:r>
        <w:rPr>
          <w:rStyle w:val="CharStyle7"/>
        </w:rPr>
        <w:t>Minister</w:t>
      </w:r>
      <w:bookmarkEnd w:id="0"/>
    </w:p>
    <w:p>
      <w:pPr>
        <w:pStyle w:val="Style6"/>
        <w:keepNext/>
        <w:keepLines/>
        <w:widowControl w:val="0"/>
        <w:shd w:val="clear" w:color="auto" w:fill="auto"/>
        <w:bidi w:val="0"/>
        <w:spacing w:before="0" w:after="360" w:line="216" w:lineRule="auto"/>
        <w:ind w:left="0" w:right="0" w:firstLine="0"/>
        <w:jc w:val="left"/>
      </w:pPr>
      <w:r>
        <w:rPr>
          <w:rStyle w:val="CharStyle7"/>
        </w:rPr>
        <w:t>Klimatu i Środowiska</w:t>
      </w:r>
    </w:p>
    <w:p>
      <w:pPr>
        <w:pStyle w:val="Style8"/>
        <w:keepNext w:val="0"/>
        <w:keepLines w:val="0"/>
        <w:widowControl w:val="0"/>
        <w:shd w:val="clear" w:color="auto" w:fill="auto"/>
        <w:bidi w:val="0"/>
        <w:spacing w:before="0" w:after="560" w:line="254" w:lineRule="auto"/>
        <w:ind w:left="0" w:right="0" w:firstLine="0"/>
        <w:jc w:val="left"/>
      </w:pPr>
      <w:r>
        <w:rPr>
          <w:rStyle w:val="CharStyle9"/>
        </w:rPr>
        <w:t xml:space="preserve">DOP-WŚ.053.3.2026.1.DT </w:t>
      </w:r>
      <w:r>
        <w:rPr>
          <w:rStyle w:val="CharStyle9"/>
          <w:sz w:val="18"/>
          <w:szCs w:val="18"/>
        </w:rPr>
        <w:t xml:space="preserve">4384382.18597633.14994261 </w:t>
      </w:r>
      <w:r>
        <w:rPr>
          <w:rStyle w:val="CharStyle9"/>
        </w:rPr>
        <w:t>Warszawa, 19-08-2026</w:t>
      </w:r>
    </w:p>
    <w:p>
      <w:pPr>
        <w:pStyle w:val="Style11"/>
        <w:keepNext/>
        <w:keepLines/>
        <w:widowControl w:val="0"/>
        <w:shd w:val="clear" w:color="auto" w:fill="auto"/>
        <w:bidi w:val="0"/>
        <w:spacing w:before="0" w:after="80"/>
        <w:ind w:left="0" w:right="0" w:firstLine="0"/>
        <w:jc w:val="center"/>
      </w:pPr>
      <w:bookmarkStart w:id="3" w:name="bookmark3"/>
      <w:r>
        <w:rPr>
          <w:rStyle w:val="CharStyle12"/>
          <w:b/>
          <w:bCs/>
        </w:rPr>
        <w:t>ZAWIADOMIENIE O SPOSOBIE ZAŁATWIENIA PETYCJI</w:t>
      </w:r>
      <w:bookmarkEnd w:id="3"/>
    </w:p>
    <w:p>
      <w:pPr>
        <w:pStyle w:val="Style8"/>
        <w:keepNext w:val="0"/>
        <w:keepLines w:val="0"/>
        <w:widowControl w:val="0"/>
        <w:shd w:val="clear" w:color="auto" w:fill="auto"/>
        <w:bidi w:val="0"/>
        <w:spacing w:before="0" w:after="200"/>
        <w:ind w:left="0" w:right="0" w:firstLine="0"/>
        <w:jc w:val="both"/>
      </w:pPr>
      <w:r>
        <w:rPr>
          <w:rStyle w:val="CharStyle9"/>
        </w:rPr>
        <w:t xml:space="preserve">Działając na podstawie art. 13 ust. 1 ustawy z dnia 11 lipca 2014 r. o petycjach (Dz. U. z 2018 r. poz. 870), w związku z petycją dotyczącą podjęcia pilnych prac legislacyjnych zmierzających do jednoznacznego określenia oraz przyznania jednostkom samorządu terytorialnego kompetencji do reagowania na zagrożenia powodowane przez obecność dzikich zwierząt na terenach zamieszkałych, informuję, że petycja w tym zakresie </w:t>
      </w:r>
      <w:r>
        <w:rPr>
          <w:rStyle w:val="CharStyle9"/>
          <w:b/>
          <w:bCs/>
        </w:rPr>
        <w:t xml:space="preserve">nie zasługuje na uwzględnienie. </w:t>
      </w:r>
      <w:r>
        <w:rPr>
          <w:rStyle w:val="CharStyle9"/>
        </w:rPr>
        <w:t>Niemniej przedstawione zagadnienia pozostają przedmiotem analiz oraz działań zmierzających do poprawy obowiązujących rozwiązań prawnych.</w:t>
      </w:r>
    </w:p>
    <w:p>
      <w:pPr>
        <w:pStyle w:val="Style11"/>
        <w:keepNext/>
        <w:keepLines/>
        <w:widowControl w:val="0"/>
        <w:shd w:val="clear" w:color="auto" w:fill="auto"/>
        <w:bidi w:val="0"/>
        <w:spacing w:before="0" w:after="200"/>
        <w:ind w:left="0" w:right="0" w:firstLine="0"/>
        <w:jc w:val="center"/>
      </w:pPr>
      <w:bookmarkStart w:id="5" w:name="bookmark5"/>
      <w:r>
        <w:rPr>
          <w:rStyle w:val="CharStyle12"/>
          <w:b/>
          <w:bCs/>
        </w:rPr>
        <w:t>Uzasadnienie</w:t>
      </w:r>
      <w:bookmarkEnd w:id="5"/>
    </w:p>
    <w:p>
      <w:pPr>
        <w:pStyle w:val="Style8"/>
        <w:keepNext w:val="0"/>
        <w:keepLines w:val="0"/>
        <w:widowControl w:val="0"/>
        <w:shd w:val="clear" w:color="auto" w:fill="auto"/>
        <w:bidi w:val="0"/>
        <w:spacing w:before="0"/>
        <w:ind w:left="0" w:right="0" w:firstLine="0"/>
        <w:jc w:val="both"/>
      </w:pPr>
      <w:r>
        <w:rPr>
          <w:rStyle w:val="CharStyle9"/>
        </w:rPr>
        <w:t>Odnosząc się do kwestii kompetencji organów administracji publicznej, należy wskazać, że ustawodawca przewidział już instrumenty prawne umożliwiające podejmowanie działań w sytuacjach zagrożenia powodowanego przez obecność dzikich zwierząt na terenach zamieszkałych, a także określił właściwość poszczególnych organów administracji publicznej.</w:t>
      </w:r>
    </w:p>
    <w:p>
      <w:pPr>
        <w:pStyle w:val="Style8"/>
        <w:keepNext w:val="0"/>
        <w:keepLines w:val="0"/>
        <w:widowControl w:val="0"/>
        <w:shd w:val="clear" w:color="auto" w:fill="auto"/>
        <w:bidi w:val="0"/>
        <w:spacing w:before="0"/>
        <w:ind w:left="0" w:right="0" w:firstLine="0"/>
        <w:jc w:val="both"/>
      </w:pPr>
      <w:r>
        <w:rPr>
          <w:rStyle w:val="CharStyle9"/>
        </w:rPr>
        <w:t>Zgodnie z art. 4 ust. 1 pkt. 4 lit. h w związku z art. 9 ust. 1 pkt. 1 lit. a ustawy z dnia 5 grudnia 2024 r. o ochronie ludności i obronie cywilnej (Dz. U. z 2024 r. poz. 1907, z późn. zm.), wójt, burmistrz lub prezydent miasta ma za zadanie chronić ludność przed zagrożeniami związanymi z występowaniem zwierząt wolno żyjących (dzikich) na obszarach zamieszkałych. Ponadto zgodnie z art. 7 ust. 1 ustawy z dnia 8 marca 1990 r. o samorządzie gminnym (Dz. U. z 2026 r. poz. 662, z późn. zm.) do zadań własnych gminy należy zaspokajanie zbiorowych potrzeb wspólnoty. Wspomniane potrzeby obejmują również sprawy związane z porządkiem publicznym i bezpieczeństwem obywateli (art. 7 ust. 1 pkt 14 ww. ustawy). Przebywanie dzikich zwierząt w mieście niewątpliwie może powodować naruszenie porządku publicznego oraz zagrożenie bezpieczeństwa obywateli. Istnieje ryzyko niszczenia przez te zwierzęta mienia, urządzeń produkcyjnych bądź użyteczności publicznej czy wtargnięcia na obszar, na którym odbywa się ruch drogowy. W skrajnych przypadkach dzikie zwierzęta mogą zaatakować ludzi, zwierzęta gospodarskie czy domowe. W takich sytuacjach należy stosować przywołany przepis ustawy o samorządzie gminnym jako regulację upoważniającą gminę do podejmowania działań w celu przywrócenia porządku publicznego lub zapewnienia bezpieczeństwa obywatelom.</w:t>
      </w:r>
    </w:p>
    <w:p>
      <w:pPr>
        <w:pStyle w:val="Style8"/>
        <w:keepNext w:val="0"/>
        <w:keepLines w:val="0"/>
        <w:widowControl w:val="0"/>
        <w:shd w:val="clear" w:color="auto" w:fill="auto"/>
        <w:bidi w:val="0"/>
        <w:spacing w:before="0" w:after="600"/>
        <w:ind w:left="0" w:right="0" w:firstLine="0"/>
        <w:jc w:val="both"/>
      </w:pPr>
      <w:r>
        <w:rPr>
          <w:rStyle w:val="CharStyle9"/>
        </w:rPr>
        <w:t>Jednocześnie przepisy ustawy z dnia 16 kwietnia 2004 r. o ochronie przyrody (Dz. U. z 2026 r. poz. 13, z późn. zm.) przewidują możliwość uzyskiwania zezwoleń na odstępstwa od zakazów obowiązujących w stosunku do gatunków zwierząt objętych ochroną gatunkową, w tym na ich płoszenie, przemieszczanie lub, w szczególnych przypadkach, zabijanie. Kompetencje w tym zakresie zostały ustawowo powierzone Generalnemu Dyrektorowi Ochrony Środowiska oraz regionalnym dyrektorom ochrony środowiska, a na terenie parków narodowych ministrowi właściwemu do spraw środowiska.</w:t>
      </w:r>
    </w:p>
    <w:p>
      <w:pPr>
        <w:pStyle w:val="Style2"/>
        <w:keepNext w:val="0"/>
        <w:keepLines w:val="0"/>
        <w:widowControl w:val="0"/>
        <w:shd w:val="clear" w:color="auto" w:fill="auto"/>
        <w:bidi w:val="0"/>
        <w:spacing w:before="0" w:after="0" w:line="240" w:lineRule="auto"/>
        <w:ind w:left="0" w:right="0" w:firstLine="0"/>
        <w:jc w:val="both"/>
      </w:pPr>
      <w:r>
        <mc:AlternateContent>
          <mc:Choice Requires="wps">
            <w:drawing>
              <wp:anchor distT="0" distB="0" distL="114300" distR="114300" simplePos="0" relativeHeight="125829379" behindDoc="0" locked="0" layoutInCell="1" allowOverlap="1">
                <wp:simplePos x="0" y="0"/>
                <wp:positionH relativeFrom="page">
                  <wp:posOffset>4490085</wp:posOffset>
                </wp:positionH>
                <wp:positionV relativeFrom="paragraph">
                  <wp:posOffset>12700</wp:posOffset>
                </wp:positionV>
                <wp:extent cx="1795145" cy="277495"/>
                <wp:wrapSquare wrapText="left"/>
                <wp:docPr id="3" name="Shape 3"/>
                <a:graphic xmlns:a="http://schemas.openxmlformats.org/drawingml/2006/main">
                  <a:graphicData uri="http://schemas.microsoft.com/office/word/2010/wordprocessingShape">
                    <wps:wsp>
                      <wps:cNvSpPr txBox="1"/>
                      <wps:spPr>
                        <a:xfrm>
                          <a:ext cx="1795145" cy="277495"/>
                        </a:xfrm>
                        <a:prstGeom prst="rect"/>
                        <a:noFill/>
                      </wps:spPr>
                      <wps:txbx>
                        <w:txbxContent>
                          <w:p>
                            <w:pPr>
                              <w:pStyle w:val="Style2"/>
                              <w:keepNext w:val="0"/>
                              <w:keepLines w:val="0"/>
                              <w:widowControl w:val="0"/>
                              <w:shd w:val="clear" w:color="auto" w:fill="auto"/>
                              <w:bidi w:val="0"/>
                              <w:spacing w:before="0" w:after="0"/>
                              <w:ind w:left="300" w:right="0" w:hanging="300"/>
                              <w:jc w:val="left"/>
                            </w:pPr>
                            <w:r>
                              <w:rPr>
                                <w:rStyle w:val="CharStyle3"/>
                              </w:rPr>
                              <w:t>ul. Wawelska 52/54, 00-922 Warszawa Ministerstwo Klimatu i Środowiska</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353.55000000000001pt;margin-top:1.pt;width:141.34999999999999pt;height:21.850000000000001pt;z-index:-125829374;mso-wrap-distance-left:9.pt;mso-wrap-distance-right:9.pt;mso-position-horizontal-relative:page" filled="f" stroked="f">
                <v:textbox inset="0,0,0,0">
                  <w:txbxContent>
                    <w:p>
                      <w:pPr>
                        <w:pStyle w:val="Style2"/>
                        <w:keepNext w:val="0"/>
                        <w:keepLines w:val="0"/>
                        <w:widowControl w:val="0"/>
                        <w:shd w:val="clear" w:color="auto" w:fill="auto"/>
                        <w:bidi w:val="0"/>
                        <w:spacing w:before="0" w:after="0"/>
                        <w:ind w:left="300" w:right="0" w:hanging="300"/>
                        <w:jc w:val="left"/>
                      </w:pPr>
                      <w:r>
                        <w:rPr>
                          <w:rStyle w:val="CharStyle3"/>
                        </w:rPr>
                        <w:t>ul. Wawelska 52/54, 00-922 Warszawa Ministerstwo Klimatu i Środowiska</w:t>
                      </w:r>
                    </w:p>
                  </w:txbxContent>
                </v:textbox>
                <w10:wrap type="square" side="left" anchorx="page"/>
              </v:shape>
            </w:pict>
          </mc:Fallback>
        </mc:AlternateContent>
      </w:r>
      <w:r>
        <w:rPr>
          <w:rStyle w:val="CharStyle3"/>
        </w:rPr>
        <w:t>Telefon: (+48) 22 369 29 00</w:t>
      </w:r>
    </w:p>
    <w:p>
      <w:pPr>
        <w:pStyle w:val="Style2"/>
        <w:keepNext w:val="0"/>
        <w:keepLines w:val="0"/>
        <w:widowControl w:val="0"/>
        <w:shd w:val="clear" w:color="auto" w:fill="auto"/>
        <w:bidi w:val="0"/>
        <w:spacing w:before="0" w:after="0" w:line="240" w:lineRule="auto"/>
        <w:ind w:left="0" w:right="0" w:firstLine="0"/>
        <w:jc w:val="both"/>
      </w:pPr>
      <w:r>
        <w:fldChar w:fldCharType="begin"/>
      </w:r>
      <w:r>
        <w:rPr/>
        <w:instrText> HYPERLINK "mailto:info@klimat.gov.pl" </w:instrText>
      </w:r>
      <w:r>
        <w:fldChar w:fldCharType="separate"/>
      </w:r>
      <w:r>
        <w:rPr>
          <w:rStyle w:val="CharStyle3"/>
        </w:rPr>
        <w:t>info@klimat.gov.pl</w:t>
      </w:r>
      <w:r>
        <w:fldChar w:fldCharType="end"/>
      </w:r>
    </w:p>
    <w:p>
      <w:pPr>
        <w:pStyle w:val="Style2"/>
        <w:keepNext w:val="0"/>
        <w:keepLines w:val="0"/>
        <w:widowControl w:val="0"/>
        <w:shd w:val="clear" w:color="auto" w:fill="auto"/>
        <w:bidi w:val="0"/>
        <w:spacing w:before="0" w:after="200" w:line="240" w:lineRule="auto"/>
        <w:ind w:left="0" w:right="0" w:firstLine="0"/>
        <w:jc w:val="both"/>
      </w:pPr>
      <w:r>
        <mc:AlternateContent>
          <mc:Choice Requires="wps">
            <w:drawing>
              <wp:anchor distT="0" distB="0" distL="114300" distR="114300" simplePos="0" relativeHeight="125829381" behindDoc="0" locked="0" layoutInCell="1" allowOverlap="1">
                <wp:simplePos x="0" y="0"/>
                <wp:positionH relativeFrom="page">
                  <wp:posOffset>2381250</wp:posOffset>
                </wp:positionH>
                <wp:positionV relativeFrom="paragraph">
                  <wp:posOffset>114300</wp:posOffset>
                </wp:positionV>
                <wp:extent cx="2810510" cy="130810"/>
                <wp:wrapSquare wrapText="left"/>
                <wp:docPr id="5" name="Shape 5"/>
                <a:graphic xmlns:a="http://schemas.openxmlformats.org/drawingml/2006/main">
                  <a:graphicData uri="http://schemas.microsoft.com/office/word/2010/wordprocessingShape">
                    <wps:wsp>
                      <wps:cNvSpPr txBox="1"/>
                      <wps:spPr>
                        <a:xfrm>
                          <a:ext cx="2810510" cy="130810"/>
                        </a:xfrm>
                        <a:prstGeom prst="rect"/>
                        <a:noFill/>
                      </wps:spPr>
                      <wps:txbx>
                        <w:txbxContent>
                          <w:p>
                            <w:pPr>
                              <w:pStyle w:val="Style4"/>
                              <w:keepNext w:val="0"/>
                              <w:keepLines w:val="0"/>
                              <w:widowControl w:val="0"/>
                              <w:shd w:val="clear" w:color="auto" w:fill="auto"/>
                              <w:bidi w:val="0"/>
                              <w:spacing w:before="0" w:after="0" w:line="240" w:lineRule="auto"/>
                              <w:ind w:left="0" w:right="0" w:firstLine="0"/>
                              <w:jc w:val="center"/>
                            </w:pPr>
                            <w:r>
                              <w:rPr>
                                <w:rStyle w:val="CharStyle5"/>
                              </w:rPr>
                              <w:t>Działamy zgodnie z EMAS - zarządzając instytucją, dbamy o środowisko</w:t>
                            </w:r>
                          </w:p>
                        </w:txbxContent>
                      </wps:txbx>
                      <wps:bodyPr wrap="none" lIns="0" tIns="0" rIns="0" bIns="0">
                        <a:noAutoFit/>
                      </wps:bodyPr>
                    </wps:wsp>
                  </a:graphicData>
                </a:graphic>
              </wp:anchor>
            </w:drawing>
          </mc:Choice>
          <mc:Fallback>
            <w:pict>
              <v:shape id="_x0000_s1031" type="#_x0000_t202" style="position:absolute;margin-left:187.5pt;margin-top:9.pt;width:221.30000000000001pt;height:10.300000000000001pt;z-index:-125829372;mso-wrap-distance-left:9.pt;mso-wrap-distance-right:9.pt;mso-position-horizontal-relative:page" filled="f" stroked="f">
                <v:textbox inset="0,0,0,0">
                  <w:txbxContent>
                    <w:p>
                      <w:pPr>
                        <w:pStyle w:val="Style4"/>
                        <w:keepNext w:val="0"/>
                        <w:keepLines w:val="0"/>
                        <w:widowControl w:val="0"/>
                        <w:shd w:val="clear" w:color="auto" w:fill="auto"/>
                        <w:bidi w:val="0"/>
                        <w:spacing w:before="0" w:after="0" w:line="240" w:lineRule="auto"/>
                        <w:ind w:left="0" w:right="0" w:firstLine="0"/>
                        <w:jc w:val="center"/>
                      </w:pPr>
                      <w:r>
                        <w:rPr>
                          <w:rStyle w:val="CharStyle5"/>
                        </w:rPr>
                        <w:t>Działamy zgodnie z EMAS - zarządzając instytucją, dbamy o środowisko</w:t>
                      </w:r>
                    </w:p>
                  </w:txbxContent>
                </v:textbox>
                <w10:wrap type="square" side="left" anchorx="page"/>
              </v:shape>
            </w:pict>
          </mc:Fallback>
        </mc:AlternateContent>
      </w:r>
      <w:r>
        <w:fldChar w:fldCharType="begin"/>
      </w:r>
      <w:r>
        <w:rPr/>
        <w:instrText> HYPERLINK "http://www.gov.pl/klimat" </w:instrText>
      </w:r>
      <w:r>
        <w:fldChar w:fldCharType="separate"/>
      </w:r>
      <w:r>
        <w:rPr>
          <w:rStyle w:val="CharStyle3"/>
        </w:rPr>
        <w:t>www.gov.pl/klimat</w:t>
      </w:r>
      <w:r>
        <w:fldChar w:fldCharType="end"/>
      </w:r>
    </w:p>
    <w:p>
      <w:pPr>
        <w:pStyle w:val="Style8"/>
        <w:keepNext w:val="0"/>
        <w:keepLines w:val="0"/>
        <w:widowControl w:val="0"/>
        <w:shd w:val="clear" w:color="auto" w:fill="auto"/>
        <w:bidi w:val="0"/>
        <w:spacing w:before="0"/>
        <w:ind w:left="0" w:right="0" w:firstLine="0"/>
        <w:jc w:val="both"/>
      </w:pPr>
      <w:r>
        <w:rPr>
          <w:rStyle w:val="CharStyle9"/>
        </w:rPr>
        <w:t>Organy te, jako wyspecjalizowane organy ochrony przyrody, wydając zezwolenia, zobowiązane są do dokonania oceny spełnienia przesłanek wynikających z przepisów krajowych i prawa Unii Europejskiej.</w:t>
      </w:r>
    </w:p>
    <w:p>
      <w:pPr>
        <w:pStyle w:val="Style8"/>
        <w:keepNext w:val="0"/>
        <w:keepLines w:val="0"/>
        <w:widowControl w:val="0"/>
        <w:shd w:val="clear" w:color="auto" w:fill="auto"/>
        <w:bidi w:val="0"/>
        <w:spacing w:before="0"/>
        <w:ind w:left="0" w:right="0" w:firstLine="0"/>
        <w:jc w:val="both"/>
      </w:pPr>
      <w:r>
        <w:rPr>
          <w:rStyle w:val="CharStyle9"/>
        </w:rPr>
        <w:t>W sytuacjach wymagających natychmiastowej reakcji istnieje możliwość uzyskania zezwolenia również w trybie pilnym, w tym w formie ustnej po rozpatrzeniu wniosku złożonego telefonicznie. Rozwiązanie to ma na celu zapewnienie sprawnego działania organów i umożliwienie szybkiej reakcji w sytuacjach wymagających natychmiastowej interwencji i jest stosowane w praktyce.</w:t>
      </w:r>
    </w:p>
    <w:p>
      <w:pPr>
        <w:pStyle w:val="Style8"/>
        <w:keepNext w:val="0"/>
        <w:keepLines w:val="0"/>
        <w:widowControl w:val="0"/>
        <w:shd w:val="clear" w:color="auto" w:fill="auto"/>
        <w:bidi w:val="0"/>
        <w:spacing w:before="0"/>
        <w:ind w:left="0" w:right="0" w:firstLine="0"/>
        <w:jc w:val="both"/>
      </w:pPr>
      <w:r>
        <w:rPr>
          <w:rStyle w:val="CharStyle9"/>
        </w:rPr>
        <w:t>Należy również zauważyć, że na podstawie ustawy z dnia 26 kwietnia 2007 r. o zarządzaniu kryzysowym (Dz. U. z 2026 r. poz. 574, z późn. zm.) uregulowano w Polsce system zarządzania kryzysowego, który funkcjonuje na każdym szczeblu działania administracji publicznej, poczynając od szczebla centralnego przez wojewódzki, powiatowy, na szczeblu gminnym kończąc. Zgodnie z tym systemem, kierowanie monitorowaniem, planowaniem, reagowaniem i usuwaniem skutków zagrożeń na terenie gminy należy do wójta (burmistrza, prezydenta miasta), na obszarze powiatu do starosty, a na obszarze województwa do wojewody. To organy właściwe w gminie, powiecie lub województwie zobowiązane są do monitorowania sytuacji, zbierania informacji o ewentualnym zagrożeniu i w razie jego wystąpienia do podejmowania odpowiednich czynności, w tym – jeśli zajdzie taka potrzeba – do występowania do Regionalnego lub Generalnego Dyrektora Ochrony Środowiska, a na terenie parków narodowych do ministra właściwego do spraw środowiska, z wnioskami o wydanie zezwolenia na realizację czynności zakazanych w stosunku do zwierząt objętych ochroną gatunkową, które mogą być niebezpieczne.</w:t>
      </w:r>
    </w:p>
    <w:p>
      <w:pPr>
        <w:pStyle w:val="Style8"/>
        <w:keepNext w:val="0"/>
        <w:keepLines w:val="0"/>
        <w:widowControl w:val="0"/>
        <w:shd w:val="clear" w:color="auto" w:fill="auto"/>
        <w:bidi w:val="0"/>
        <w:spacing w:before="0"/>
        <w:ind w:left="0" w:right="0" w:firstLine="0"/>
        <w:jc w:val="both"/>
      </w:pPr>
      <w:r>
        <w:rPr>
          <w:rStyle w:val="CharStyle9"/>
        </w:rPr>
        <w:t>W odniesieniu do zwierząt łownych obowiązujące przepisy przewidują możliwość podejmowania działań interwencyjnych, w szczególności na podstawie art. 45 ust. 3 ustawy z dnia 13 października 1995 r. – Prawo łowieckie (Dz. U. z 2025 r. poz. 539, z późn. zm.). Zgodnie z tym przepisem starosta, w uzgodnieniu z Polskim Związkiem Łowieckim, może wydać decyzję o odłowie, odłowie wraz z uśmierceniem lub odstrzale redukcyjnym zwierzęcia łownego, również na obszarze administracyjnym miasta, jeżeli występuje szczególne zagrożenie dla prawidłowego funkcjonowania obiektów produkcyjnych lub użyteczności publicznej. Zadanie to powinno być realizowane jako zadanie własne starosty i finansowane ze środków powiatu.</w:t>
      </w:r>
    </w:p>
    <w:p>
      <w:pPr>
        <w:pStyle w:val="Style8"/>
        <w:keepNext w:val="0"/>
        <w:keepLines w:val="0"/>
        <w:widowControl w:val="0"/>
        <w:shd w:val="clear" w:color="auto" w:fill="auto"/>
        <w:bidi w:val="0"/>
        <w:spacing w:before="0"/>
        <w:ind w:left="0" w:right="0" w:firstLine="0"/>
        <w:jc w:val="both"/>
      </w:pPr>
      <w:r>
        <w:rPr>
          <w:rStyle w:val="CharStyle9"/>
        </w:rPr>
        <w:t>Ponadto zgodnie z art. 33a ust. 1 ustawy z dnia 21 sierpnia 1997 r. o ochronie zwierząt (Dz. U. z 2023 r. poz. 1580, z późn. zm.) w przypadku, gdy zwierzęta stanowią nadzwyczajne zagrożenie dla życia, zdrowia lub gospodarki człowieka, w tym gospodarki łowieckiej, dopuszcza się podjęcie działań mających na celu ograniczenie populacji tych zwierząt. Na podstawie art. 33a ust. 2 ww. ustawy sejmik województwa, po zasięgnięciu opinii regionalnej rady ochrony przyrody, organizacji społecznej, której statutowym celem jest ochrona zwierząt oraz Polskiego Związku Łowieckiego, określa w drodze uchwały miejsce, warunki, czas i sposoby ograniczenia liczebności wskazanych zwierząt.</w:t>
      </w:r>
    </w:p>
    <w:p>
      <w:pPr>
        <w:pStyle w:val="Style8"/>
        <w:keepNext w:val="0"/>
        <w:keepLines w:val="0"/>
        <w:widowControl w:val="0"/>
        <w:shd w:val="clear" w:color="auto" w:fill="auto"/>
        <w:bidi w:val="0"/>
        <w:spacing w:before="0"/>
        <w:ind w:left="0" w:right="0" w:firstLine="0"/>
        <w:jc w:val="both"/>
      </w:pPr>
      <w:r>
        <w:rPr>
          <w:rStyle w:val="CharStyle9"/>
        </w:rPr>
        <w:t>Na podstawie art. 9a ustawy – Prawo łowieckie istnieje również możliwość uzyskania zezwolenia właściwego terytorialnie marszałka województwa na płoszenie zwierząt łownych. Zezwolenie może być wydane po zasięgnięciu opinii Polskiego Związku Łowieckiego i w przypadku braku rozwiązań alternatywnych oraz jeżeli nie jest szkodliwe</w:t>
      </w:r>
    </w:p>
    <w:p>
      <w:pPr>
        <w:pStyle w:val="Style8"/>
        <w:keepNext w:val="0"/>
        <w:keepLines w:val="0"/>
        <w:widowControl w:val="0"/>
        <w:shd w:val="clear" w:color="auto" w:fill="auto"/>
        <w:bidi w:val="0"/>
        <w:spacing w:before="0" w:line="305" w:lineRule="auto"/>
        <w:ind w:left="0" w:right="0" w:firstLine="0"/>
        <w:jc w:val="both"/>
      </w:pPr>
      <w:r>
        <w:rPr>
          <w:rStyle w:val="CharStyle9"/>
        </w:rPr>
        <w:t>dla zachowania we właściwym stanie ochrony dziko występujących populacji zwierząt łownych.</w:t>
      </w:r>
    </w:p>
    <w:p>
      <w:pPr>
        <w:pStyle w:val="Style8"/>
        <w:keepNext w:val="0"/>
        <w:keepLines w:val="0"/>
        <w:widowControl w:val="0"/>
        <w:shd w:val="clear" w:color="auto" w:fill="auto"/>
        <w:bidi w:val="0"/>
        <w:spacing w:before="0"/>
        <w:ind w:left="0" w:right="0" w:firstLine="0"/>
        <w:jc w:val="both"/>
      </w:pPr>
      <w:r>
        <w:rPr>
          <w:rStyle w:val="CharStyle9"/>
        </w:rPr>
        <w:t>Jak wskazano wyżej, sejmik województwa, marszałek województwa i starosta - odpowiednio - zasięgają opinii lub uzgadniają działania interwencyjne z Polskim Związkiem Łowieckim. Uzgodnienia mają na celu m.in. określenie zasad współpracy myśliwych w zakresie wykonywania zadań związanych z regulacją populacji zwierząt łownych. Dodatkowo, w przypadku obwodów łowieckich położonych w bezpośrednim sąsiedztwie granic administracyjnych miast i miejscowości, w zakresie ograniczania problemów generowanych przez dzikie zwierzęta należy nawiązywać współpracę z dzierżawcami lub zarządcami obwodów łowieckich. Dzierżawcy lub zarządcy obwodów łowieckich w ramach prowadzenia gospodarki łowieckiej mogą podejmować działania mające na celu obniżenie liczebności zwierząt łownych. Należy także zwrócić uwagę na obowiązującą procedurę zatwierdzania rocznych planów łowieckich. Plany te podlegają opiniowaniu wójtów, burmistrzów lub prezydentów miast oraz właściwej terytorialnie izby rolniczej. W przypadku problemów generowanych przez nadmierną liczebność zwierząt łownych, organy te mogą wnioskować o zwiększenie limitów odstrzałów tych zwierząt na dany łowiecki rok gospodarczy.</w:t>
      </w:r>
    </w:p>
    <w:p>
      <w:pPr>
        <w:pStyle w:val="Style8"/>
        <w:keepNext w:val="0"/>
        <w:keepLines w:val="0"/>
        <w:widowControl w:val="0"/>
        <w:shd w:val="clear" w:color="auto" w:fill="auto"/>
        <w:bidi w:val="0"/>
        <w:spacing w:before="0"/>
        <w:ind w:left="0" w:right="0" w:firstLine="0"/>
        <w:jc w:val="both"/>
      </w:pPr>
      <w:r>
        <w:rPr>
          <w:rStyle w:val="CharStyle9"/>
        </w:rPr>
        <w:t>Jak wynika z powyższego, sposób postępowania ze zwierzętami pojawiającymi się na terenach zurbanizowanych leży na styku kilku ustaw, będących w gestii Ministerstwa Klimatu i Środowiska (ustawa – Prawo łowieckie), Ministerstwa Rolnictwa i Rozwoju Wsi (ustawa o ochronie zwierząt) oraz Ministerstwa Spraw Wewnętrznych i Administracji (ustawa o samorządzie gminnym). W każdym przypadku, podejmowany sposób interwencji powinien być dostosowany do aktualnych uwarunkowań lokalnych i sytuacyjnych.</w:t>
      </w:r>
    </w:p>
    <w:p>
      <w:pPr>
        <w:pStyle w:val="Style8"/>
        <w:keepNext w:val="0"/>
        <w:keepLines w:val="0"/>
        <w:widowControl w:val="0"/>
        <w:shd w:val="clear" w:color="auto" w:fill="auto"/>
        <w:bidi w:val="0"/>
        <w:spacing w:before="0"/>
        <w:ind w:left="0" w:right="0" w:firstLine="0"/>
        <w:jc w:val="both"/>
      </w:pPr>
      <w:r>
        <w:rPr>
          <w:rStyle w:val="CharStyle9"/>
        </w:rPr>
        <w:t>Problematyka reagowania na obecność dzikich zwierząt na terenach zurbanizowanych pozostaje przedmiotem prac i analiz prowadzonych przez Ministerstwo Klimatu i Środowiska, m.in. w tym w ramach Zespołu do spraw zmian systemowych w łowiectwie, którego zadaniem jest wypracowanie rekomendacji dotyczących usprawnienia procedur, poprawy bezpieczeństwa mieszkańców miast oraz doprecyzowania zasad odpowiedzialności i finansowania działań podejmowanych w związku z występowaniem dzikich zwierząt w miastach.</w:t>
      </w:r>
    </w:p>
    <w:p>
      <w:pPr>
        <w:pStyle w:val="Style8"/>
        <w:keepNext w:val="0"/>
        <w:keepLines w:val="0"/>
        <w:widowControl w:val="0"/>
        <w:shd w:val="clear" w:color="auto" w:fill="auto"/>
        <w:bidi w:val="0"/>
        <w:spacing w:before="0"/>
        <w:ind w:left="0" w:right="0" w:firstLine="0"/>
        <w:jc w:val="both"/>
      </w:pPr>
      <w:r>
        <w:rPr>
          <w:rStyle w:val="CharStyle9"/>
        </w:rPr>
        <w:t>W związku z docierającymi do resortu środowiska sygnałami wskazującymi na rozbieżności w interpretacji przepisów art. 45 ust. 3 ustawy – Prawo łowieckie oraz na problemy z jednoznacznym określeniem odpowiedzialności za wykonanie odstrzału redukcyjnego i jego finansowania, w tym odmiennymi rozstrzygnięciami Regionalnych Izb Obrachunkowych (dalej: „RIO”), Minister Klimatu i Środowiska przedstawił Ministrowi Spraw Wewnętrznych i Administracji swoje stanowisko w zakresie interpretacji ww. przepisów i zwrócił się z prośbą o podjęcie działań w kierunku ujednolicenia orzecznictwa RIO.</w:t>
      </w:r>
    </w:p>
    <w:p>
      <w:pPr>
        <w:pStyle w:val="Style8"/>
        <w:keepNext w:val="0"/>
        <w:keepLines w:val="0"/>
        <w:widowControl w:val="0"/>
        <w:shd w:val="clear" w:color="auto" w:fill="auto"/>
        <w:bidi w:val="0"/>
        <w:spacing w:before="0"/>
        <w:ind w:left="0" w:right="0" w:firstLine="0"/>
        <w:jc w:val="both"/>
      </w:pPr>
      <w:r>
        <w:rPr>
          <w:rStyle w:val="CharStyle9"/>
        </w:rPr>
        <w:t>W kontekście inicjatyw legislacyjnych i zmian w przepisach mających na celu minimalizację konfliktów na linii człowiek – dzikie zwierzęta należy wskazać, że z dniem 23 czerwca 2026 r. weszła w życie ustawa z dnia 15 maja 2026 r. o zmianie ustawy o ochronie przyrody oraz niektórych innych ustaw (Dz. U. 2026 r. poz. 737). Ustawa ta wprowadza przepisy umożliwiające używanie amunicji niepenetracyjnej do płoszenia konfliktowych osobników</w:t>
      </w:r>
    </w:p>
    <w:p>
      <w:pPr>
        <w:pStyle w:val="Style8"/>
        <w:keepNext w:val="0"/>
        <w:keepLines w:val="0"/>
        <w:widowControl w:val="0"/>
        <w:shd w:val="clear" w:color="auto" w:fill="auto"/>
        <w:bidi w:val="0"/>
        <w:spacing w:before="0" w:after="60" w:line="305" w:lineRule="auto"/>
        <w:ind w:left="0" w:right="0" w:firstLine="0"/>
        <w:jc w:val="both"/>
      </w:pPr>
      <w:r>
        <w:rPr>
          <w:rStyle w:val="CharStyle9"/>
        </w:rPr>
        <w:t>dużych drapieżników, dając tym samym nowe narzędzie do zastosowania w ramach działań alternatywnych do czynności umyślnego zabijania.</w:t>
      </w:r>
    </w:p>
    <w:p>
      <w:pPr>
        <w:pStyle w:val="Style8"/>
        <w:keepNext w:val="0"/>
        <w:keepLines w:val="0"/>
        <w:widowControl w:val="0"/>
        <w:shd w:val="clear" w:color="auto" w:fill="auto"/>
        <w:bidi w:val="0"/>
        <w:spacing w:before="0" w:after="200"/>
        <w:ind w:left="0" w:right="0" w:firstLine="0"/>
        <w:jc w:val="both"/>
      </w:pPr>
      <w:r>
        <w:rPr>
          <w:rStyle w:val="CharStyle9"/>
        </w:rPr>
        <w:t>Reasumując należy stwierdzić, że obowiązujące przepisy przewidują kompetencje właściwych organów oraz instrumenty prawne umożliwiające reagowanie na sytuacje zagrożenia powodowane przez dzikie zwierzęta. W związku z tym brak jest podstaw do uznania za konieczne wprowadzenia nowych rozwiązań legislacyjnych w zakresie postulowanym w petycji. Jednocześnie doświadczenia związane ze stosowaniem obowiązujących przepisów pozostają przedmiotem bieżących analiz prowadzonych przez właściwe organy administracji.</w:t>
      </w:r>
    </w:p>
    <w:p>
      <w:pPr>
        <w:pStyle w:val="Style11"/>
        <w:keepNext/>
        <w:keepLines/>
        <w:widowControl w:val="0"/>
        <w:shd w:val="clear" w:color="auto" w:fill="auto"/>
        <w:bidi w:val="0"/>
        <w:spacing w:before="0" w:after="60" w:line="305" w:lineRule="auto"/>
        <w:ind w:left="0" w:right="0" w:firstLine="0"/>
        <w:jc w:val="both"/>
      </w:pPr>
      <w:bookmarkStart w:id="7" w:name="bookmark7"/>
      <w:r>
        <w:rPr>
          <w:rStyle w:val="CharStyle12"/>
          <w:b/>
          <w:bCs/>
        </w:rPr>
        <w:t>Pouczenie:</w:t>
      </w:r>
      <w:bookmarkEnd w:id="7"/>
    </w:p>
    <w:p>
      <w:pPr>
        <w:pStyle w:val="Style8"/>
        <w:keepNext w:val="0"/>
        <w:keepLines w:val="0"/>
        <w:widowControl w:val="0"/>
        <w:shd w:val="clear" w:color="auto" w:fill="auto"/>
        <w:bidi w:val="0"/>
        <w:spacing w:before="0" w:after="60" w:line="305" w:lineRule="auto"/>
        <w:ind w:left="0" w:right="0" w:firstLine="0"/>
        <w:jc w:val="both"/>
      </w:pPr>
      <w:r>
        <w:rPr>
          <w:rStyle w:val="CharStyle9"/>
        </w:rPr>
        <w:t>Zgodnie z art. 13 ust. 2 ustawy z dnia 11 lipca 2014 r. o petycjach sposób załatwienia petycji nie może być przedmiotem skargi.</w:t>
      </w:r>
    </w:p>
    <w:p>
      <w:pPr>
        <w:pStyle w:val="Style8"/>
        <w:keepNext w:val="0"/>
        <w:keepLines w:val="0"/>
        <w:widowControl w:val="0"/>
        <w:shd w:val="clear" w:color="auto" w:fill="auto"/>
        <w:bidi w:val="0"/>
        <w:spacing w:before="0" w:after="3740" w:line="305" w:lineRule="auto"/>
        <w:ind w:left="0" w:right="0" w:firstLine="0"/>
        <w:jc w:val="both"/>
      </w:pPr>
      <w:r>
        <w:rPr>
          <w:rStyle w:val="CharStyle9"/>
        </w:rPr>
        <w:t>Zgodnie z art. 12 ust. 1 podmiot właściwy do rozpatrzenia petycji może pozostawić bez rozpatrzenia petycję złożoną w sprawie, która była przedmiotem petycji już rozpatrzonej przez ten podmiot, jeżeli w petycji nie powołano się na nowe fakty lub dowody nieznane podmiotowi właściwemu do rozpatrzenia petycji.</w:t>
      </w:r>
    </w:p>
    <w:p>
      <w:pPr>
        <w:pStyle w:val="Style11"/>
        <w:keepNext/>
        <w:keepLines/>
        <w:widowControl w:val="0"/>
        <w:shd w:val="clear" w:color="auto" w:fill="auto"/>
        <w:bidi w:val="0"/>
        <w:spacing w:before="0" w:after="60" w:line="240" w:lineRule="auto"/>
        <w:ind w:left="0" w:right="0" w:firstLine="0"/>
        <w:jc w:val="both"/>
      </w:pPr>
      <w:bookmarkStart w:id="9" w:name="bookmark9"/>
      <w:r>
        <w:rPr>
          <w:rStyle w:val="CharStyle12"/>
          <w:b/>
          <w:bCs/>
        </w:rPr>
        <w:t>Do wiadomości:</w:t>
      </w:r>
      <w:bookmarkEnd w:id="9"/>
    </w:p>
    <w:p>
      <w:pPr>
        <w:pStyle w:val="Style8"/>
        <w:keepNext w:val="0"/>
        <w:keepLines w:val="0"/>
        <w:widowControl w:val="0"/>
        <w:numPr>
          <w:ilvl w:val="0"/>
          <w:numId w:val="1"/>
        </w:numPr>
        <w:shd w:val="clear" w:color="auto" w:fill="auto"/>
        <w:tabs>
          <w:tab w:pos="317" w:val="left"/>
        </w:tabs>
        <w:bidi w:val="0"/>
        <w:spacing w:before="0" w:after="60" w:line="240" w:lineRule="auto"/>
        <w:ind w:left="0" w:right="0" w:firstLine="0"/>
        <w:jc w:val="both"/>
      </w:pPr>
      <w:r>
        <w:rPr>
          <w:rStyle w:val="CharStyle9"/>
        </w:rPr>
        <w:t>Biuro Kontroli i Audytu, w/m</w:t>
      </w:r>
    </w:p>
    <w:p>
      <w:pPr>
        <w:pStyle w:val="Style8"/>
        <w:keepNext w:val="0"/>
        <w:keepLines w:val="0"/>
        <w:widowControl w:val="0"/>
        <w:numPr>
          <w:ilvl w:val="0"/>
          <w:numId w:val="1"/>
        </w:numPr>
        <w:shd w:val="clear" w:color="auto" w:fill="auto"/>
        <w:tabs>
          <w:tab w:pos="322" w:val="left"/>
        </w:tabs>
        <w:bidi w:val="0"/>
        <w:spacing w:before="0" w:after="60" w:line="240" w:lineRule="auto"/>
        <w:ind w:left="0" w:right="0" w:firstLine="0"/>
        <w:jc w:val="both"/>
        <w:sectPr>
          <w:footerReference w:type="default" r:id="rId7"/>
          <w:footerReference w:type="first" r:id="rId8"/>
          <w:footnotePr>
            <w:pos w:val="pageBottom"/>
            <w:numFmt w:val="decimal"/>
            <w:numRestart w:val="continuous"/>
          </w:footnotePr>
          <w:pgSz w:w="11900" w:h="16840"/>
          <w:pgMar w:top="671" w:right="1944" w:bottom="883" w:left="1940" w:header="0" w:footer="3" w:gutter="0"/>
          <w:pgNumType w:start="1"/>
          <w:cols w:space="720"/>
          <w:noEndnote/>
          <w:titlePg/>
          <w:rtlGutter w:val="0"/>
          <w:docGrid w:linePitch="360"/>
        </w:sectPr>
      </w:pPr>
      <w:r>
        <w:rPr>
          <w:rStyle w:val="CharStyle9"/>
        </w:rPr>
        <w:t>Departament Leśnictwa i Łowiectwa, w/m</w:t>
      </w:r>
    </w:p>
    <w:p>
      <w:pPr>
        <w:pStyle w:val="Style2"/>
        <w:keepNext w:val="0"/>
        <w:keepLines w:val="0"/>
        <w:widowControl w:val="0"/>
        <w:shd w:val="clear" w:color="auto" w:fill="auto"/>
        <w:bidi w:val="0"/>
        <w:spacing w:before="0" w:after="0"/>
        <w:ind w:left="0" w:right="0" w:firstLine="0"/>
        <w:jc w:val="center"/>
      </w:pPr>
      <w:r>
        <w:rPr>
          <w:rStyle w:val="CharStyle3"/>
          <w:b/>
          <w:bCs/>
        </w:rPr>
        <w:t>Klauzula informacyjna</w:t>
      </w:r>
    </w:p>
    <w:p>
      <w:pPr>
        <w:pStyle w:val="Style2"/>
        <w:keepNext w:val="0"/>
        <w:keepLines w:val="0"/>
        <w:widowControl w:val="0"/>
        <w:shd w:val="clear" w:color="auto" w:fill="auto"/>
        <w:bidi w:val="0"/>
        <w:spacing w:before="0" w:after="80"/>
        <w:ind w:left="0" w:right="0" w:firstLine="0"/>
        <w:jc w:val="center"/>
      </w:pPr>
      <w:r>
        <w:rPr>
          <w:rStyle w:val="CharStyle3"/>
          <w:b/>
          <w:bCs/>
        </w:rPr>
        <w:t>dotycząca przetwarzania danych osobowych osób wnoszących petycję</w:t>
      </w:r>
    </w:p>
    <w:p>
      <w:pPr>
        <w:pStyle w:val="Style2"/>
        <w:keepNext w:val="0"/>
        <w:keepLines w:val="0"/>
        <w:widowControl w:val="0"/>
        <w:shd w:val="clear" w:color="auto" w:fill="auto"/>
        <w:bidi w:val="0"/>
        <w:spacing w:before="0" w:after="0"/>
        <w:ind w:left="0" w:right="0" w:firstLine="0"/>
        <w:jc w:val="both"/>
      </w:pPr>
      <w:r>
        <w:rPr>
          <w:rStyle w:val="CharStyle3"/>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z późn. zm., dalej: RODO) uprzejmie informuję, że:</w:t>
      </w:r>
    </w:p>
    <w:p>
      <w:pPr>
        <w:pStyle w:val="Style2"/>
        <w:keepNext w:val="0"/>
        <w:keepLines w:val="0"/>
        <w:widowControl w:val="0"/>
        <w:shd w:val="clear" w:color="auto" w:fill="auto"/>
        <w:bidi w:val="0"/>
        <w:spacing w:before="0" w:after="0"/>
        <w:ind w:left="0" w:right="0" w:firstLine="0"/>
        <w:jc w:val="both"/>
      </w:pPr>
      <w:r>
        <w:rPr>
          <w:rStyle w:val="CharStyle3"/>
          <w:b/>
          <w:bCs/>
        </w:rPr>
        <w:t>Tożsamość administratora</w:t>
      </w:r>
    </w:p>
    <w:p>
      <w:pPr>
        <w:pStyle w:val="Style2"/>
        <w:keepNext w:val="0"/>
        <w:keepLines w:val="0"/>
        <w:widowControl w:val="0"/>
        <w:shd w:val="clear" w:color="auto" w:fill="auto"/>
        <w:bidi w:val="0"/>
        <w:spacing w:before="0" w:after="0"/>
        <w:ind w:left="0" w:right="0" w:firstLine="0"/>
        <w:jc w:val="both"/>
      </w:pPr>
      <w:r>
        <w:rPr>
          <w:rStyle w:val="CharStyle3"/>
        </w:rPr>
        <w:t>Administratorem Pani/Pana danych osobowych jest Minister Klimatu i Środowiska</w:t>
      </w:r>
    </w:p>
    <w:p>
      <w:pPr>
        <w:pStyle w:val="Style2"/>
        <w:keepNext w:val="0"/>
        <w:keepLines w:val="0"/>
        <w:widowControl w:val="0"/>
        <w:shd w:val="clear" w:color="auto" w:fill="auto"/>
        <w:bidi w:val="0"/>
        <w:spacing w:before="0" w:after="0"/>
        <w:ind w:left="0" w:right="0" w:firstLine="0"/>
        <w:jc w:val="both"/>
      </w:pPr>
      <w:r>
        <w:rPr>
          <w:rStyle w:val="CharStyle3"/>
        </w:rPr>
        <w:t>Może się Pani/Pan z nami kontaktować w następujący sposób:</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listownie na adres: ul. Wawelska 52/54, 00-922 Warszawa</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poprzez elektroniczną skrzynkę podawczą: /mos/skrytka</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poprzez e-mail:</w:t>
      </w:r>
      <w:r>
        <w:fldChar w:fldCharType="begin"/>
      </w:r>
      <w:r>
        <w:rPr/>
        <w:instrText> HYPERLINK "mailto:info@klimat.gov.pl" </w:instrText>
      </w:r>
      <w:r>
        <w:fldChar w:fldCharType="separate"/>
      </w:r>
      <w:r>
        <w:rPr>
          <w:rStyle w:val="CharStyle3"/>
        </w:rPr>
        <w:t xml:space="preserve"> info@klimat.gov.pl</w:t>
      </w:r>
      <w:r>
        <w:fldChar w:fldCharType="end"/>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telefonicznie: 22 36 92 900.</w:t>
      </w:r>
    </w:p>
    <w:p>
      <w:pPr>
        <w:pStyle w:val="Style2"/>
        <w:keepNext w:val="0"/>
        <w:keepLines w:val="0"/>
        <w:widowControl w:val="0"/>
        <w:shd w:val="clear" w:color="auto" w:fill="auto"/>
        <w:bidi w:val="0"/>
        <w:spacing w:before="0" w:after="0"/>
        <w:ind w:left="0" w:right="0" w:firstLine="0"/>
        <w:jc w:val="both"/>
      </w:pPr>
      <w:r>
        <w:rPr>
          <w:rStyle w:val="CharStyle3"/>
          <w:b/>
          <w:bCs/>
        </w:rPr>
        <w:t>Dane kontaktowe inspektora ochrony danych osobowych</w:t>
      </w:r>
    </w:p>
    <w:p>
      <w:pPr>
        <w:pStyle w:val="Style2"/>
        <w:keepNext w:val="0"/>
        <w:keepLines w:val="0"/>
        <w:widowControl w:val="0"/>
        <w:shd w:val="clear" w:color="auto" w:fill="auto"/>
        <w:bidi w:val="0"/>
        <w:spacing w:before="0" w:after="0"/>
        <w:ind w:left="0" w:right="0" w:firstLine="0"/>
        <w:jc w:val="both"/>
      </w:pPr>
      <w:r>
        <w:rPr>
          <w:rStyle w:val="CharStyle3"/>
        </w:rPr>
        <w:t>Nad prawidłowością przetwarzania Pani/Pana danych osobowych czuwa wyznaczony przez Administratora inspektor ochrony danych, z którym można się kontaktować:</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listownie na adres: ul. Wawelska 52/54, 00-922 Warszawa</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poprzez elektroniczną skrzynkę podawczą: /mos/skrytka</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 xml:space="preserve">poprzez e-mail: </w:t>
      </w:r>
      <w:r>
        <w:fldChar w:fldCharType="begin"/>
      </w:r>
      <w:r>
        <w:rPr/>
        <w:instrText> HYPERLINK "mailto:inspektor.ochrony.danych@klimat.gov.pl" </w:instrText>
      </w:r>
      <w:r>
        <w:fldChar w:fldCharType="separate"/>
      </w:r>
      <w:r>
        <w:rPr>
          <w:rStyle w:val="CharStyle3"/>
        </w:rPr>
        <w:t>inspektor.ochrony.danych@klimat.gov.pl</w:t>
      </w:r>
      <w:r>
        <w:fldChar w:fldCharType="end"/>
      </w:r>
      <w:r>
        <w:rPr>
          <w:rStyle w:val="CharStyle3"/>
        </w:rPr>
        <w:t>.</w:t>
      </w:r>
    </w:p>
    <w:p>
      <w:pPr>
        <w:pStyle w:val="Style2"/>
        <w:keepNext w:val="0"/>
        <w:keepLines w:val="0"/>
        <w:widowControl w:val="0"/>
        <w:shd w:val="clear" w:color="auto" w:fill="auto"/>
        <w:bidi w:val="0"/>
        <w:spacing w:before="0" w:after="0"/>
        <w:ind w:left="0" w:right="0" w:firstLine="0"/>
        <w:jc w:val="both"/>
      </w:pPr>
      <w:r>
        <w:rPr>
          <w:rStyle w:val="CharStyle3"/>
          <w:b/>
          <w:bCs/>
        </w:rPr>
        <w:t>Cele przetwarzania danych osobowych i podstawa prawna</w:t>
      </w:r>
    </w:p>
    <w:p>
      <w:pPr>
        <w:pStyle w:val="Style2"/>
        <w:keepNext w:val="0"/>
        <w:keepLines w:val="0"/>
        <w:widowControl w:val="0"/>
        <w:shd w:val="clear" w:color="auto" w:fill="auto"/>
        <w:bidi w:val="0"/>
        <w:spacing w:before="0" w:after="0"/>
        <w:ind w:left="0" w:right="0" w:firstLine="0"/>
        <w:jc w:val="both"/>
      </w:pPr>
      <w:r>
        <w:rPr>
          <w:rStyle w:val="CharStyle3"/>
        </w:rPr>
        <w:t>Pani/Pana dane osobowe będą przetwarzane na podstawie art. 6 ust. 1 lit. c RODO (przetwarzanie jest niezbędne do wypełnienia obowiązku prawnego ciążącego na administratorze) w celu rozpatrzenia petycji, na podstawie przepisów ustawy z dnia 11 lipca 2014 r. o petycjach oraz w celu archiwizacji dokumentów, na podstawie przepisów ustawy z dnia 14 lipca 1983 r. o narodowym zasobie archiwalnym i archiwach.</w:t>
      </w:r>
    </w:p>
    <w:p>
      <w:pPr>
        <w:pStyle w:val="Style2"/>
        <w:keepNext w:val="0"/>
        <w:keepLines w:val="0"/>
        <w:widowControl w:val="0"/>
        <w:shd w:val="clear" w:color="auto" w:fill="auto"/>
        <w:bidi w:val="0"/>
        <w:spacing w:before="0" w:after="0"/>
        <w:ind w:left="0" w:right="0" w:firstLine="0"/>
        <w:jc w:val="both"/>
      </w:pPr>
      <w:r>
        <w:rPr>
          <w:rStyle w:val="CharStyle3"/>
          <w:b/>
          <w:bCs/>
        </w:rPr>
        <w:t>Odbiorcy danych osobowych lub kategorie odbiorców danych osobowych</w:t>
      </w:r>
    </w:p>
    <w:p>
      <w:pPr>
        <w:pStyle w:val="Style2"/>
        <w:keepNext w:val="0"/>
        <w:keepLines w:val="0"/>
        <w:widowControl w:val="0"/>
        <w:shd w:val="clear" w:color="auto" w:fill="auto"/>
        <w:bidi w:val="0"/>
        <w:spacing w:before="0" w:after="0"/>
        <w:ind w:left="0" w:right="0" w:firstLine="0"/>
        <w:jc w:val="both"/>
      </w:pPr>
      <w:r>
        <w:rPr>
          <w:rStyle w:val="CharStyle3"/>
        </w:rPr>
        <w:t>Pani/Pana dane osobowe mogą być udostępnione organom upoważnionym na podstawie przepisów prawa powszechnie obowiązującego, nie stanowią jednak one odbiorców danych w rozumieniu przepisów RODO.</w:t>
      </w:r>
    </w:p>
    <w:p>
      <w:pPr>
        <w:pStyle w:val="Style2"/>
        <w:keepNext w:val="0"/>
        <w:keepLines w:val="0"/>
        <w:widowControl w:val="0"/>
        <w:shd w:val="clear" w:color="auto" w:fill="auto"/>
        <w:bidi w:val="0"/>
        <w:spacing w:before="0" w:after="0"/>
        <w:ind w:left="0" w:right="0" w:firstLine="0"/>
        <w:jc w:val="both"/>
      </w:pPr>
      <w:r>
        <w:rPr>
          <w:rStyle w:val="CharStyle3"/>
        </w:rPr>
        <w:t xml:space="preserve">Pani/Pana dane osobowe, tj. imię i nazwisko mogą być opublikowane na stronie internetowej Ministerstwa Klimatu i Środowiska łącznie z treścią petycji, tylko w przypadku wyrażenia przez Panią/Pana zgody. Zgodę można w każdej chwili wycofać wysyłając wiadomość na adres </w:t>
      </w:r>
      <w:r>
        <w:fldChar w:fldCharType="begin"/>
      </w:r>
      <w:r>
        <w:rPr/>
        <w:instrText> HYPERLINK "mailto:inspektor.ochrony.danych@klimat.gov.pl" </w:instrText>
      </w:r>
      <w:r>
        <w:fldChar w:fldCharType="separate"/>
      </w:r>
      <w:r>
        <w:rPr>
          <w:rStyle w:val="CharStyle3"/>
        </w:rPr>
        <w:t>inspektor.ochrony.danych@klimat.gov.pl</w:t>
      </w:r>
      <w:r>
        <w:fldChar w:fldCharType="end"/>
      </w:r>
      <w:r>
        <w:rPr>
          <w:rStyle w:val="CharStyle3"/>
        </w:rPr>
        <w:t>.</w:t>
      </w:r>
    </w:p>
    <w:p>
      <w:pPr>
        <w:pStyle w:val="Style2"/>
        <w:keepNext w:val="0"/>
        <w:keepLines w:val="0"/>
        <w:widowControl w:val="0"/>
        <w:shd w:val="clear" w:color="auto" w:fill="auto"/>
        <w:bidi w:val="0"/>
        <w:spacing w:before="0" w:after="0"/>
        <w:ind w:left="0" w:right="0" w:firstLine="0"/>
        <w:jc w:val="both"/>
      </w:pPr>
      <w:r>
        <w:rPr>
          <w:rStyle w:val="CharStyle3"/>
          <w:b/>
          <w:bCs/>
        </w:rPr>
        <w:t>Okres przechowywania danych osobowych</w:t>
      </w:r>
    </w:p>
    <w:p>
      <w:pPr>
        <w:pStyle w:val="Style2"/>
        <w:keepNext w:val="0"/>
        <w:keepLines w:val="0"/>
        <w:widowControl w:val="0"/>
        <w:shd w:val="clear" w:color="auto" w:fill="auto"/>
        <w:bidi w:val="0"/>
        <w:spacing w:before="0" w:after="0"/>
        <w:ind w:left="0" w:right="0" w:firstLine="0"/>
        <w:jc w:val="both"/>
      </w:pPr>
      <w:r>
        <w:rPr>
          <w:rStyle w:val="CharStyle3"/>
        </w:rPr>
        <w:t>Pani/Pana dane osobowe będą przechowywane przez okres niezbędny do realizacji celu przetwarzania, a następnie:</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w przypadku realizacji sprawy przez Ministerstwo Klimatu i Środowiska – 25 lat (kat. archiwalna A)</w:t>
      </w:r>
    </w:p>
    <w:p>
      <w:pPr>
        <w:pStyle w:val="Style2"/>
        <w:keepNext w:val="0"/>
        <w:keepLines w:val="0"/>
        <w:widowControl w:val="0"/>
        <w:numPr>
          <w:ilvl w:val="0"/>
          <w:numId w:val="3"/>
        </w:numPr>
        <w:shd w:val="clear" w:color="auto" w:fill="auto"/>
        <w:tabs>
          <w:tab w:pos="288" w:val="left"/>
        </w:tabs>
        <w:bidi w:val="0"/>
        <w:spacing w:before="0" w:after="0" w:line="295" w:lineRule="auto"/>
        <w:ind w:left="0" w:right="0" w:firstLine="0"/>
        <w:jc w:val="both"/>
      </w:pPr>
      <w:r>
        <w:rPr>
          <w:rStyle w:val="CharStyle3"/>
        </w:rPr>
        <w:t>w przypadku przekazania petycji innemu podmiotowi, zgodnie z właściwością – 2 lata (kat. archiwalna B2) na podstawie Instrukcji Kancelaryjnej obowiązującej w Ministerstwie Klimatu i Środowiska) i przepisów ustawy z dnia 14 lipca 1983 r. o narodowym zasobie archiwalnym i archiwach.</w:t>
      </w:r>
    </w:p>
    <w:p>
      <w:pPr>
        <w:pStyle w:val="Style2"/>
        <w:keepNext w:val="0"/>
        <w:keepLines w:val="0"/>
        <w:widowControl w:val="0"/>
        <w:shd w:val="clear" w:color="auto" w:fill="auto"/>
        <w:bidi w:val="0"/>
        <w:spacing w:before="0" w:after="0" w:line="295" w:lineRule="auto"/>
        <w:ind w:left="0" w:right="0" w:firstLine="0"/>
        <w:jc w:val="both"/>
      </w:pPr>
      <w:r>
        <w:rPr>
          <w:rStyle w:val="CharStyle3"/>
          <w:b/>
          <w:bCs/>
        </w:rPr>
        <w:t>Przysługujące uprawnienia związane z przetwarzaniem danych osobowych</w:t>
      </w:r>
    </w:p>
    <w:p>
      <w:pPr>
        <w:pStyle w:val="Style2"/>
        <w:keepNext w:val="0"/>
        <w:keepLines w:val="0"/>
        <w:widowControl w:val="0"/>
        <w:shd w:val="clear" w:color="auto" w:fill="auto"/>
        <w:bidi w:val="0"/>
        <w:spacing w:before="0" w:after="0"/>
        <w:ind w:left="0" w:right="0" w:firstLine="0"/>
        <w:jc w:val="both"/>
      </w:pPr>
      <w:r>
        <w:rPr>
          <w:rStyle w:val="CharStyle3"/>
        </w:rPr>
        <w:t>Przysługują Pani/Panu następujące uprawnienia:</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prawo dostępu do danych osobowych i uzyskania ich kopii</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prawo do sprostowania danych osobowych</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prawo do usunięcia danych osobowych</w:t>
      </w:r>
    </w:p>
    <w:p>
      <w:pPr>
        <w:pStyle w:val="Style2"/>
        <w:keepNext w:val="0"/>
        <w:keepLines w:val="0"/>
        <w:widowControl w:val="0"/>
        <w:numPr>
          <w:ilvl w:val="0"/>
          <w:numId w:val="3"/>
        </w:numPr>
        <w:shd w:val="clear" w:color="auto" w:fill="auto"/>
        <w:tabs>
          <w:tab w:pos="288" w:val="left"/>
        </w:tabs>
        <w:bidi w:val="0"/>
        <w:spacing w:before="0" w:after="0"/>
        <w:ind w:left="0" w:right="0" w:firstLine="0"/>
        <w:jc w:val="both"/>
      </w:pPr>
      <w:r>
        <w:rPr>
          <w:rStyle w:val="CharStyle3"/>
        </w:rPr>
        <w:t>prawo ograniczenia przetwarzania.</w:t>
      </w:r>
    </w:p>
    <w:p>
      <w:pPr>
        <w:pStyle w:val="Style2"/>
        <w:keepNext w:val="0"/>
        <w:keepLines w:val="0"/>
        <w:widowControl w:val="0"/>
        <w:shd w:val="clear" w:color="auto" w:fill="auto"/>
        <w:bidi w:val="0"/>
        <w:spacing w:before="0" w:after="0"/>
        <w:ind w:left="0" w:right="0" w:firstLine="0"/>
        <w:jc w:val="both"/>
      </w:pPr>
      <w:r>
        <w:rPr>
          <w:rStyle w:val="CharStyle3"/>
        </w:rPr>
        <w:t>Aby skorzystać z powyższych praw należy skontaktować się z nami lub z naszym inspektorem ochrony danych (dane kontaktowe zawarte są powyżej).</w:t>
      </w:r>
    </w:p>
    <w:p>
      <w:pPr>
        <w:pStyle w:val="Style2"/>
        <w:keepNext w:val="0"/>
        <w:keepLines w:val="0"/>
        <w:widowControl w:val="0"/>
        <w:numPr>
          <w:ilvl w:val="0"/>
          <w:numId w:val="3"/>
        </w:numPr>
        <w:shd w:val="clear" w:color="auto" w:fill="auto"/>
        <w:tabs>
          <w:tab w:pos="288" w:val="left"/>
        </w:tabs>
        <w:bidi w:val="0"/>
        <w:spacing w:before="0" w:after="0"/>
        <w:ind w:left="300" w:right="0" w:hanging="300"/>
        <w:jc w:val="both"/>
      </w:pPr>
      <w:r>
        <w:rPr>
          <w:rStyle w:val="CharStyle3"/>
        </w:rPr>
        <w:t>prawo do wniesienia skargi do Prezesa Urzędu Ochrony Danych Osobowych (ul. Stawki 2, 00-193 Warszawa), jeśli uzna Pani/Pan że przetwarzamy Pani/Pana dane osobowe niezgodnie z prawem.</w:t>
      </w:r>
    </w:p>
    <w:p>
      <w:pPr>
        <w:pStyle w:val="Style2"/>
        <w:keepNext w:val="0"/>
        <w:keepLines w:val="0"/>
        <w:widowControl w:val="0"/>
        <w:shd w:val="clear" w:color="auto" w:fill="auto"/>
        <w:bidi w:val="0"/>
        <w:spacing w:before="0" w:after="0"/>
        <w:ind w:left="0" w:right="0" w:firstLine="0"/>
        <w:jc w:val="both"/>
      </w:pPr>
      <w:r>
        <w:rPr>
          <w:rStyle w:val="CharStyle3"/>
          <w:b/>
          <w:bCs/>
        </w:rPr>
        <w:t>Informacja o przekazywaniu danych osobowych do państw trzecich</w:t>
      </w:r>
    </w:p>
    <w:p>
      <w:pPr>
        <w:pStyle w:val="Style2"/>
        <w:keepNext w:val="0"/>
        <w:keepLines w:val="0"/>
        <w:widowControl w:val="0"/>
        <w:shd w:val="clear" w:color="auto" w:fill="auto"/>
        <w:bidi w:val="0"/>
        <w:spacing w:before="0" w:after="0"/>
        <w:ind w:left="0" w:right="0" w:firstLine="0"/>
        <w:jc w:val="both"/>
      </w:pPr>
      <w:r>
        <w:rPr>
          <w:rStyle w:val="CharStyle3"/>
        </w:rPr>
        <w:t>Nie przekazujemy Pani/Pana danych osobowych do państw trzecich.</w:t>
      </w:r>
    </w:p>
    <w:p>
      <w:pPr>
        <w:pStyle w:val="Style2"/>
        <w:keepNext w:val="0"/>
        <w:keepLines w:val="0"/>
        <w:widowControl w:val="0"/>
        <w:shd w:val="clear" w:color="auto" w:fill="auto"/>
        <w:bidi w:val="0"/>
        <w:spacing w:before="0" w:after="0"/>
        <w:ind w:left="0" w:right="0" w:firstLine="0"/>
        <w:jc w:val="both"/>
      </w:pPr>
      <w:r>
        <w:rPr>
          <w:rStyle w:val="CharStyle3"/>
          <w:b/>
          <w:bCs/>
        </w:rPr>
        <w:t>Informacja o profilowaniu</w:t>
      </w:r>
    </w:p>
    <w:p>
      <w:pPr>
        <w:pStyle w:val="Style2"/>
        <w:keepNext w:val="0"/>
        <w:keepLines w:val="0"/>
        <w:widowControl w:val="0"/>
        <w:shd w:val="clear" w:color="auto" w:fill="auto"/>
        <w:bidi w:val="0"/>
        <w:spacing w:before="0" w:after="0"/>
        <w:ind w:left="0" w:right="0" w:firstLine="0"/>
        <w:jc w:val="both"/>
      </w:pPr>
      <w:r>
        <w:rPr>
          <w:rStyle w:val="CharStyle3"/>
        </w:rPr>
        <w:t>Pani/Pana dane osobowe nie podlegają zautomatyzowanemu przetwarzaniu, w tym profilowaniu.</w:t>
      </w:r>
    </w:p>
    <w:p>
      <w:pPr>
        <w:pStyle w:val="Style2"/>
        <w:keepNext w:val="0"/>
        <w:keepLines w:val="0"/>
        <w:widowControl w:val="0"/>
        <w:shd w:val="clear" w:color="auto" w:fill="auto"/>
        <w:bidi w:val="0"/>
        <w:spacing w:before="0" w:after="0"/>
        <w:ind w:left="0" w:right="0" w:firstLine="0"/>
        <w:jc w:val="both"/>
      </w:pPr>
      <w:r>
        <w:rPr>
          <w:rStyle w:val="CharStyle3"/>
          <w:b/>
          <w:bCs/>
        </w:rPr>
        <w:t>Informacja o dowolności lub obowiązku podania danych</w:t>
      </w:r>
    </w:p>
    <w:p>
      <w:pPr>
        <w:pStyle w:val="Style2"/>
        <w:keepNext w:val="0"/>
        <w:keepLines w:val="0"/>
        <w:widowControl w:val="0"/>
        <w:shd w:val="clear" w:color="auto" w:fill="auto"/>
        <w:bidi w:val="0"/>
        <w:spacing w:before="0" w:after="0"/>
        <w:ind w:left="0" w:right="0" w:firstLine="0"/>
        <w:jc w:val="both"/>
      </w:pPr>
      <w:r>
        <w:rPr>
          <w:rStyle w:val="CharStyle3"/>
        </w:rPr>
        <w:t>Podanie przez Panią/Pana danych osobowych jest wymogiem ustawowym. Skutkiem niepodania danych osobowych będzie pozostawienie petycji bez rozpoznania.</w:t>
      </w:r>
    </w:p>
    <w:sectPr>
      <w:footnotePr>
        <w:pos w:val="pageBottom"/>
        <w:numFmt w:val="decimal"/>
        <w:numRestart w:val="continuous"/>
      </w:footnotePr>
      <w:pgSz w:w="11900" w:h="16840"/>
      <w:pgMar w:top="2094" w:right="1962" w:bottom="2094" w:left="195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3750945</wp:posOffset>
              </wp:positionH>
              <wp:positionV relativeFrom="page">
                <wp:posOffset>10196195</wp:posOffset>
              </wp:positionV>
              <wp:extent cx="48895" cy="73025"/>
              <wp:wrapNone/>
              <wp:docPr id="7" name="Shape 7"/>
              <a:graphic xmlns:a="http://schemas.openxmlformats.org/drawingml/2006/main">
                <a:graphicData uri="http://schemas.microsoft.com/office/word/2010/wordprocessingShape">
                  <wps:wsp>
                    <wps:cNvSpPr txBox="1"/>
                    <wps:spPr>
                      <a:xfrm>
                        <a:ext cx="48895" cy="73025"/>
                      </a:xfrm>
                      <a:prstGeom prst="rect"/>
                      <a:noFill/>
                    </wps:spPr>
                    <wps:txbx>
                      <w:txbxContent>
                        <w:p>
                          <w:pPr>
                            <w:pStyle w:val="Style14"/>
                            <w:keepNext w:val="0"/>
                            <w:keepLines w:val="0"/>
                            <w:widowControl w:val="0"/>
                            <w:shd w:val="clear" w:color="auto" w:fill="auto"/>
                            <w:bidi w:val="0"/>
                            <w:spacing w:before="0" w:after="0" w:line="240" w:lineRule="auto"/>
                            <w:ind w:left="0" w:right="0" w:firstLine="0"/>
                            <w:jc w:val="left"/>
                            <w:rPr>
                              <w:sz w:val="15"/>
                              <w:szCs w:val="15"/>
                            </w:rPr>
                          </w:pPr>
                          <w:fldSimple w:instr=" PAGE \* MERGEFORMAT ">
                            <w:r>
                              <w:rPr>
                                <w:rStyle w:val="CharStyle15"/>
                                <w:rFonts w:ascii="Arial" w:eastAsia="Arial" w:hAnsi="Arial" w:cs="Arial"/>
                                <w:sz w:val="15"/>
                                <w:szCs w:val="15"/>
                              </w:rPr>
                              <w:t>#</w:t>
                            </w:r>
                          </w:fldSimple>
                        </w:p>
                      </w:txbxContent>
                    </wps:txbx>
                    <wps:bodyPr wrap="none" lIns="0" tIns="0" rIns="0" bIns="0">
                      <a:spAutoFit/>
                    </wps:bodyPr>
                  </wps:wsp>
                </a:graphicData>
              </a:graphic>
            </wp:anchor>
          </w:drawing>
        </mc:Choice>
        <mc:Fallback>
          <w:pict>
            <v:shape id="_x0000_s1033" type="#_x0000_t202" style="position:absolute;margin-left:295.35000000000002pt;margin-top:802.85000000000002pt;width:3.8500000000000001pt;height:5.75pt;z-index:-188744063;mso-wrap-style:none;mso-wrap-distance-left:0;mso-wrap-distance-right:0;mso-position-horizontal-relative:page;mso-position-vertical-relative:page" wrapcoords="0 0" filled="f" stroked="f">
              <v:textbox style="mso-fit-shape-to-text:t" inset="0,0,0,0">
                <w:txbxContent>
                  <w:p>
                    <w:pPr>
                      <w:pStyle w:val="Style14"/>
                      <w:keepNext w:val="0"/>
                      <w:keepLines w:val="0"/>
                      <w:widowControl w:val="0"/>
                      <w:shd w:val="clear" w:color="auto" w:fill="auto"/>
                      <w:bidi w:val="0"/>
                      <w:spacing w:before="0" w:after="0" w:line="240" w:lineRule="auto"/>
                      <w:ind w:left="0" w:right="0" w:firstLine="0"/>
                      <w:jc w:val="left"/>
                      <w:rPr>
                        <w:sz w:val="15"/>
                        <w:szCs w:val="15"/>
                      </w:rPr>
                    </w:pPr>
                    <w:fldSimple w:instr=" PAGE \* MERGEFORMAT ">
                      <w:r>
                        <w:rPr>
                          <w:rStyle w:val="CharStyle15"/>
                          <w:rFonts w:ascii="Arial" w:eastAsia="Arial" w:hAnsi="Arial" w:cs="Arial"/>
                          <w:sz w:val="15"/>
                          <w:szCs w:val="15"/>
                        </w:rPr>
                        <w:t>#</w:t>
                      </w:r>
                    </w:fldSimple>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val="0"/>
        <w:iCs w:val="0"/>
        <w:smallCaps w:val="0"/>
        <w:strike w:val="0"/>
        <w:color w:val="000000"/>
        <w:spacing w:val="0"/>
        <w:w w:val="100"/>
        <w:position w:val="0"/>
        <w:sz w:val="19"/>
        <w:szCs w:val="19"/>
        <w:u w:val="none"/>
        <w:shd w:val="clear" w:color="auto" w:fill="auto"/>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000000"/>
        <w:spacing w:val="0"/>
        <w:w w:val="100"/>
        <w:position w:val="0"/>
        <w:sz w:val="15"/>
        <w:szCs w:val="15"/>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Tekst treści (2)_"/>
    <w:basedOn w:val="DefaultParagraphFont"/>
    <w:link w:val="Style2"/>
    <w:rPr>
      <w:rFonts w:ascii="Arial" w:eastAsia="Arial" w:hAnsi="Arial" w:cs="Arial"/>
      <w:b w:val="0"/>
      <w:bCs w:val="0"/>
      <w:i w:val="0"/>
      <w:iCs w:val="0"/>
      <w:smallCaps w:val="0"/>
      <w:strike w:val="0"/>
      <w:sz w:val="15"/>
      <w:szCs w:val="15"/>
      <w:u w:val="none"/>
    </w:rPr>
  </w:style>
  <w:style w:type="character" w:customStyle="1" w:styleId="CharStyle5">
    <w:name w:val="Tekst treści (3)_"/>
    <w:basedOn w:val="DefaultParagraphFont"/>
    <w:link w:val="Style4"/>
    <w:rPr>
      <w:rFonts w:ascii="Arial" w:eastAsia="Arial" w:hAnsi="Arial" w:cs="Arial"/>
      <w:b w:val="0"/>
      <w:bCs w:val="0"/>
      <w:i w:val="0"/>
      <w:iCs w:val="0"/>
      <w:smallCaps w:val="0"/>
      <w:strike w:val="0"/>
      <w:sz w:val="13"/>
      <w:szCs w:val="13"/>
      <w:u w:val="none"/>
    </w:rPr>
  </w:style>
  <w:style w:type="character" w:customStyle="1" w:styleId="CharStyle7">
    <w:name w:val="Nagłówek #1_"/>
    <w:basedOn w:val="DefaultParagraphFont"/>
    <w:link w:val="Style6"/>
    <w:rPr>
      <w:rFonts w:ascii="Corbel" w:eastAsia="Corbel" w:hAnsi="Corbel" w:cs="Corbel"/>
      <w:b w:val="0"/>
      <w:bCs w:val="0"/>
      <w:i w:val="0"/>
      <w:iCs w:val="0"/>
      <w:smallCaps w:val="0"/>
      <w:strike w:val="0"/>
      <w:sz w:val="36"/>
      <w:szCs w:val="36"/>
      <w:u w:val="none"/>
    </w:rPr>
  </w:style>
  <w:style w:type="character" w:customStyle="1" w:styleId="CharStyle9">
    <w:name w:val="Tekst treści_"/>
    <w:basedOn w:val="DefaultParagraphFont"/>
    <w:link w:val="Style8"/>
    <w:rPr>
      <w:rFonts w:ascii="Arial" w:eastAsia="Arial" w:hAnsi="Arial" w:cs="Arial"/>
      <w:b w:val="0"/>
      <w:bCs w:val="0"/>
      <w:i w:val="0"/>
      <w:iCs w:val="0"/>
      <w:smallCaps w:val="0"/>
      <w:strike w:val="0"/>
      <w:sz w:val="19"/>
      <w:szCs w:val="19"/>
      <w:u w:val="none"/>
    </w:rPr>
  </w:style>
  <w:style w:type="character" w:customStyle="1" w:styleId="CharStyle12">
    <w:name w:val="Nagłówek #2_"/>
    <w:basedOn w:val="DefaultParagraphFont"/>
    <w:link w:val="Style11"/>
    <w:rPr>
      <w:rFonts w:ascii="Arial" w:eastAsia="Arial" w:hAnsi="Arial" w:cs="Arial"/>
      <w:b/>
      <w:bCs/>
      <w:i w:val="0"/>
      <w:iCs w:val="0"/>
      <w:smallCaps w:val="0"/>
      <w:strike w:val="0"/>
      <w:sz w:val="19"/>
      <w:szCs w:val="19"/>
      <w:u w:val="none"/>
    </w:rPr>
  </w:style>
  <w:style w:type="character" w:customStyle="1" w:styleId="CharStyle15">
    <w:name w:val="Nagłówek lub stopka (2)_"/>
    <w:basedOn w:val="DefaultParagraphFont"/>
    <w:link w:val="Style14"/>
    <w:rPr>
      <w:rFonts w:ascii="Times New Roman" w:eastAsia="Times New Roman" w:hAnsi="Times New Roman" w:cs="Times New Roman"/>
      <w:b w:val="0"/>
      <w:bCs w:val="0"/>
      <w:i w:val="0"/>
      <w:iCs w:val="0"/>
      <w:smallCaps w:val="0"/>
      <w:strike w:val="0"/>
      <w:sz w:val="20"/>
      <w:szCs w:val="20"/>
      <w:u w:val="none"/>
    </w:rPr>
  </w:style>
  <w:style w:type="paragraph" w:customStyle="1" w:styleId="Style2">
    <w:name w:val="Tekst treści (2)"/>
    <w:basedOn w:val="Normal"/>
    <w:link w:val="CharStyle3"/>
    <w:pPr>
      <w:widowControl w:val="0"/>
      <w:shd w:val="clear" w:color="auto" w:fill="auto"/>
      <w:spacing w:line="266" w:lineRule="auto"/>
    </w:pPr>
    <w:rPr>
      <w:rFonts w:ascii="Arial" w:eastAsia="Arial" w:hAnsi="Arial" w:cs="Arial"/>
      <w:b w:val="0"/>
      <w:bCs w:val="0"/>
      <w:i w:val="0"/>
      <w:iCs w:val="0"/>
      <w:smallCaps w:val="0"/>
      <w:strike w:val="0"/>
      <w:sz w:val="15"/>
      <w:szCs w:val="15"/>
      <w:u w:val="none"/>
    </w:rPr>
  </w:style>
  <w:style w:type="paragraph" w:customStyle="1" w:styleId="Style4">
    <w:name w:val="Tekst treści (3)"/>
    <w:basedOn w:val="Normal"/>
    <w:link w:val="CharStyle5"/>
    <w:pPr>
      <w:widowControl w:val="0"/>
      <w:shd w:val="clear" w:color="auto" w:fill="auto"/>
      <w:jc w:val="center"/>
    </w:pPr>
    <w:rPr>
      <w:rFonts w:ascii="Arial" w:eastAsia="Arial" w:hAnsi="Arial" w:cs="Arial"/>
      <w:b w:val="0"/>
      <w:bCs w:val="0"/>
      <w:i w:val="0"/>
      <w:iCs w:val="0"/>
      <w:smallCaps w:val="0"/>
      <w:strike w:val="0"/>
      <w:sz w:val="13"/>
      <w:szCs w:val="13"/>
      <w:u w:val="none"/>
    </w:rPr>
  </w:style>
  <w:style w:type="paragraph" w:customStyle="1" w:styleId="Style6">
    <w:name w:val="Nagłówek #1"/>
    <w:basedOn w:val="Normal"/>
    <w:link w:val="CharStyle7"/>
    <w:pPr>
      <w:widowControl w:val="0"/>
      <w:shd w:val="clear" w:color="auto" w:fill="auto"/>
      <w:spacing w:after="180" w:line="228" w:lineRule="auto"/>
      <w:outlineLvl w:val="0"/>
    </w:pPr>
    <w:rPr>
      <w:rFonts w:ascii="Corbel" w:eastAsia="Corbel" w:hAnsi="Corbel" w:cs="Corbel"/>
      <w:b w:val="0"/>
      <w:bCs w:val="0"/>
      <w:i w:val="0"/>
      <w:iCs w:val="0"/>
      <w:smallCaps w:val="0"/>
      <w:strike w:val="0"/>
      <w:sz w:val="36"/>
      <w:szCs w:val="36"/>
      <w:u w:val="none"/>
    </w:rPr>
  </w:style>
  <w:style w:type="paragraph" w:customStyle="1" w:styleId="Style8">
    <w:name w:val="Tekst treści"/>
    <w:basedOn w:val="Normal"/>
    <w:link w:val="CharStyle9"/>
    <w:pPr>
      <w:widowControl w:val="0"/>
      <w:shd w:val="clear" w:color="auto" w:fill="auto"/>
      <w:spacing w:after="80" w:line="302" w:lineRule="auto"/>
    </w:pPr>
    <w:rPr>
      <w:rFonts w:ascii="Arial" w:eastAsia="Arial" w:hAnsi="Arial" w:cs="Arial"/>
      <w:b w:val="0"/>
      <w:bCs w:val="0"/>
      <w:i w:val="0"/>
      <w:iCs w:val="0"/>
      <w:smallCaps w:val="0"/>
      <w:strike w:val="0"/>
      <w:sz w:val="19"/>
      <w:szCs w:val="19"/>
      <w:u w:val="none"/>
    </w:rPr>
  </w:style>
  <w:style w:type="paragraph" w:customStyle="1" w:styleId="Style11">
    <w:name w:val="Nagłówek #2"/>
    <w:basedOn w:val="Normal"/>
    <w:link w:val="CharStyle12"/>
    <w:pPr>
      <w:widowControl w:val="0"/>
      <w:shd w:val="clear" w:color="auto" w:fill="auto"/>
      <w:spacing w:after="70" w:line="302" w:lineRule="auto"/>
      <w:outlineLvl w:val="1"/>
    </w:pPr>
    <w:rPr>
      <w:rFonts w:ascii="Arial" w:eastAsia="Arial" w:hAnsi="Arial" w:cs="Arial"/>
      <w:b/>
      <w:bCs/>
      <w:i w:val="0"/>
      <w:iCs w:val="0"/>
      <w:smallCaps w:val="0"/>
      <w:strike w:val="0"/>
      <w:sz w:val="19"/>
      <w:szCs w:val="19"/>
      <w:u w:val="none"/>
    </w:rPr>
  </w:style>
  <w:style w:type="paragraph" w:customStyle="1" w:styleId="Style14">
    <w:name w:val="Nagłówek lub stopka (2)"/>
    <w:basedOn w:val="Normal"/>
    <w:link w:val="CharStyle15"/>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1.jpeg" TargetMode="External"/><Relationship Id="rId7" Type="http://schemas.openxmlformats.org/officeDocument/2006/relationships/footer" Target="footer1.xml"/><Relationship Id="rId8" Type="http://schemas.openxmlformats.org/officeDocument/2006/relationships/footer" Target="footer2.xml"/></Relationships>
</file>

<file path=docProps/core.xml><?xml version="1.0" encoding="utf-8"?>
<cp:coreProperties xmlns:cp="http://schemas.openxmlformats.org/package/2006/metadata/core-properties" xmlns:dc="http://purl.org/dc/elements/1.1/">
  <dc:title>Z upoważnienia Ministra Klimatu i Środowiska departament_kolor</dc:title>
  <dc:subject/>
  <dc:creator/>
  <cp:keywords>PL, KOLOR</cp:keywords>
</cp:coreProperties>
</file>