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3A18" w14:textId="18E416D1" w:rsidR="00CB2B91" w:rsidRDefault="00CB2B91" w:rsidP="00043CC6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10D0A" w14:textId="77777777" w:rsidR="00FB0203" w:rsidRPr="001017CA" w:rsidRDefault="00FB0203" w:rsidP="00FB0203">
      <w:pPr>
        <w:suppressAutoHyphens/>
        <w:spacing w:after="480" w:line="360" w:lineRule="auto"/>
        <w:rPr>
          <w:rFonts w:ascii="Arial" w:eastAsia="Times New Roman" w:hAnsi="Arial" w:cs="Arial"/>
          <w:b/>
          <w:color w:val="57575B"/>
          <w:sz w:val="40"/>
          <w:szCs w:val="40"/>
          <w:lang w:eastAsia="zh-CN"/>
        </w:rPr>
      </w:pPr>
      <w:r w:rsidRPr="001017CA">
        <w:rPr>
          <w:rFonts w:ascii="Arial" w:eastAsia="Times New Roman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35F97FB3" wp14:editId="3FA4C4A1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78DA1" w14:textId="706B6A26" w:rsidR="00FB0203" w:rsidRDefault="00FB0203" w:rsidP="00FB0203">
      <w:pPr>
        <w:spacing w:before="480" w:after="480" w:line="360" w:lineRule="auto"/>
        <w:rPr>
          <w:rFonts w:ascii="Arial" w:hAnsi="Arial" w:cs="Arial"/>
          <w:sz w:val="28"/>
          <w:szCs w:val="28"/>
        </w:rPr>
      </w:pPr>
      <w:r w:rsidRPr="001017CA">
        <w:rPr>
          <w:rFonts w:ascii="Arial" w:hAnsi="Arial" w:cs="Arial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A972536" w14:textId="51B11B0C" w:rsidR="00CB2B91" w:rsidRPr="00FB0203" w:rsidRDefault="00CB2B91" w:rsidP="00FB020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t xml:space="preserve">Warszawa, dnia </w:t>
      </w:r>
      <w:r w:rsidR="00FB0203" w:rsidRPr="00FB0203">
        <w:rPr>
          <w:rFonts w:ascii="Arial" w:hAnsi="Arial" w:cs="Arial"/>
          <w:sz w:val="28"/>
          <w:szCs w:val="28"/>
        </w:rPr>
        <w:t>24</w:t>
      </w:r>
      <w:r w:rsidRPr="00FB0203">
        <w:rPr>
          <w:rFonts w:ascii="Arial" w:hAnsi="Arial" w:cs="Arial"/>
          <w:sz w:val="28"/>
          <w:szCs w:val="28"/>
        </w:rPr>
        <w:t xml:space="preserve">  </w:t>
      </w:r>
      <w:r w:rsidRPr="00FB0203">
        <w:rPr>
          <w:rFonts w:ascii="Arial" w:hAnsi="Arial" w:cs="Arial"/>
          <w:color w:val="000000"/>
          <w:sz w:val="28"/>
          <w:szCs w:val="28"/>
          <w:lang w:eastAsia="pl-PL"/>
        </w:rPr>
        <w:t>listopada 2022 r.</w:t>
      </w:r>
    </w:p>
    <w:p w14:paraId="060AB522" w14:textId="43ECCC3B" w:rsidR="00043CC6" w:rsidRPr="00FB0203" w:rsidRDefault="00CB2B91" w:rsidP="00FB0203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B0203">
        <w:rPr>
          <w:rFonts w:ascii="Arial" w:eastAsia="Times New Roman" w:hAnsi="Arial" w:cs="Arial"/>
          <w:sz w:val="28"/>
          <w:szCs w:val="28"/>
          <w:lang w:eastAsia="pl-PL"/>
        </w:rPr>
        <w:t>Sygn. akt KR VI R  3</w:t>
      </w:r>
      <w:r w:rsidR="00C32B2E">
        <w:rPr>
          <w:rFonts w:ascii="Arial" w:eastAsia="Times New Roman" w:hAnsi="Arial" w:cs="Arial"/>
          <w:sz w:val="28"/>
          <w:szCs w:val="28"/>
          <w:lang w:eastAsia="pl-PL"/>
        </w:rPr>
        <w:t>1</w:t>
      </w:r>
      <w:r w:rsidRPr="00FB0203">
        <w:rPr>
          <w:rFonts w:ascii="Arial" w:eastAsia="Times New Roman" w:hAnsi="Arial" w:cs="Arial"/>
          <w:sz w:val="28"/>
          <w:szCs w:val="28"/>
          <w:lang w:eastAsia="pl-PL"/>
        </w:rPr>
        <w:t>/22</w:t>
      </w:r>
    </w:p>
    <w:p w14:paraId="27C695AE" w14:textId="7745D993" w:rsidR="00CB2B91" w:rsidRDefault="00CB2B91" w:rsidP="00FB0203">
      <w:pPr>
        <w:pStyle w:val="Bezodstpw"/>
        <w:rPr>
          <w:rFonts w:ascii="Arial" w:hAnsi="Arial" w:cs="Arial"/>
          <w:sz w:val="28"/>
          <w:szCs w:val="28"/>
          <w:lang w:eastAsia="pl-PL"/>
        </w:rPr>
      </w:pPr>
      <w:r w:rsidRPr="00FB0203">
        <w:rPr>
          <w:rFonts w:ascii="Arial" w:hAnsi="Arial" w:cs="Arial"/>
          <w:sz w:val="28"/>
          <w:szCs w:val="28"/>
          <w:lang w:eastAsia="pl-PL"/>
        </w:rPr>
        <w:t>ZAWIADOMIENIE</w:t>
      </w:r>
    </w:p>
    <w:p w14:paraId="4DB8DE41" w14:textId="77777777" w:rsidR="00FB0203" w:rsidRPr="00FB0203" w:rsidRDefault="00FB0203" w:rsidP="00FB0203">
      <w:pPr>
        <w:pStyle w:val="Bezodstpw"/>
        <w:rPr>
          <w:rFonts w:ascii="Arial" w:hAnsi="Arial" w:cs="Arial"/>
          <w:sz w:val="28"/>
          <w:szCs w:val="28"/>
          <w:lang w:eastAsia="pl-PL"/>
        </w:rPr>
      </w:pPr>
    </w:p>
    <w:p w14:paraId="086900A4" w14:textId="77777777" w:rsidR="00CB2B91" w:rsidRPr="00FB0203" w:rsidRDefault="00CB2B91" w:rsidP="00FB020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B020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 wszczęciu postępowania rozpoznawczego</w:t>
      </w:r>
    </w:p>
    <w:p w14:paraId="20696B43" w14:textId="48334C23" w:rsidR="00CB2B91" w:rsidRPr="00FB0203" w:rsidRDefault="00CB2B91" w:rsidP="00FB0203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B0203">
        <w:rPr>
          <w:rFonts w:ascii="Arial" w:eastAsia="Times New Roman" w:hAnsi="Arial" w:cs="Arial"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(Dz.</w:t>
      </w:r>
      <w:r w:rsidR="00E6464A" w:rsidRPr="00FB0203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FB0203">
        <w:rPr>
          <w:rFonts w:ascii="Arial" w:eastAsia="Times New Roman" w:hAnsi="Arial" w:cs="Arial"/>
          <w:sz w:val="28"/>
          <w:szCs w:val="28"/>
          <w:lang w:eastAsia="zh-CN"/>
        </w:rPr>
        <w:t>U. z 2021 r. poz. 795),</w:t>
      </w:r>
    </w:p>
    <w:p w14:paraId="6E8DFF61" w14:textId="72FCC376" w:rsidR="00CB2B91" w:rsidRPr="00FB0203" w:rsidRDefault="00CB2B91" w:rsidP="00FB0203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B0203">
        <w:rPr>
          <w:rFonts w:ascii="Arial" w:eastAsia="Times New Roman" w:hAnsi="Arial" w:cs="Arial"/>
          <w:sz w:val="28"/>
          <w:szCs w:val="28"/>
          <w:lang w:eastAsia="zh-CN"/>
        </w:rPr>
        <w:t>zawiadamiam następujące strony:</w:t>
      </w:r>
    </w:p>
    <w:p w14:paraId="292C8748" w14:textId="65E38385" w:rsidR="00CB2B91" w:rsidRPr="00FB0203" w:rsidRDefault="00CB2B91" w:rsidP="00FB0203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B0203">
        <w:rPr>
          <w:rFonts w:ascii="Arial" w:eastAsia="Times New Roman" w:hAnsi="Arial" w:cs="Arial"/>
          <w:sz w:val="28"/>
          <w:szCs w:val="28"/>
          <w:lang w:eastAsia="zh-CN"/>
        </w:rPr>
        <w:t>-AGESTIS Spółkę z ograniczoną odpowiedzialnością spółkę komandytowo – akcyjną z siedzibą w Łodzi,</w:t>
      </w:r>
    </w:p>
    <w:p w14:paraId="7323F5EE" w14:textId="04FC0CEF" w:rsidR="00CB2B91" w:rsidRPr="00FB0203" w:rsidRDefault="00CB2B91" w:rsidP="00FB0203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eastAsia="Times New Roman" w:hAnsi="Arial" w:cs="Arial"/>
          <w:sz w:val="28"/>
          <w:szCs w:val="28"/>
          <w:lang w:eastAsia="zh-CN"/>
        </w:rPr>
        <w:t>o wszczęciu z urzędu postępowania rozpoznawczego w sprawie</w:t>
      </w:r>
      <w:r w:rsidRPr="00FB0203">
        <w:rPr>
          <w:rFonts w:ascii="Arial" w:hAnsi="Arial" w:cs="Arial"/>
          <w:sz w:val="28"/>
          <w:szCs w:val="28"/>
        </w:rPr>
        <w:t xml:space="preserve"> decyzji Prezydenta m.st. Warszawa z dnia 7 </w:t>
      </w:r>
      <w:r w:rsidR="00C32B2E">
        <w:rPr>
          <w:rFonts w:ascii="Arial" w:hAnsi="Arial" w:cs="Arial"/>
          <w:sz w:val="28"/>
          <w:szCs w:val="28"/>
        </w:rPr>
        <w:t>kwietnia</w:t>
      </w:r>
      <w:r w:rsidRPr="00FB0203">
        <w:rPr>
          <w:rFonts w:ascii="Arial" w:hAnsi="Arial" w:cs="Arial"/>
          <w:sz w:val="28"/>
          <w:szCs w:val="28"/>
        </w:rPr>
        <w:t xml:space="preserve"> 2009</w:t>
      </w:r>
      <w:r w:rsidR="00E6464A" w:rsidRPr="00FB0203">
        <w:rPr>
          <w:rFonts w:ascii="Arial" w:hAnsi="Arial" w:cs="Arial"/>
          <w:sz w:val="28"/>
          <w:szCs w:val="28"/>
        </w:rPr>
        <w:t xml:space="preserve"> </w:t>
      </w:r>
      <w:r w:rsidRPr="00FB0203">
        <w:rPr>
          <w:rFonts w:ascii="Arial" w:hAnsi="Arial" w:cs="Arial"/>
          <w:sz w:val="28"/>
          <w:szCs w:val="28"/>
        </w:rPr>
        <w:t xml:space="preserve">r. nr </w:t>
      </w:r>
      <w:r w:rsidR="00C32B2E">
        <w:rPr>
          <w:rFonts w:ascii="Arial" w:hAnsi="Arial" w:cs="Arial"/>
          <w:sz w:val="28"/>
          <w:szCs w:val="28"/>
        </w:rPr>
        <w:t>127</w:t>
      </w:r>
      <w:r w:rsidRPr="00FB0203">
        <w:rPr>
          <w:rFonts w:ascii="Arial" w:hAnsi="Arial" w:cs="Arial"/>
          <w:sz w:val="28"/>
          <w:szCs w:val="28"/>
        </w:rPr>
        <w:t>/GK/DW/2009</w:t>
      </w:r>
      <w:r w:rsidR="00C32B2E">
        <w:rPr>
          <w:rFonts w:ascii="Arial" w:hAnsi="Arial" w:cs="Arial"/>
          <w:sz w:val="28"/>
          <w:szCs w:val="28"/>
        </w:rPr>
        <w:t xml:space="preserve"> </w:t>
      </w:r>
      <w:r w:rsidR="00C32B2E" w:rsidRPr="00FB0203">
        <w:rPr>
          <w:rFonts w:ascii="Arial" w:hAnsi="Arial" w:cs="Arial"/>
          <w:sz w:val="28"/>
          <w:szCs w:val="28"/>
        </w:rPr>
        <w:t>ustanawi</w:t>
      </w:r>
      <w:r w:rsidR="00C32B2E">
        <w:rPr>
          <w:rFonts w:ascii="Arial" w:hAnsi="Arial" w:cs="Arial"/>
          <w:sz w:val="28"/>
          <w:szCs w:val="28"/>
        </w:rPr>
        <w:t xml:space="preserve">ającej </w:t>
      </w:r>
      <w:r w:rsidRPr="00FB0203">
        <w:rPr>
          <w:rFonts w:ascii="Arial" w:hAnsi="Arial" w:cs="Arial"/>
          <w:sz w:val="28"/>
          <w:szCs w:val="28"/>
        </w:rPr>
        <w:t>prawo użytkowania wieczystego do:</w:t>
      </w:r>
    </w:p>
    <w:p w14:paraId="459EA897" w14:textId="77777777" w:rsidR="00CB2B91" w:rsidRPr="00FB0203" w:rsidRDefault="00CB2B91" w:rsidP="00FB0203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lastRenderedPageBreak/>
        <w:t>udziału wynoszącego 0,7510 części gruntu o pow. 72 m</w:t>
      </w:r>
      <w:r w:rsidRPr="00FB0203">
        <w:rPr>
          <w:rFonts w:ascii="Arial" w:hAnsi="Arial" w:cs="Arial"/>
          <w:sz w:val="28"/>
          <w:szCs w:val="28"/>
          <w:vertAlign w:val="superscript"/>
        </w:rPr>
        <w:t>2</w:t>
      </w:r>
      <w:r w:rsidRPr="00FB0203">
        <w:rPr>
          <w:rFonts w:ascii="Arial" w:hAnsi="Arial" w:cs="Arial"/>
          <w:sz w:val="28"/>
          <w:szCs w:val="28"/>
        </w:rPr>
        <w:t>, oznaczonego jako dz. ew. nr 58/4 na rzecz Barbary Rezyka (do udziału wynoszącego 0,3755) i Tadeusza Graffa (do udziału wynoszącego 0,3755) – po ½ części niepodzielnie,</w:t>
      </w:r>
    </w:p>
    <w:p w14:paraId="72B68FE1" w14:textId="77777777" w:rsidR="00CB2B91" w:rsidRPr="00FB0203" w:rsidRDefault="00CB2B91" w:rsidP="00FB0203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t>oraz do udziału wynoszącego 0,7510 części gruntu o pow. 943 m</w:t>
      </w:r>
      <w:r w:rsidRPr="00FB0203">
        <w:rPr>
          <w:rFonts w:ascii="Arial" w:hAnsi="Arial" w:cs="Arial"/>
          <w:sz w:val="28"/>
          <w:szCs w:val="28"/>
          <w:vertAlign w:val="superscript"/>
        </w:rPr>
        <w:t>2</w:t>
      </w:r>
      <w:r w:rsidRPr="00FB0203">
        <w:rPr>
          <w:rFonts w:ascii="Arial" w:hAnsi="Arial" w:cs="Arial"/>
          <w:sz w:val="28"/>
          <w:szCs w:val="28"/>
        </w:rPr>
        <w:t>, oznaczonego jako dz. ew. nr 58/3 na rzecz Barbary Rezyka (do udziału wynoszącego 0,3755) i Tadeusza Graffa (do udziału wynoszącego 0,3755) – po ½ części niepodzielnie,</w:t>
      </w:r>
    </w:p>
    <w:p w14:paraId="72D56189" w14:textId="643976AE" w:rsidR="00CB2B91" w:rsidRPr="00FB0203" w:rsidRDefault="00CB2B91" w:rsidP="00FB0203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t>tj. do udziałów w gruntach stanowiących ww. działki ewidencyjne, obie położone w Warszawie przy ul. Nowy Świat 24, w obrębie ewidencyjnym 5-04-07, dla których Sąd Rejonowy dla Warszawy - Mokotowa w Warszawie prowadzi księgę wieczystą nr WA4M/00307472/6, hip nr 1293.</w:t>
      </w:r>
    </w:p>
    <w:p w14:paraId="7F0BBC80" w14:textId="77777777" w:rsidR="00CB2B91" w:rsidRPr="00FB0203" w:rsidRDefault="00CB2B91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t>Przewodniczący Komisji</w:t>
      </w:r>
    </w:p>
    <w:p w14:paraId="30553EEB" w14:textId="232D1422" w:rsidR="00CB2B91" w:rsidRPr="00FB0203" w:rsidRDefault="00CB2B91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t>Sebastian Kalet</w:t>
      </w:r>
      <w:r w:rsidR="00043CC6" w:rsidRPr="00FB0203">
        <w:rPr>
          <w:rFonts w:ascii="Arial" w:hAnsi="Arial" w:cs="Arial"/>
          <w:sz w:val="28"/>
          <w:szCs w:val="28"/>
        </w:rPr>
        <w:t>a</w:t>
      </w:r>
    </w:p>
    <w:p w14:paraId="70CE9D66" w14:textId="77777777" w:rsidR="00FB0203" w:rsidRDefault="00FB0203" w:rsidP="00FB0203">
      <w:pPr>
        <w:pStyle w:val="Bezodstpw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POUCZENIE</w:t>
      </w:r>
    </w:p>
    <w:p w14:paraId="41793BB4" w14:textId="77777777" w:rsidR="00FB0203" w:rsidRPr="00F86C27" w:rsidRDefault="00FB0203" w:rsidP="00FB0203">
      <w:pPr>
        <w:pStyle w:val="Bezodstpw"/>
        <w:rPr>
          <w:rFonts w:ascii="Arial" w:hAnsi="Arial" w:cs="Arial"/>
          <w:sz w:val="28"/>
          <w:szCs w:val="28"/>
        </w:rPr>
      </w:pPr>
    </w:p>
    <w:p w14:paraId="62F446B9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</w:t>
      </w:r>
      <w:r w:rsidRPr="00F86C27">
        <w:rPr>
          <w:rFonts w:ascii="Arial" w:hAnsi="Arial" w:cs="Arial"/>
          <w:sz w:val="28"/>
          <w:szCs w:val="28"/>
        </w:rPr>
        <w:lastRenderedPageBreak/>
        <w:t xml:space="preserve">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04A1B58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Zgodnie z art. 33 ustawy z dnia 14 czerwca 1960 r. – Kodeks postępowania administracyjnego (Dz. U.  z  2022  r. poz. 2000):</w:t>
      </w:r>
    </w:p>
    <w:p w14:paraId="4607EDA3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§ 1. Pełnomocnikiem strony może być osoba fizyczna posiadająca zdolność do czynności prawnych.</w:t>
      </w:r>
    </w:p>
    <w:p w14:paraId="39346AEB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2AF69802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1324803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 xml:space="preserve"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</w:t>
      </w:r>
      <w:r w:rsidRPr="00F86C27">
        <w:rPr>
          <w:rFonts w:ascii="Arial" w:hAnsi="Arial" w:cs="Arial"/>
          <w:sz w:val="28"/>
          <w:szCs w:val="28"/>
        </w:rPr>
        <w:lastRenderedPageBreak/>
        <w:t>ustawowa pkt 1 ustawy z dnia 17 lutego 2005 r. o informatyzacji działalności podmiotów realizujących zadania publiczne.</w:t>
      </w:r>
    </w:p>
    <w:p w14:paraId="11017947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09658A3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Zgodnie z art. 21 ust. 1 ustawy z dnia 6 lipca 1982 r. ustawy o radcach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2D30F67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 xml:space="preserve"> Zgodnie z art. 35</w:t>
      </w:r>
      <w:r w:rsidRPr="00F86C27">
        <w:rPr>
          <w:rFonts w:ascii="Arial" w:hAnsi="Arial" w:cs="Arial"/>
          <w:sz w:val="28"/>
          <w:szCs w:val="28"/>
          <w:vertAlign w:val="superscript"/>
        </w:rPr>
        <w:t>1</w:t>
      </w:r>
      <w:r w:rsidRPr="00F86C27">
        <w:rPr>
          <w:rFonts w:ascii="Arial" w:hAnsi="Arial" w:cs="Arial"/>
          <w:sz w:val="28"/>
          <w:szCs w:val="28"/>
        </w:rPr>
        <w:t xml:space="preserve"> ust. 4 ustawy z dnia 6 lipca 1982 r. ustawy o radcach prawnych (Dz. U. z 2022 r. poz. 1166),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602A003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 xml:space="preserve"> Zgodnie z art. 25 ust. 3 ustawy z dnia 26 maja 1982 r. – Prawo o adwokaturze (Dz. U. z 2022 r. poz. 1184), w wypadku gdy adwokat prowadzący sprawę nie może wziąć osobiście udziału w rozprawie lub wykonać osobiście poszczególnych czynności w sprawie, może on udzielić substytucji.</w:t>
      </w:r>
    </w:p>
    <w:p w14:paraId="7DC15DE7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 xml:space="preserve">Zgodnie z art. 77 ust. 5 ustawy z dnia 26 maja 1982 r. – Prawo o adwokaturze (Dz. U. z 2022 r. poz. 1184), aplikant adwokacki </w:t>
      </w:r>
      <w:r w:rsidRPr="00F86C27">
        <w:rPr>
          <w:rFonts w:ascii="Arial" w:hAnsi="Arial" w:cs="Arial"/>
          <w:sz w:val="28"/>
          <w:szCs w:val="28"/>
        </w:rPr>
        <w:lastRenderedPageBreak/>
        <w:t>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7E3C620F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6D8ADAB3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662BA846" w14:textId="77777777" w:rsidR="00994608" w:rsidRPr="00FB0203" w:rsidRDefault="00994608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FB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33AD"/>
    <w:multiLevelType w:val="hybridMultilevel"/>
    <w:tmpl w:val="56E61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91"/>
    <w:rsid w:val="00043CC6"/>
    <w:rsid w:val="00247A15"/>
    <w:rsid w:val="00253270"/>
    <w:rsid w:val="002F0972"/>
    <w:rsid w:val="00314A81"/>
    <w:rsid w:val="00376BB0"/>
    <w:rsid w:val="00992013"/>
    <w:rsid w:val="00994608"/>
    <w:rsid w:val="00A420AC"/>
    <w:rsid w:val="00C065D2"/>
    <w:rsid w:val="00C32B2E"/>
    <w:rsid w:val="00CB2B91"/>
    <w:rsid w:val="00E31199"/>
    <w:rsid w:val="00E6464A"/>
    <w:rsid w:val="00F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A27C"/>
  <w15:chartTrackingRefBased/>
  <w15:docId w15:val="{9B818619-EF6A-485D-82D4-1161D0C8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020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B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strony</vt:lpstr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strony</dc:title>
  <dc:subject/>
  <dc:creator>Warchoł Marcin  (DPA)</dc:creator>
  <cp:keywords/>
  <dc:description/>
  <cp:lastModifiedBy>Warchoł Marcin  (DPA)</cp:lastModifiedBy>
  <cp:revision>5</cp:revision>
  <dcterms:created xsi:type="dcterms:W3CDTF">2022-11-28T11:23:00Z</dcterms:created>
  <dcterms:modified xsi:type="dcterms:W3CDTF">2022-11-28T12:43:00Z</dcterms:modified>
</cp:coreProperties>
</file>